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8A930" w14:textId="65CF3F48" w:rsidR="001F7F17" w:rsidRPr="005107DF" w:rsidRDefault="001F7F17" w:rsidP="001F7F17">
      <w:pPr>
        <w:spacing w:after="0" w:line="240" w:lineRule="auto"/>
        <w:jc w:val="both"/>
        <w:outlineLvl w:val="0"/>
        <w:rPr>
          <w:rFonts w:ascii="Times New Roman" w:eastAsia="Times New Roman" w:hAnsi="Times New Roman" w:cs="Times New Roman"/>
          <w:color w:val="000000"/>
          <w:sz w:val="24"/>
          <w:szCs w:val="24"/>
        </w:rPr>
      </w:pPr>
    </w:p>
    <w:p w14:paraId="768F79B7" w14:textId="77777777" w:rsidR="001F7F17" w:rsidRPr="005107DF" w:rsidRDefault="001F7F17" w:rsidP="001F7F1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GB" w:eastAsia="en-GB" w:bidi="ar-SA"/>
        </w:rPr>
        <w:drawing>
          <wp:inline distT="0" distB="0" distL="0" distR="0" wp14:anchorId="7A05B395" wp14:editId="47C743E1">
            <wp:extent cx="2533650" cy="1758950"/>
            <wp:effectExtent l="0" t="0" r="0" b="0"/>
            <wp:docPr id="1" name="Picture 1" descr="logo_ce-en-rv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e-en-rvb-l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1758950"/>
                    </a:xfrm>
                    <a:prstGeom prst="rect">
                      <a:avLst/>
                    </a:prstGeom>
                    <a:noFill/>
                    <a:ln>
                      <a:noFill/>
                    </a:ln>
                  </pic:spPr>
                </pic:pic>
              </a:graphicData>
            </a:graphic>
          </wp:inline>
        </w:drawing>
      </w:r>
    </w:p>
    <w:p w14:paraId="793D552B" w14:textId="77777777" w:rsidR="001F7F17" w:rsidRPr="005107DF" w:rsidRDefault="001F7F17" w:rsidP="001F7F17">
      <w:pPr>
        <w:spacing w:after="0" w:line="240" w:lineRule="auto"/>
        <w:jc w:val="both"/>
        <w:outlineLvl w:val="0"/>
        <w:rPr>
          <w:rFonts w:ascii="Times New Roman" w:eastAsia="Times New Roman" w:hAnsi="Times New Roman" w:cs="Times New Roman"/>
          <w:color w:val="000000"/>
          <w:sz w:val="24"/>
          <w:szCs w:val="24"/>
        </w:rPr>
      </w:pPr>
    </w:p>
    <w:p w14:paraId="40F93DD8" w14:textId="77777777" w:rsidR="001F7F17" w:rsidRPr="005107DF" w:rsidRDefault="001F7F17" w:rsidP="001F7F17">
      <w:pPr>
        <w:spacing w:after="0" w:line="240" w:lineRule="auto"/>
        <w:jc w:val="both"/>
        <w:outlineLvl w:val="0"/>
        <w:rPr>
          <w:rFonts w:ascii="Times New Roman" w:eastAsia="Times New Roman" w:hAnsi="Times New Roman" w:cs="Times New Roman"/>
          <w:color w:val="000000"/>
          <w:sz w:val="24"/>
          <w:szCs w:val="24"/>
        </w:rPr>
      </w:pPr>
    </w:p>
    <w:p w14:paraId="34C65E9D" w14:textId="77777777" w:rsidR="001F7F17" w:rsidRPr="005107DF" w:rsidRDefault="001F7F17" w:rsidP="001F7F17">
      <w:pPr>
        <w:spacing w:after="0" w:line="240" w:lineRule="auto"/>
        <w:jc w:val="center"/>
        <w:rPr>
          <w:rFonts w:ascii="Times New Roman" w:eastAsia="Times New Roman" w:hAnsi="Times New Roman" w:cs="Times New Roman"/>
          <w:b/>
          <w:color w:val="000000"/>
          <w:sz w:val="24"/>
          <w:szCs w:val="24"/>
          <w:u w:val="single"/>
        </w:rPr>
      </w:pPr>
    </w:p>
    <w:p w14:paraId="39286A07" w14:textId="77777777" w:rsidR="001F7F17" w:rsidRPr="005107DF" w:rsidRDefault="001F7F17" w:rsidP="001F7F17">
      <w:pPr>
        <w:spacing w:after="0" w:line="240" w:lineRule="auto"/>
        <w:jc w:val="both"/>
        <w:rPr>
          <w:rFonts w:ascii="Times New Roman" w:eastAsia="Times New Roman" w:hAnsi="Times New Roman" w:cs="Times New Roman"/>
          <w:color w:val="000000"/>
          <w:sz w:val="24"/>
          <w:szCs w:val="24"/>
        </w:rPr>
      </w:pPr>
    </w:p>
    <w:p w14:paraId="5E7862D6" w14:textId="77777777" w:rsidR="001F7F17" w:rsidRPr="005107DF"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rPr>
          <w:rFonts w:ascii="Times New Roman" w:eastAsia="Times New Roman" w:hAnsi="Times New Roman" w:cs="Times New Roman"/>
          <w:b/>
          <w:color w:val="000000"/>
          <w:sz w:val="40"/>
          <w:szCs w:val="24"/>
        </w:rPr>
      </w:pPr>
    </w:p>
    <w:p w14:paraId="4B7492D8" w14:textId="77777777" w:rsidR="001F7F17" w:rsidRPr="005107DF"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jc w:val="center"/>
        <w:rPr>
          <w:rFonts w:ascii="Times New Roman" w:eastAsia="Times New Roman" w:hAnsi="Times New Roman" w:cs="Times New Roman"/>
          <w:b/>
          <w:color w:val="000000"/>
          <w:sz w:val="40"/>
          <w:szCs w:val="24"/>
        </w:rPr>
      </w:pPr>
      <w:r>
        <w:rPr>
          <w:rFonts w:ascii="Times New Roman" w:hAnsi="Times New Roman"/>
          <w:b/>
          <w:color w:val="000000"/>
          <w:sz w:val="40"/>
        </w:rPr>
        <w:t>MANUEL DE JUMELAGE</w:t>
      </w:r>
    </w:p>
    <w:p w14:paraId="52323FE9" w14:textId="77777777" w:rsidR="001F7F17" w:rsidRPr="005107DF"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jc w:val="center"/>
        <w:rPr>
          <w:rFonts w:ascii="Times New Roman" w:eastAsia="Times New Roman" w:hAnsi="Times New Roman" w:cs="Times New Roman"/>
          <w:b/>
          <w:color w:val="000000"/>
          <w:sz w:val="40"/>
          <w:szCs w:val="24"/>
        </w:rPr>
      </w:pPr>
    </w:p>
    <w:p w14:paraId="6CCAA682" w14:textId="77777777" w:rsidR="001F7F17" w:rsidRDefault="001F7F17" w:rsidP="001F7F17">
      <w:pPr>
        <w:spacing w:after="0" w:line="240" w:lineRule="auto"/>
        <w:jc w:val="center"/>
        <w:rPr>
          <w:rFonts w:ascii="Times New Roman" w:eastAsia="Times New Roman" w:hAnsi="Times New Roman" w:cs="Times New Roman"/>
          <w:b/>
          <w:color w:val="000000"/>
          <w:sz w:val="32"/>
          <w:szCs w:val="24"/>
        </w:rPr>
      </w:pPr>
    </w:p>
    <w:p w14:paraId="3562B367" w14:textId="77777777" w:rsidR="001F7F17" w:rsidRPr="005107DF" w:rsidRDefault="001F7F17" w:rsidP="001F7F17">
      <w:pPr>
        <w:spacing w:after="0" w:line="240" w:lineRule="auto"/>
        <w:jc w:val="center"/>
        <w:rPr>
          <w:rFonts w:ascii="Times New Roman" w:eastAsia="Times New Roman" w:hAnsi="Times New Roman" w:cs="Times New Roman"/>
          <w:b/>
          <w:color w:val="000000"/>
          <w:sz w:val="32"/>
          <w:szCs w:val="24"/>
        </w:rPr>
      </w:pPr>
    </w:p>
    <w:p w14:paraId="268938BB" w14:textId="287F8C2F" w:rsidR="001F7F17" w:rsidRPr="005107DF" w:rsidRDefault="001F7F17" w:rsidP="001F7F17">
      <w:pPr>
        <w:spacing w:after="0" w:line="240" w:lineRule="auto"/>
        <w:jc w:val="center"/>
        <w:rPr>
          <w:rFonts w:ascii="Times New Roman" w:eastAsia="Times New Roman" w:hAnsi="Times New Roman" w:cs="Times New Roman"/>
          <w:b/>
          <w:color w:val="000000"/>
          <w:sz w:val="32"/>
          <w:szCs w:val="24"/>
        </w:rPr>
      </w:pPr>
      <w:r>
        <w:rPr>
          <w:rFonts w:ascii="Times New Roman" w:hAnsi="Times New Roman"/>
          <w:b/>
          <w:color w:val="000000"/>
          <w:sz w:val="32"/>
        </w:rPr>
        <w:t>RÉVISION 2017 - MISE À JOUR 2018</w:t>
      </w:r>
    </w:p>
    <w:p w14:paraId="79522E41" w14:textId="77777777" w:rsidR="001F7F17" w:rsidRPr="005107DF" w:rsidRDefault="001F7F17" w:rsidP="001F7F17">
      <w:pPr>
        <w:spacing w:after="0" w:line="240" w:lineRule="auto"/>
        <w:jc w:val="center"/>
        <w:rPr>
          <w:rFonts w:ascii="Times New Roman" w:eastAsia="Times New Roman" w:hAnsi="Times New Roman" w:cs="Times New Roman"/>
          <w:color w:val="000000"/>
          <w:sz w:val="32"/>
          <w:szCs w:val="24"/>
        </w:rPr>
      </w:pPr>
    </w:p>
    <w:p w14:paraId="60C56906" w14:textId="77777777" w:rsidR="001F7F17" w:rsidRPr="005107DF" w:rsidRDefault="003626FF" w:rsidP="003626FF">
      <w:pPr>
        <w:tabs>
          <w:tab w:val="left" w:pos="1402"/>
        </w:tabs>
        <w:spacing w:after="0" w:line="240" w:lineRule="auto"/>
        <w:rPr>
          <w:rFonts w:ascii="Times New Roman" w:eastAsia="Times New Roman" w:hAnsi="Times New Roman" w:cs="Times New Roman"/>
          <w:b/>
          <w:color w:val="000000"/>
          <w:sz w:val="32"/>
          <w:szCs w:val="24"/>
        </w:rPr>
      </w:pPr>
      <w:r>
        <w:tab/>
      </w:r>
    </w:p>
    <w:p w14:paraId="105AFD4C" w14:textId="77777777" w:rsidR="001F7F17" w:rsidRPr="005107DF" w:rsidRDefault="001F7F17" w:rsidP="001F7F17">
      <w:pPr>
        <w:spacing w:after="0" w:line="240" w:lineRule="auto"/>
        <w:jc w:val="center"/>
        <w:rPr>
          <w:rFonts w:ascii="Times New Roman" w:eastAsia="Times New Roman" w:hAnsi="Times New Roman" w:cs="Times New Roman"/>
          <w:b/>
          <w:color w:val="000000"/>
          <w:sz w:val="32"/>
          <w:szCs w:val="24"/>
        </w:rPr>
      </w:pPr>
    </w:p>
    <w:p w14:paraId="51201360" w14:textId="4E941D2F" w:rsidR="001F7F17" w:rsidRDefault="001F7F17" w:rsidP="001F7F17">
      <w:pPr>
        <w:spacing w:after="0" w:line="240" w:lineRule="auto"/>
        <w:jc w:val="center"/>
        <w:rPr>
          <w:rFonts w:ascii="Times New Roman" w:eastAsia="Times New Roman" w:hAnsi="Times New Roman" w:cs="Times New Roman"/>
          <w:b/>
          <w:color w:val="000000"/>
          <w:sz w:val="24"/>
          <w:szCs w:val="24"/>
        </w:rPr>
      </w:pPr>
    </w:p>
    <w:p w14:paraId="5E5CC549" w14:textId="77777777" w:rsidR="001F4F15" w:rsidRDefault="001F4F15" w:rsidP="001F7F17">
      <w:pPr>
        <w:spacing w:after="0" w:line="240" w:lineRule="auto"/>
        <w:jc w:val="center"/>
        <w:rPr>
          <w:rFonts w:ascii="Times New Roman" w:eastAsia="Times New Roman" w:hAnsi="Times New Roman" w:cs="Times New Roman"/>
          <w:b/>
          <w:color w:val="000000"/>
          <w:sz w:val="24"/>
          <w:szCs w:val="24"/>
        </w:rPr>
      </w:pPr>
    </w:p>
    <w:p w14:paraId="280968FF" w14:textId="77777777" w:rsidR="001F4F15" w:rsidRDefault="001F4F15" w:rsidP="001F7F17">
      <w:pPr>
        <w:spacing w:after="0" w:line="240" w:lineRule="auto"/>
        <w:jc w:val="center"/>
        <w:rPr>
          <w:rFonts w:ascii="Times New Roman" w:eastAsia="Times New Roman" w:hAnsi="Times New Roman" w:cs="Times New Roman"/>
          <w:b/>
          <w:color w:val="000000"/>
          <w:sz w:val="24"/>
          <w:szCs w:val="24"/>
        </w:rPr>
      </w:pPr>
    </w:p>
    <w:p w14:paraId="0C0DD28F" w14:textId="77777777" w:rsidR="001F4F15" w:rsidRDefault="001F4F15" w:rsidP="001F7F17">
      <w:pPr>
        <w:spacing w:after="0" w:line="240" w:lineRule="auto"/>
        <w:jc w:val="center"/>
        <w:rPr>
          <w:rFonts w:ascii="Times New Roman" w:eastAsia="Times New Roman" w:hAnsi="Times New Roman" w:cs="Times New Roman"/>
          <w:b/>
          <w:color w:val="000000"/>
          <w:sz w:val="24"/>
          <w:szCs w:val="24"/>
        </w:rPr>
      </w:pPr>
    </w:p>
    <w:p w14:paraId="09537C36" w14:textId="77777777" w:rsidR="001F4F15" w:rsidRDefault="001F4F15" w:rsidP="001F7F17">
      <w:pPr>
        <w:spacing w:after="0" w:line="240" w:lineRule="auto"/>
        <w:jc w:val="center"/>
        <w:rPr>
          <w:rFonts w:ascii="Times New Roman" w:eastAsia="Times New Roman" w:hAnsi="Times New Roman" w:cs="Times New Roman"/>
          <w:b/>
          <w:color w:val="000000"/>
          <w:sz w:val="24"/>
          <w:szCs w:val="24"/>
        </w:rPr>
      </w:pPr>
    </w:p>
    <w:p w14:paraId="62D0E94C" w14:textId="77777777" w:rsidR="001F4F15" w:rsidRDefault="001F4F15" w:rsidP="001F7F17">
      <w:pPr>
        <w:spacing w:after="0" w:line="240" w:lineRule="auto"/>
        <w:jc w:val="center"/>
        <w:rPr>
          <w:rFonts w:ascii="Times New Roman" w:eastAsia="Times New Roman" w:hAnsi="Times New Roman" w:cs="Times New Roman"/>
          <w:b/>
          <w:color w:val="000000"/>
          <w:sz w:val="24"/>
          <w:szCs w:val="24"/>
        </w:rPr>
      </w:pPr>
    </w:p>
    <w:p w14:paraId="479C9DC1" w14:textId="76845057" w:rsidR="001F4F15" w:rsidRDefault="001F4F15">
      <w:pPr>
        <w:rPr>
          <w:rFonts w:ascii="Times New Roman" w:eastAsia="Times New Roman" w:hAnsi="Times New Roman" w:cs="Times New Roman"/>
          <w:b/>
          <w:color w:val="000000"/>
          <w:sz w:val="24"/>
          <w:szCs w:val="24"/>
        </w:rPr>
      </w:pPr>
    </w:p>
    <w:p w14:paraId="4D0AFFF5" w14:textId="77777777" w:rsidR="001F4F15" w:rsidRDefault="001F4F15">
      <w:pPr>
        <w:rPr>
          <w:rFonts w:ascii="Times New Roman" w:eastAsia="Times New Roman" w:hAnsi="Times New Roman" w:cs="Times New Roman"/>
          <w:b/>
          <w:color w:val="000000"/>
          <w:sz w:val="24"/>
          <w:szCs w:val="24"/>
        </w:rPr>
      </w:pPr>
    </w:p>
    <w:p w14:paraId="3FA0413B" w14:textId="77777777" w:rsidR="001F4F15" w:rsidRDefault="001F4F15">
      <w:pPr>
        <w:rPr>
          <w:rFonts w:ascii="Times New Roman" w:eastAsia="Times New Roman" w:hAnsi="Times New Roman" w:cs="Times New Roman"/>
          <w:b/>
          <w:color w:val="000000"/>
          <w:sz w:val="24"/>
          <w:szCs w:val="24"/>
        </w:rPr>
      </w:pPr>
    </w:p>
    <w:p w14:paraId="002576DA" w14:textId="77777777" w:rsidR="001F4F15" w:rsidRDefault="001F4F15">
      <w:pPr>
        <w:rPr>
          <w:rFonts w:ascii="Times New Roman" w:eastAsia="Times New Roman" w:hAnsi="Times New Roman" w:cs="Times New Roman"/>
          <w:b/>
          <w:color w:val="000000"/>
          <w:sz w:val="24"/>
          <w:szCs w:val="24"/>
        </w:rPr>
      </w:pPr>
    </w:p>
    <w:p w14:paraId="57D92EA7" w14:textId="77777777" w:rsidR="001F4F15" w:rsidRDefault="001F4F15">
      <w:pPr>
        <w:rPr>
          <w:rFonts w:ascii="Times New Roman" w:eastAsia="Times New Roman" w:hAnsi="Times New Roman" w:cs="Times New Roman"/>
          <w:b/>
          <w:color w:val="000000"/>
          <w:sz w:val="24"/>
          <w:szCs w:val="24"/>
        </w:rPr>
      </w:pPr>
    </w:p>
    <w:p w14:paraId="6385E29F" w14:textId="77777777" w:rsidR="001F4F15" w:rsidRDefault="001F4F15">
      <w:pPr>
        <w:rPr>
          <w:rFonts w:ascii="Times New Roman" w:eastAsia="Times New Roman" w:hAnsi="Times New Roman" w:cs="Times New Roman"/>
          <w:b/>
          <w:color w:val="000000"/>
          <w:sz w:val="24"/>
          <w:szCs w:val="24"/>
        </w:rPr>
      </w:pPr>
    </w:p>
    <w:p w14:paraId="66920019" w14:textId="77777777" w:rsidR="001F4F15" w:rsidRDefault="001F4F15">
      <w:pPr>
        <w:rPr>
          <w:rFonts w:ascii="Times New Roman" w:eastAsia="Times New Roman" w:hAnsi="Times New Roman" w:cs="Times New Roman"/>
          <w:b/>
          <w:color w:val="000000"/>
          <w:sz w:val="24"/>
          <w:szCs w:val="24"/>
        </w:rPr>
      </w:pPr>
    </w:p>
    <w:p w14:paraId="0ED42BFF" w14:textId="77777777" w:rsidR="001F4F15" w:rsidRDefault="001F4F15">
      <w:pPr>
        <w:rPr>
          <w:rFonts w:ascii="Times New Roman" w:eastAsia="Times New Roman" w:hAnsi="Times New Roman" w:cs="Times New Roman"/>
          <w:b/>
          <w:color w:val="000000"/>
          <w:sz w:val="24"/>
          <w:szCs w:val="24"/>
        </w:rPr>
      </w:pPr>
    </w:p>
    <w:p w14:paraId="0E36BD10" w14:textId="77777777" w:rsidR="001F4F15" w:rsidRDefault="001F4F15">
      <w:pPr>
        <w:rPr>
          <w:rFonts w:ascii="Times New Roman" w:eastAsia="Times New Roman" w:hAnsi="Times New Roman" w:cs="Times New Roman"/>
          <w:b/>
          <w:color w:val="000000"/>
          <w:sz w:val="24"/>
          <w:szCs w:val="24"/>
        </w:rPr>
      </w:pPr>
    </w:p>
    <w:p w14:paraId="30FDC44A" w14:textId="77777777" w:rsidR="001F4F15" w:rsidRDefault="001F4F15">
      <w:pPr>
        <w:rPr>
          <w:rFonts w:ascii="Times New Roman" w:eastAsia="Times New Roman" w:hAnsi="Times New Roman" w:cs="Times New Roman"/>
          <w:b/>
          <w:color w:val="000000"/>
          <w:sz w:val="24"/>
          <w:szCs w:val="24"/>
        </w:rPr>
      </w:pPr>
    </w:p>
    <w:p w14:paraId="5E6F16E7" w14:textId="77777777" w:rsidR="001F4F15" w:rsidRDefault="001F4F15">
      <w:pPr>
        <w:rPr>
          <w:rFonts w:ascii="Times New Roman" w:eastAsia="MS Gothic" w:hAnsi="Times New Roman" w:cs="Times New Roman"/>
          <w:b/>
          <w:bCs/>
          <w:color w:val="365F91"/>
          <w:sz w:val="28"/>
          <w:szCs w:val="28"/>
        </w:rPr>
        <w:sectPr w:rsidR="001F4F15" w:rsidSect="001F4F15">
          <w:footerReference w:type="default" r:id="rId9"/>
          <w:pgSz w:w="11910" w:h="16840"/>
          <w:pgMar w:top="1060" w:right="1420" w:bottom="980" w:left="1480" w:header="720" w:footer="797" w:gutter="0"/>
          <w:pgNumType w:start="1"/>
          <w:cols w:space="720"/>
        </w:sectPr>
      </w:pPr>
    </w:p>
    <w:sdt>
      <w:sdtPr>
        <w:rPr>
          <w:rFonts w:ascii="Times New Roman" w:eastAsiaTheme="minorHAnsi" w:hAnsi="Times New Roman" w:cstheme="minorBidi"/>
          <w:b w:val="0"/>
          <w:bCs w:val="0"/>
          <w:caps/>
          <w:noProof/>
          <w:color w:val="auto"/>
          <w:sz w:val="22"/>
          <w:szCs w:val="22"/>
        </w:rPr>
        <w:id w:val="-1133790992"/>
        <w:docPartObj>
          <w:docPartGallery w:val="Table of Contents"/>
          <w:docPartUnique/>
        </w:docPartObj>
      </w:sdtPr>
      <w:sdtEndPr>
        <w:rPr>
          <w:rFonts w:eastAsia="Times New Roman" w:cs="Arial"/>
          <w:b/>
          <w:bCs/>
          <w:caps w:val="0"/>
          <w:sz w:val="24"/>
          <w:szCs w:val="24"/>
        </w:rPr>
      </w:sdtEndPr>
      <w:sdtContent>
        <w:p w14:paraId="0B5EDE57" w14:textId="77777777" w:rsidR="00755861" w:rsidRPr="005107DF" w:rsidRDefault="00755861" w:rsidP="00AB264C">
          <w:pPr>
            <w:pStyle w:val="TOCHeading"/>
            <w:spacing w:before="0"/>
            <w:rPr>
              <w:rFonts w:ascii="Times New Roman" w:hAnsi="Times New Roman"/>
            </w:rPr>
          </w:pPr>
          <w:r>
            <w:rPr>
              <w:rFonts w:ascii="Times New Roman" w:hAnsi="Times New Roman"/>
            </w:rPr>
            <w:t>Table des matières</w:t>
          </w:r>
        </w:p>
        <w:p w14:paraId="384EDE79" w14:textId="349EC4A1" w:rsidR="006D7143" w:rsidRDefault="00755861">
          <w:pPr>
            <w:pStyle w:val="TOC1"/>
            <w:rPr>
              <w:rFonts w:asciiTheme="minorHAnsi" w:eastAsiaTheme="minorEastAsia" w:hAnsiTheme="minorHAnsi" w:cstheme="minorBidi"/>
              <w:b w:val="0"/>
              <w:bCs w:val="0"/>
              <w:caps w:val="0"/>
              <w:sz w:val="22"/>
              <w:szCs w:val="22"/>
              <w:lang w:val="en-GB" w:eastAsia="en-GB" w:bidi="ar-SA"/>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hyperlink w:anchor="_Toc2860908" w:history="1">
            <w:r w:rsidR="006D7143" w:rsidRPr="006B072F">
              <w:rPr>
                <w:rStyle w:val="Hyperlink"/>
              </w:rPr>
              <w:t>GLOSSAIRE</w:t>
            </w:r>
            <w:r w:rsidR="00B9331A">
              <w:rPr>
                <w:rStyle w:val="Hyperlink"/>
              </w:rPr>
              <w:tab/>
            </w:r>
            <w:r w:rsidR="006D7143">
              <w:rPr>
                <w:webHidden/>
              </w:rPr>
              <w:tab/>
            </w:r>
            <w:r w:rsidR="006D7143">
              <w:rPr>
                <w:webHidden/>
              </w:rPr>
              <w:fldChar w:fldCharType="begin"/>
            </w:r>
            <w:r w:rsidR="006D7143">
              <w:rPr>
                <w:webHidden/>
              </w:rPr>
              <w:instrText xml:space="preserve"> PAGEREF _Toc2860908 \h </w:instrText>
            </w:r>
            <w:r w:rsidR="006D7143">
              <w:rPr>
                <w:webHidden/>
              </w:rPr>
            </w:r>
            <w:r w:rsidR="006D7143">
              <w:rPr>
                <w:webHidden/>
              </w:rPr>
              <w:fldChar w:fldCharType="separate"/>
            </w:r>
            <w:r w:rsidR="00CC09A6">
              <w:rPr>
                <w:webHidden/>
              </w:rPr>
              <w:t>131</w:t>
            </w:r>
            <w:r w:rsidR="006D7143">
              <w:rPr>
                <w:webHidden/>
              </w:rPr>
              <w:fldChar w:fldCharType="end"/>
            </w:r>
          </w:hyperlink>
        </w:p>
        <w:p w14:paraId="44B987DF" w14:textId="11867D62" w:rsidR="006D7143" w:rsidRDefault="00CC09A6">
          <w:pPr>
            <w:pStyle w:val="TOC1"/>
            <w:rPr>
              <w:rFonts w:asciiTheme="minorHAnsi" w:eastAsiaTheme="minorEastAsia" w:hAnsiTheme="minorHAnsi" w:cstheme="minorBidi"/>
              <w:b w:val="0"/>
              <w:bCs w:val="0"/>
              <w:caps w:val="0"/>
              <w:sz w:val="22"/>
              <w:szCs w:val="22"/>
              <w:lang w:val="en-GB" w:eastAsia="en-GB" w:bidi="ar-SA"/>
            </w:rPr>
          </w:pPr>
          <w:hyperlink w:anchor="_Toc2860909" w:history="1">
            <w:r w:rsidR="006D7143" w:rsidRPr="006B072F">
              <w:rPr>
                <w:rStyle w:val="Hyperlink"/>
              </w:rPr>
              <w:t>PRÉFACE</w:t>
            </w:r>
            <w:r w:rsidR="00B9331A">
              <w:rPr>
                <w:rStyle w:val="Hyperlink"/>
              </w:rPr>
              <w:tab/>
            </w:r>
            <w:r w:rsidR="006D7143">
              <w:rPr>
                <w:webHidden/>
              </w:rPr>
              <w:tab/>
            </w:r>
            <w:r w:rsidR="006D7143">
              <w:rPr>
                <w:webHidden/>
              </w:rPr>
              <w:fldChar w:fldCharType="begin"/>
            </w:r>
            <w:r w:rsidR="006D7143">
              <w:rPr>
                <w:webHidden/>
              </w:rPr>
              <w:instrText xml:space="preserve"> PAGEREF _Toc2860909 \h </w:instrText>
            </w:r>
            <w:r w:rsidR="006D7143">
              <w:rPr>
                <w:webHidden/>
              </w:rPr>
            </w:r>
            <w:r w:rsidR="006D7143">
              <w:rPr>
                <w:webHidden/>
              </w:rPr>
              <w:fldChar w:fldCharType="separate"/>
            </w:r>
            <w:r>
              <w:rPr>
                <w:webHidden/>
              </w:rPr>
              <w:t>133</w:t>
            </w:r>
            <w:r w:rsidR="006D7143">
              <w:rPr>
                <w:webHidden/>
              </w:rPr>
              <w:fldChar w:fldCharType="end"/>
            </w:r>
          </w:hyperlink>
        </w:p>
        <w:p w14:paraId="1C9E4D88" w14:textId="52CFC15F" w:rsidR="006D7143" w:rsidRDefault="00CC09A6">
          <w:pPr>
            <w:pStyle w:val="TOC1"/>
            <w:rPr>
              <w:rFonts w:asciiTheme="minorHAnsi" w:eastAsiaTheme="minorEastAsia" w:hAnsiTheme="minorHAnsi" w:cstheme="minorBidi"/>
              <w:b w:val="0"/>
              <w:bCs w:val="0"/>
              <w:caps w:val="0"/>
              <w:sz w:val="22"/>
              <w:szCs w:val="22"/>
              <w:lang w:val="en-GB" w:eastAsia="en-GB" w:bidi="ar-SA"/>
            </w:rPr>
          </w:pPr>
          <w:hyperlink w:anchor="_Toc2860910" w:history="1">
            <w:r w:rsidR="006D7143" w:rsidRPr="006B072F">
              <w:rPr>
                <w:rStyle w:val="Hyperlink"/>
              </w:rPr>
              <w:t>Section 1: introduction</w:t>
            </w:r>
            <w:r w:rsidR="006D7143">
              <w:rPr>
                <w:webHidden/>
              </w:rPr>
              <w:tab/>
            </w:r>
            <w:r w:rsidR="006D7143">
              <w:rPr>
                <w:webHidden/>
              </w:rPr>
              <w:fldChar w:fldCharType="begin"/>
            </w:r>
            <w:r w:rsidR="006D7143">
              <w:rPr>
                <w:webHidden/>
              </w:rPr>
              <w:instrText xml:space="preserve"> PAGEREF _Toc2860910 \h </w:instrText>
            </w:r>
            <w:r w:rsidR="006D7143">
              <w:rPr>
                <w:webHidden/>
              </w:rPr>
            </w:r>
            <w:r w:rsidR="006D7143">
              <w:rPr>
                <w:webHidden/>
              </w:rPr>
              <w:fldChar w:fldCharType="separate"/>
            </w:r>
            <w:r>
              <w:rPr>
                <w:webHidden/>
              </w:rPr>
              <w:t>134</w:t>
            </w:r>
            <w:r w:rsidR="006D7143">
              <w:rPr>
                <w:webHidden/>
              </w:rPr>
              <w:fldChar w:fldCharType="end"/>
            </w:r>
          </w:hyperlink>
        </w:p>
        <w:p w14:paraId="001113E1" w14:textId="5E9757F4" w:rsidR="006D7143" w:rsidRDefault="00CC09A6">
          <w:pPr>
            <w:pStyle w:val="TOC2"/>
            <w:rPr>
              <w:rFonts w:asciiTheme="minorHAnsi" w:eastAsiaTheme="minorEastAsia" w:hAnsiTheme="minorHAnsi" w:cstheme="minorBidi"/>
              <w:sz w:val="22"/>
              <w:szCs w:val="22"/>
              <w:lang w:val="en-GB" w:eastAsia="en-GB" w:bidi="ar-SA"/>
            </w:rPr>
          </w:pPr>
          <w:hyperlink w:anchor="_Toc2860911" w:history="1">
            <w:r w:rsidR="006D7143" w:rsidRPr="006B072F">
              <w:rPr>
                <w:rStyle w:val="Hyperlink"/>
              </w:rPr>
              <w:t>1.1 Le jumelage en tant qu’outil de renforcement des capacités institutionnelles</w:t>
            </w:r>
            <w:r w:rsidR="006D7143">
              <w:rPr>
                <w:webHidden/>
              </w:rPr>
              <w:tab/>
            </w:r>
            <w:r w:rsidR="006D7143">
              <w:rPr>
                <w:webHidden/>
              </w:rPr>
              <w:fldChar w:fldCharType="begin"/>
            </w:r>
            <w:r w:rsidR="006D7143">
              <w:rPr>
                <w:webHidden/>
              </w:rPr>
              <w:instrText xml:space="preserve"> PAGEREF _Toc2860911 \h </w:instrText>
            </w:r>
            <w:r w:rsidR="006D7143">
              <w:rPr>
                <w:webHidden/>
              </w:rPr>
            </w:r>
            <w:r w:rsidR="006D7143">
              <w:rPr>
                <w:webHidden/>
              </w:rPr>
              <w:fldChar w:fldCharType="separate"/>
            </w:r>
            <w:r>
              <w:rPr>
                <w:webHidden/>
              </w:rPr>
              <w:t>134</w:t>
            </w:r>
            <w:r w:rsidR="006D7143">
              <w:rPr>
                <w:webHidden/>
              </w:rPr>
              <w:fldChar w:fldCharType="end"/>
            </w:r>
          </w:hyperlink>
        </w:p>
        <w:p w14:paraId="2A345E6E" w14:textId="3BA6484E" w:rsidR="006D7143" w:rsidRDefault="00CC09A6">
          <w:pPr>
            <w:pStyle w:val="TOC2"/>
            <w:rPr>
              <w:rFonts w:asciiTheme="minorHAnsi" w:eastAsiaTheme="minorEastAsia" w:hAnsiTheme="minorHAnsi" w:cstheme="minorBidi"/>
              <w:sz w:val="22"/>
              <w:szCs w:val="22"/>
              <w:lang w:val="en-GB" w:eastAsia="en-GB" w:bidi="ar-SA"/>
            </w:rPr>
          </w:pPr>
          <w:hyperlink w:anchor="_Toc2860912" w:history="1">
            <w:r w:rsidR="006D7143" w:rsidRPr="006B072F">
              <w:rPr>
                <w:rStyle w:val="Hyperlink"/>
              </w:rPr>
              <w:t>1.2 Les modes de gestion du jumelage et les administrations contractantes</w:t>
            </w:r>
            <w:r w:rsidR="006D7143">
              <w:rPr>
                <w:webHidden/>
              </w:rPr>
              <w:tab/>
            </w:r>
            <w:r w:rsidR="006D7143">
              <w:rPr>
                <w:webHidden/>
              </w:rPr>
              <w:fldChar w:fldCharType="begin"/>
            </w:r>
            <w:r w:rsidR="006D7143">
              <w:rPr>
                <w:webHidden/>
              </w:rPr>
              <w:instrText xml:space="preserve"> PAGEREF _Toc2860912 \h </w:instrText>
            </w:r>
            <w:r w:rsidR="006D7143">
              <w:rPr>
                <w:webHidden/>
              </w:rPr>
            </w:r>
            <w:r w:rsidR="006D7143">
              <w:rPr>
                <w:webHidden/>
              </w:rPr>
              <w:fldChar w:fldCharType="separate"/>
            </w:r>
            <w:r>
              <w:rPr>
                <w:webHidden/>
              </w:rPr>
              <w:t>136</w:t>
            </w:r>
            <w:r w:rsidR="006D7143">
              <w:rPr>
                <w:webHidden/>
              </w:rPr>
              <w:fldChar w:fldCharType="end"/>
            </w:r>
          </w:hyperlink>
        </w:p>
        <w:p w14:paraId="36176493" w14:textId="65225D32" w:rsidR="006D7143" w:rsidRDefault="00CC09A6">
          <w:pPr>
            <w:pStyle w:val="TOC1"/>
            <w:rPr>
              <w:rFonts w:asciiTheme="minorHAnsi" w:eastAsiaTheme="minorEastAsia" w:hAnsiTheme="minorHAnsi" w:cstheme="minorBidi"/>
              <w:b w:val="0"/>
              <w:bCs w:val="0"/>
              <w:caps w:val="0"/>
              <w:sz w:val="22"/>
              <w:szCs w:val="22"/>
              <w:lang w:val="en-GB" w:eastAsia="en-GB" w:bidi="ar-SA"/>
            </w:rPr>
          </w:pPr>
          <w:hyperlink w:anchor="_Toc2860913" w:history="1">
            <w:r w:rsidR="006D7143" w:rsidRPr="006B072F">
              <w:rPr>
                <w:rStyle w:val="Hyperlink"/>
              </w:rPr>
              <w:t>Section 2: fiche de jumelage, appel à propositions, soumission et sélection</w:t>
            </w:r>
            <w:r w:rsidR="006D7143">
              <w:rPr>
                <w:webHidden/>
              </w:rPr>
              <w:tab/>
            </w:r>
            <w:r w:rsidR="006D7143">
              <w:rPr>
                <w:webHidden/>
              </w:rPr>
              <w:fldChar w:fldCharType="begin"/>
            </w:r>
            <w:r w:rsidR="006D7143">
              <w:rPr>
                <w:webHidden/>
              </w:rPr>
              <w:instrText xml:space="preserve"> PAGEREF _Toc2860913 \h </w:instrText>
            </w:r>
            <w:r w:rsidR="006D7143">
              <w:rPr>
                <w:webHidden/>
              </w:rPr>
            </w:r>
            <w:r w:rsidR="006D7143">
              <w:rPr>
                <w:webHidden/>
              </w:rPr>
              <w:fldChar w:fldCharType="separate"/>
            </w:r>
            <w:r>
              <w:rPr>
                <w:webHidden/>
              </w:rPr>
              <w:t>138</w:t>
            </w:r>
            <w:r w:rsidR="006D7143">
              <w:rPr>
                <w:webHidden/>
              </w:rPr>
              <w:fldChar w:fldCharType="end"/>
            </w:r>
          </w:hyperlink>
        </w:p>
        <w:p w14:paraId="3A7A2EE0" w14:textId="215B6712" w:rsidR="006D7143" w:rsidRDefault="00CC09A6">
          <w:pPr>
            <w:pStyle w:val="TOC2"/>
            <w:rPr>
              <w:rFonts w:asciiTheme="minorHAnsi" w:eastAsiaTheme="minorEastAsia" w:hAnsiTheme="minorHAnsi" w:cstheme="minorBidi"/>
              <w:sz w:val="22"/>
              <w:szCs w:val="22"/>
              <w:lang w:val="en-GB" w:eastAsia="en-GB" w:bidi="ar-SA"/>
            </w:rPr>
          </w:pPr>
          <w:hyperlink w:anchor="_Toc2860914" w:history="1">
            <w:r w:rsidR="006D7143" w:rsidRPr="006B072F">
              <w:rPr>
                <w:rStyle w:val="Hyperlink"/>
              </w:rPr>
              <w:t>2.1 Fiche de jumelage et appel à propositions</w:t>
            </w:r>
            <w:r w:rsidR="006D7143">
              <w:rPr>
                <w:webHidden/>
              </w:rPr>
              <w:tab/>
            </w:r>
            <w:r w:rsidR="006D7143">
              <w:rPr>
                <w:webHidden/>
              </w:rPr>
              <w:fldChar w:fldCharType="begin"/>
            </w:r>
            <w:r w:rsidR="006D7143">
              <w:rPr>
                <w:webHidden/>
              </w:rPr>
              <w:instrText xml:space="preserve"> PAGEREF _Toc2860914 \h </w:instrText>
            </w:r>
            <w:r w:rsidR="006D7143">
              <w:rPr>
                <w:webHidden/>
              </w:rPr>
            </w:r>
            <w:r w:rsidR="006D7143">
              <w:rPr>
                <w:webHidden/>
              </w:rPr>
              <w:fldChar w:fldCharType="separate"/>
            </w:r>
            <w:r>
              <w:rPr>
                <w:webHidden/>
              </w:rPr>
              <w:t>138</w:t>
            </w:r>
            <w:r w:rsidR="006D7143">
              <w:rPr>
                <w:webHidden/>
              </w:rPr>
              <w:fldChar w:fldCharType="end"/>
            </w:r>
          </w:hyperlink>
        </w:p>
        <w:p w14:paraId="7C65082F" w14:textId="3FD73E43" w:rsidR="006D7143" w:rsidRDefault="00CC09A6">
          <w:pPr>
            <w:pStyle w:val="TOC3"/>
            <w:rPr>
              <w:rFonts w:asciiTheme="minorHAnsi" w:eastAsiaTheme="minorEastAsia" w:hAnsiTheme="minorHAnsi" w:cstheme="minorBidi"/>
              <w:sz w:val="22"/>
              <w:szCs w:val="22"/>
              <w:lang w:val="en-GB" w:eastAsia="en-GB" w:bidi="ar-SA"/>
            </w:rPr>
          </w:pPr>
          <w:hyperlink w:anchor="_Toc2860915" w:history="1">
            <w:r w:rsidR="006D7143" w:rsidRPr="006B072F">
              <w:rPr>
                <w:rStyle w:val="Hyperlink"/>
              </w:rPr>
              <w:t>2.1.1 Principaux éléments de la fiche de jumelage</w:t>
            </w:r>
            <w:r w:rsidR="006D7143">
              <w:rPr>
                <w:webHidden/>
              </w:rPr>
              <w:tab/>
            </w:r>
            <w:r w:rsidR="006D7143">
              <w:rPr>
                <w:webHidden/>
              </w:rPr>
              <w:fldChar w:fldCharType="begin"/>
            </w:r>
            <w:r w:rsidR="006D7143">
              <w:rPr>
                <w:webHidden/>
              </w:rPr>
              <w:instrText xml:space="preserve"> PAGEREF _Toc2860915 \h </w:instrText>
            </w:r>
            <w:r w:rsidR="006D7143">
              <w:rPr>
                <w:webHidden/>
              </w:rPr>
            </w:r>
            <w:r w:rsidR="006D7143">
              <w:rPr>
                <w:webHidden/>
              </w:rPr>
              <w:fldChar w:fldCharType="separate"/>
            </w:r>
            <w:r>
              <w:rPr>
                <w:webHidden/>
              </w:rPr>
              <w:t>138</w:t>
            </w:r>
            <w:r w:rsidR="006D7143">
              <w:rPr>
                <w:webHidden/>
              </w:rPr>
              <w:fldChar w:fldCharType="end"/>
            </w:r>
          </w:hyperlink>
        </w:p>
        <w:p w14:paraId="4AF7F7D9" w14:textId="2028193C" w:rsidR="006D7143" w:rsidRDefault="00CC09A6">
          <w:pPr>
            <w:pStyle w:val="TOC3"/>
            <w:rPr>
              <w:rFonts w:asciiTheme="minorHAnsi" w:eastAsiaTheme="minorEastAsia" w:hAnsiTheme="minorHAnsi" w:cstheme="minorBidi"/>
              <w:sz w:val="22"/>
              <w:szCs w:val="22"/>
              <w:lang w:val="en-GB" w:eastAsia="en-GB" w:bidi="ar-SA"/>
            </w:rPr>
          </w:pPr>
          <w:hyperlink w:anchor="_Toc2860916" w:history="1">
            <w:r w:rsidR="006D7143" w:rsidRPr="006B072F">
              <w:rPr>
                <w:rStyle w:val="Hyperlink"/>
              </w:rPr>
              <w:t>2.1.2 Procédure relative au groupe interservices de jumelage</w:t>
            </w:r>
            <w:r w:rsidR="006D7143">
              <w:rPr>
                <w:webHidden/>
              </w:rPr>
              <w:tab/>
            </w:r>
            <w:r w:rsidR="006D7143">
              <w:rPr>
                <w:webHidden/>
              </w:rPr>
              <w:fldChar w:fldCharType="begin"/>
            </w:r>
            <w:r w:rsidR="006D7143">
              <w:rPr>
                <w:webHidden/>
              </w:rPr>
              <w:instrText xml:space="preserve"> PAGEREF _Toc2860916 \h </w:instrText>
            </w:r>
            <w:r w:rsidR="006D7143">
              <w:rPr>
                <w:webHidden/>
              </w:rPr>
            </w:r>
            <w:r w:rsidR="006D7143">
              <w:rPr>
                <w:webHidden/>
              </w:rPr>
              <w:fldChar w:fldCharType="separate"/>
            </w:r>
            <w:r>
              <w:rPr>
                <w:webHidden/>
              </w:rPr>
              <w:t>139</w:t>
            </w:r>
            <w:r w:rsidR="006D7143">
              <w:rPr>
                <w:webHidden/>
              </w:rPr>
              <w:fldChar w:fldCharType="end"/>
            </w:r>
          </w:hyperlink>
        </w:p>
        <w:p w14:paraId="25EC1494" w14:textId="2CC1AAFF" w:rsidR="006D7143" w:rsidRDefault="00CC09A6">
          <w:pPr>
            <w:pStyle w:val="TOC3"/>
            <w:rPr>
              <w:rFonts w:asciiTheme="minorHAnsi" w:eastAsiaTheme="minorEastAsia" w:hAnsiTheme="minorHAnsi" w:cstheme="minorBidi"/>
              <w:sz w:val="22"/>
              <w:szCs w:val="22"/>
              <w:lang w:val="en-GB" w:eastAsia="en-GB" w:bidi="ar-SA"/>
            </w:rPr>
          </w:pPr>
          <w:hyperlink w:anchor="_Toc2860917" w:history="1">
            <w:r w:rsidR="006D7143" w:rsidRPr="006B072F">
              <w:rPr>
                <w:rStyle w:val="Hyperlink"/>
              </w:rPr>
              <w:t>2.1.3 Diffusion de la fiche de jumelage/de l’appel à propositions</w:t>
            </w:r>
            <w:r w:rsidR="006D7143">
              <w:rPr>
                <w:webHidden/>
              </w:rPr>
              <w:tab/>
            </w:r>
            <w:r w:rsidR="006D7143">
              <w:rPr>
                <w:webHidden/>
              </w:rPr>
              <w:fldChar w:fldCharType="begin"/>
            </w:r>
            <w:r w:rsidR="006D7143">
              <w:rPr>
                <w:webHidden/>
              </w:rPr>
              <w:instrText xml:space="preserve"> PAGEREF _Toc2860917 \h </w:instrText>
            </w:r>
            <w:r w:rsidR="006D7143">
              <w:rPr>
                <w:webHidden/>
              </w:rPr>
            </w:r>
            <w:r w:rsidR="006D7143">
              <w:rPr>
                <w:webHidden/>
              </w:rPr>
              <w:fldChar w:fldCharType="separate"/>
            </w:r>
            <w:r>
              <w:rPr>
                <w:webHidden/>
              </w:rPr>
              <w:t>140</w:t>
            </w:r>
            <w:r w:rsidR="006D7143">
              <w:rPr>
                <w:webHidden/>
              </w:rPr>
              <w:fldChar w:fldCharType="end"/>
            </w:r>
          </w:hyperlink>
        </w:p>
        <w:p w14:paraId="6CDE35F3" w14:textId="0551A75C" w:rsidR="006D7143" w:rsidRDefault="00CC09A6">
          <w:pPr>
            <w:pStyle w:val="TOC3"/>
            <w:rPr>
              <w:rFonts w:asciiTheme="minorHAnsi" w:eastAsiaTheme="minorEastAsia" w:hAnsiTheme="minorHAnsi" w:cstheme="minorBidi"/>
              <w:sz w:val="22"/>
              <w:szCs w:val="22"/>
              <w:lang w:val="en-GB" w:eastAsia="en-GB" w:bidi="ar-SA"/>
            </w:rPr>
          </w:pPr>
          <w:hyperlink w:anchor="_Toc2860918" w:history="1">
            <w:r w:rsidR="006D7143" w:rsidRPr="006B072F">
              <w:rPr>
                <w:rStyle w:val="Hyperlink"/>
              </w:rPr>
              <w:t>2.1.4 Nouvelle diffusion de la fiche de jumelage</w:t>
            </w:r>
            <w:r w:rsidR="006D7143">
              <w:rPr>
                <w:webHidden/>
              </w:rPr>
              <w:tab/>
            </w:r>
            <w:r w:rsidR="006D7143">
              <w:rPr>
                <w:webHidden/>
              </w:rPr>
              <w:fldChar w:fldCharType="begin"/>
            </w:r>
            <w:r w:rsidR="006D7143">
              <w:rPr>
                <w:webHidden/>
              </w:rPr>
              <w:instrText xml:space="preserve"> PAGEREF _Toc2860918 \h </w:instrText>
            </w:r>
            <w:r w:rsidR="006D7143">
              <w:rPr>
                <w:webHidden/>
              </w:rPr>
            </w:r>
            <w:r w:rsidR="006D7143">
              <w:rPr>
                <w:webHidden/>
              </w:rPr>
              <w:fldChar w:fldCharType="separate"/>
            </w:r>
            <w:r>
              <w:rPr>
                <w:webHidden/>
              </w:rPr>
              <w:t>140</w:t>
            </w:r>
            <w:r w:rsidR="006D7143">
              <w:rPr>
                <w:webHidden/>
              </w:rPr>
              <w:fldChar w:fldCharType="end"/>
            </w:r>
          </w:hyperlink>
        </w:p>
        <w:p w14:paraId="23C8905C" w14:textId="6F5B82B5" w:rsidR="006D7143" w:rsidRDefault="00CC09A6">
          <w:pPr>
            <w:pStyle w:val="TOC2"/>
            <w:rPr>
              <w:rFonts w:asciiTheme="minorHAnsi" w:eastAsiaTheme="minorEastAsia" w:hAnsiTheme="minorHAnsi" w:cstheme="minorBidi"/>
              <w:sz w:val="22"/>
              <w:szCs w:val="22"/>
              <w:lang w:val="en-GB" w:eastAsia="en-GB" w:bidi="ar-SA"/>
            </w:rPr>
          </w:pPr>
          <w:hyperlink w:anchor="_Toc2860919" w:history="1">
            <w:r w:rsidR="006D7143" w:rsidRPr="006B072F">
              <w:rPr>
                <w:rStyle w:val="Hyperlink"/>
              </w:rPr>
              <w:t>2.2 Soumission des propositions</w:t>
            </w:r>
            <w:r w:rsidR="006D7143">
              <w:rPr>
                <w:webHidden/>
              </w:rPr>
              <w:tab/>
            </w:r>
            <w:r w:rsidR="006D7143">
              <w:rPr>
                <w:webHidden/>
              </w:rPr>
              <w:fldChar w:fldCharType="begin"/>
            </w:r>
            <w:r w:rsidR="006D7143">
              <w:rPr>
                <w:webHidden/>
              </w:rPr>
              <w:instrText xml:space="preserve"> PAGEREF _Toc2860919 \h </w:instrText>
            </w:r>
            <w:r w:rsidR="006D7143">
              <w:rPr>
                <w:webHidden/>
              </w:rPr>
            </w:r>
            <w:r w:rsidR="006D7143">
              <w:rPr>
                <w:webHidden/>
              </w:rPr>
              <w:fldChar w:fldCharType="separate"/>
            </w:r>
            <w:r>
              <w:rPr>
                <w:webHidden/>
              </w:rPr>
              <w:t>141</w:t>
            </w:r>
            <w:r w:rsidR="006D7143">
              <w:rPr>
                <w:webHidden/>
              </w:rPr>
              <w:fldChar w:fldCharType="end"/>
            </w:r>
          </w:hyperlink>
        </w:p>
        <w:p w14:paraId="6056CE3F" w14:textId="694E9C75" w:rsidR="006D7143" w:rsidRDefault="00CC09A6">
          <w:pPr>
            <w:pStyle w:val="TOC2"/>
            <w:rPr>
              <w:rFonts w:asciiTheme="minorHAnsi" w:eastAsiaTheme="minorEastAsia" w:hAnsiTheme="minorHAnsi" w:cstheme="minorBidi"/>
              <w:sz w:val="22"/>
              <w:szCs w:val="22"/>
              <w:lang w:val="en-GB" w:eastAsia="en-GB" w:bidi="ar-SA"/>
            </w:rPr>
          </w:pPr>
          <w:hyperlink w:anchor="_Toc2860920" w:history="1">
            <w:r w:rsidR="006D7143" w:rsidRPr="006B072F">
              <w:rPr>
                <w:rStyle w:val="Hyperlink"/>
              </w:rPr>
              <w:t>2.3 Consortiums d’États membres</w:t>
            </w:r>
            <w:r w:rsidR="006D7143">
              <w:rPr>
                <w:webHidden/>
              </w:rPr>
              <w:tab/>
            </w:r>
            <w:r w:rsidR="006D7143">
              <w:rPr>
                <w:webHidden/>
              </w:rPr>
              <w:fldChar w:fldCharType="begin"/>
            </w:r>
            <w:r w:rsidR="006D7143">
              <w:rPr>
                <w:webHidden/>
              </w:rPr>
              <w:instrText xml:space="preserve"> PAGEREF _Toc2860920 \h </w:instrText>
            </w:r>
            <w:r w:rsidR="006D7143">
              <w:rPr>
                <w:webHidden/>
              </w:rPr>
            </w:r>
            <w:r w:rsidR="006D7143">
              <w:rPr>
                <w:webHidden/>
              </w:rPr>
              <w:fldChar w:fldCharType="separate"/>
            </w:r>
            <w:r>
              <w:rPr>
                <w:webHidden/>
              </w:rPr>
              <w:t>141</w:t>
            </w:r>
            <w:r w:rsidR="006D7143">
              <w:rPr>
                <w:webHidden/>
              </w:rPr>
              <w:fldChar w:fldCharType="end"/>
            </w:r>
          </w:hyperlink>
        </w:p>
        <w:p w14:paraId="7D3322E5" w14:textId="1420F14E" w:rsidR="006D7143" w:rsidRDefault="00CC09A6">
          <w:pPr>
            <w:pStyle w:val="TOC2"/>
            <w:rPr>
              <w:rFonts w:asciiTheme="minorHAnsi" w:eastAsiaTheme="minorEastAsia" w:hAnsiTheme="minorHAnsi" w:cstheme="minorBidi"/>
              <w:sz w:val="22"/>
              <w:szCs w:val="22"/>
              <w:lang w:val="en-GB" w:eastAsia="en-GB" w:bidi="ar-SA"/>
            </w:rPr>
          </w:pPr>
          <w:hyperlink w:anchor="_Toc2860921" w:history="1">
            <w:r w:rsidR="006D7143" w:rsidRPr="006B072F">
              <w:rPr>
                <w:rStyle w:val="Hyperlink"/>
              </w:rPr>
              <w:t>2.4 Sélection de l’État membre ou des États membres</w:t>
            </w:r>
            <w:r w:rsidR="006D7143">
              <w:rPr>
                <w:webHidden/>
              </w:rPr>
              <w:tab/>
            </w:r>
            <w:r w:rsidR="006D7143">
              <w:rPr>
                <w:webHidden/>
              </w:rPr>
              <w:fldChar w:fldCharType="begin"/>
            </w:r>
            <w:r w:rsidR="006D7143">
              <w:rPr>
                <w:webHidden/>
              </w:rPr>
              <w:instrText xml:space="preserve"> PAGEREF _Toc2860921 \h </w:instrText>
            </w:r>
            <w:r w:rsidR="006D7143">
              <w:rPr>
                <w:webHidden/>
              </w:rPr>
            </w:r>
            <w:r w:rsidR="006D7143">
              <w:rPr>
                <w:webHidden/>
              </w:rPr>
              <w:fldChar w:fldCharType="separate"/>
            </w:r>
            <w:r>
              <w:rPr>
                <w:webHidden/>
              </w:rPr>
              <w:t>142</w:t>
            </w:r>
            <w:r w:rsidR="006D7143">
              <w:rPr>
                <w:webHidden/>
              </w:rPr>
              <w:fldChar w:fldCharType="end"/>
            </w:r>
          </w:hyperlink>
        </w:p>
        <w:p w14:paraId="2DCEAD7E" w14:textId="04AE9D42" w:rsidR="006D7143" w:rsidRDefault="00CC09A6">
          <w:pPr>
            <w:pStyle w:val="TOC3"/>
            <w:rPr>
              <w:rFonts w:asciiTheme="minorHAnsi" w:eastAsiaTheme="minorEastAsia" w:hAnsiTheme="minorHAnsi" w:cstheme="minorBidi"/>
              <w:sz w:val="22"/>
              <w:szCs w:val="22"/>
              <w:lang w:val="en-GB" w:eastAsia="en-GB" w:bidi="ar-SA"/>
            </w:rPr>
          </w:pPr>
          <w:hyperlink w:anchor="_Toc2860922" w:history="1">
            <w:r w:rsidR="006D7143" w:rsidRPr="006B072F">
              <w:rPr>
                <w:rStyle w:val="Hyperlink"/>
              </w:rPr>
              <w:t>2.4.1 Observations générales</w:t>
            </w:r>
            <w:r w:rsidR="006D7143">
              <w:rPr>
                <w:webHidden/>
              </w:rPr>
              <w:tab/>
            </w:r>
            <w:r w:rsidR="006D7143">
              <w:rPr>
                <w:webHidden/>
              </w:rPr>
              <w:fldChar w:fldCharType="begin"/>
            </w:r>
            <w:r w:rsidR="006D7143">
              <w:rPr>
                <w:webHidden/>
              </w:rPr>
              <w:instrText xml:space="preserve"> PAGEREF _Toc2860922 \h </w:instrText>
            </w:r>
            <w:r w:rsidR="006D7143">
              <w:rPr>
                <w:webHidden/>
              </w:rPr>
            </w:r>
            <w:r w:rsidR="006D7143">
              <w:rPr>
                <w:webHidden/>
              </w:rPr>
              <w:fldChar w:fldCharType="separate"/>
            </w:r>
            <w:r>
              <w:rPr>
                <w:webHidden/>
              </w:rPr>
              <w:t>142</w:t>
            </w:r>
            <w:r w:rsidR="006D7143">
              <w:rPr>
                <w:webHidden/>
              </w:rPr>
              <w:fldChar w:fldCharType="end"/>
            </w:r>
          </w:hyperlink>
        </w:p>
        <w:p w14:paraId="6CE28FD1" w14:textId="0785AAE5" w:rsidR="006D7143" w:rsidRDefault="00CC09A6">
          <w:pPr>
            <w:pStyle w:val="TOC3"/>
            <w:rPr>
              <w:rFonts w:asciiTheme="minorHAnsi" w:eastAsiaTheme="minorEastAsia" w:hAnsiTheme="minorHAnsi" w:cstheme="minorBidi"/>
              <w:sz w:val="22"/>
              <w:szCs w:val="22"/>
              <w:lang w:val="en-GB" w:eastAsia="en-GB" w:bidi="ar-SA"/>
            </w:rPr>
          </w:pPr>
          <w:hyperlink w:anchor="_Toc2860923" w:history="1">
            <w:r w:rsidR="006D7143" w:rsidRPr="006B072F">
              <w:rPr>
                <w:rStyle w:val="Hyperlink"/>
              </w:rPr>
              <w:t>2.4.2 Procédures de sélection</w:t>
            </w:r>
            <w:r w:rsidR="006D7143">
              <w:rPr>
                <w:webHidden/>
              </w:rPr>
              <w:tab/>
            </w:r>
            <w:r w:rsidR="006D7143">
              <w:rPr>
                <w:webHidden/>
              </w:rPr>
              <w:fldChar w:fldCharType="begin"/>
            </w:r>
            <w:r w:rsidR="006D7143">
              <w:rPr>
                <w:webHidden/>
              </w:rPr>
              <w:instrText xml:space="preserve"> PAGEREF _Toc2860923 \h </w:instrText>
            </w:r>
            <w:r w:rsidR="006D7143">
              <w:rPr>
                <w:webHidden/>
              </w:rPr>
            </w:r>
            <w:r w:rsidR="006D7143">
              <w:rPr>
                <w:webHidden/>
              </w:rPr>
              <w:fldChar w:fldCharType="separate"/>
            </w:r>
            <w:r>
              <w:rPr>
                <w:webHidden/>
              </w:rPr>
              <w:t>143</w:t>
            </w:r>
            <w:r w:rsidR="006D7143">
              <w:rPr>
                <w:webHidden/>
              </w:rPr>
              <w:fldChar w:fldCharType="end"/>
            </w:r>
          </w:hyperlink>
        </w:p>
        <w:p w14:paraId="4AB424FC" w14:textId="5FD79BDB" w:rsidR="006D7143" w:rsidRDefault="00CC09A6">
          <w:pPr>
            <w:pStyle w:val="TOC3"/>
            <w:rPr>
              <w:rFonts w:asciiTheme="minorHAnsi" w:eastAsiaTheme="minorEastAsia" w:hAnsiTheme="minorHAnsi" w:cstheme="minorBidi"/>
              <w:sz w:val="22"/>
              <w:szCs w:val="22"/>
              <w:lang w:val="en-GB" w:eastAsia="en-GB" w:bidi="ar-SA"/>
            </w:rPr>
          </w:pPr>
          <w:hyperlink w:anchor="_Toc2860924" w:history="1">
            <w:r w:rsidR="006D7143" w:rsidRPr="006B072F">
              <w:rPr>
                <w:rStyle w:val="Hyperlink"/>
              </w:rPr>
              <w:t>2.4.3 Notification des résultats</w:t>
            </w:r>
            <w:r w:rsidR="006D7143">
              <w:rPr>
                <w:webHidden/>
              </w:rPr>
              <w:tab/>
            </w:r>
            <w:r w:rsidR="006D7143">
              <w:rPr>
                <w:webHidden/>
              </w:rPr>
              <w:fldChar w:fldCharType="begin"/>
            </w:r>
            <w:r w:rsidR="006D7143">
              <w:rPr>
                <w:webHidden/>
              </w:rPr>
              <w:instrText xml:space="preserve"> PAGEREF _Toc2860924 \h </w:instrText>
            </w:r>
            <w:r w:rsidR="006D7143">
              <w:rPr>
                <w:webHidden/>
              </w:rPr>
            </w:r>
            <w:r w:rsidR="006D7143">
              <w:rPr>
                <w:webHidden/>
              </w:rPr>
              <w:fldChar w:fldCharType="separate"/>
            </w:r>
            <w:r>
              <w:rPr>
                <w:webHidden/>
              </w:rPr>
              <w:t>145</w:t>
            </w:r>
            <w:r w:rsidR="006D7143">
              <w:rPr>
                <w:webHidden/>
              </w:rPr>
              <w:fldChar w:fldCharType="end"/>
            </w:r>
          </w:hyperlink>
        </w:p>
        <w:p w14:paraId="7BFBAC4A" w14:textId="5684B8F0" w:rsidR="006D7143" w:rsidRDefault="00CC09A6">
          <w:pPr>
            <w:pStyle w:val="TOC1"/>
            <w:rPr>
              <w:rFonts w:asciiTheme="minorHAnsi" w:eastAsiaTheme="minorEastAsia" w:hAnsiTheme="minorHAnsi" w:cstheme="minorBidi"/>
              <w:b w:val="0"/>
              <w:bCs w:val="0"/>
              <w:caps w:val="0"/>
              <w:sz w:val="22"/>
              <w:szCs w:val="22"/>
              <w:lang w:val="en-GB" w:eastAsia="en-GB" w:bidi="ar-SA"/>
            </w:rPr>
          </w:pPr>
          <w:hyperlink w:anchor="_Toc2860925" w:history="1">
            <w:r w:rsidR="006D7143" w:rsidRPr="006B072F">
              <w:rPr>
                <w:rStyle w:val="Hyperlink"/>
              </w:rPr>
              <w:t>Section 3: le contrat de subvention de jumelage</w:t>
            </w:r>
            <w:r w:rsidR="006D7143">
              <w:rPr>
                <w:webHidden/>
              </w:rPr>
              <w:tab/>
            </w:r>
            <w:r w:rsidR="006D7143">
              <w:rPr>
                <w:webHidden/>
              </w:rPr>
              <w:fldChar w:fldCharType="begin"/>
            </w:r>
            <w:r w:rsidR="006D7143">
              <w:rPr>
                <w:webHidden/>
              </w:rPr>
              <w:instrText xml:space="preserve"> PAGEREF _Toc2860925 \h </w:instrText>
            </w:r>
            <w:r w:rsidR="006D7143">
              <w:rPr>
                <w:webHidden/>
              </w:rPr>
            </w:r>
            <w:r w:rsidR="006D7143">
              <w:rPr>
                <w:webHidden/>
              </w:rPr>
              <w:fldChar w:fldCharType="separate"/>
            </w:r>
            <w:r>
              <w:rPr>
                <w:webHidden/>
              </w:rPr>
              <w:t>146</w:t>
            </w:r>
            <w:r w:rsidR="006D7143">
              <w:rPr>
                <w:webHidden/>
              </w:rPr>
              <w:fldChar w:fldCharType="end"/>
            </w:r>
          </w:hyperlink>
        </w:p>
        <w:p w14:paraId="010D7D6F" w14:textId="700C9E7C" w:rsidR="006D7143" w:rsidRDefault="00CC09A6">
          <w:pPr>
            <w:pStyle w:val="TOC2"/>
            <w:rPr>
              <w:rFonts w:asciiTheme="minorHAnsi" w:eastAsiaTheme="minorEastAsia" w:hAnsiTheme="minorHAnsi" w:cstheme="minorBidi"/>
              <w:sz w:val="22"/>
              <w:szCs w:val="22"/>
              <w:lang w:val="en-GB" w:eastAsia="en-GB" w:bidi="ar-SA"/>
            </w:rPr>
          </w:pPr>
          <w:hyperlink w:anchor="_Toc2860926" w:history="1">
            <w:r w:rsidR="006D7143" w:rsidRPr="006B072F">
              <w:rPr>
                <w:rStyle w:val="Hyperlink"/>
              </w:rPr>
              <w:t>3.1 Élaboration du contrat de subvention de jumelage</w:t>
            </w:r>
            <w:r w:rsidR="006D7143">
              <w:rPr>
                <w:webHidden/>
              </w:rPr>
              <w:tab/>
            </w:r>
            <w:r w:rsidR="006D7143">
              <w:rPr>
                <w:webHidden/>
              </w:rPr>
              <w:fldChar w:fldCharType="begin"/>
            </w:r>
            <w:r w:rsidR="006D7143">
              <w:rPr>
                <w:webHidden/>
              </w:rPr>
              <w:instrText xml:space="preserve"> PAGEREF _Toc2860926 \h </w:instrText>
            </w:r>
            <w:r w:rsidR="006D7143">
              <w:rPr>
                <w:webHidden/>
              </w:rPr>
            </w:r>
            <w:r w:rsidR="006D7143">
              <w:rPr>
                <w:webHidden/>
              </w:rPr>
              <w:fldChar w:fldCharType="separate"/>
            </w:r>
            <w:r>
              <w:rPr>
                <w:webHidden/>
              </w:rPr>
              <w:t>146</w:t>
            </w:r>
            <w:r w:rsidR="006D7143">
              <w:rPr>
                <w:webHidden/>
              </w:rPr>
              <w:fldChar w:fldCharType="end"/>
            </w:r>
          </w:hyperlink>
        </w:p>
        <w:p w14:paraId="5D067C7D" w14:textId="4F3EFA66" w:rsidR="006D7143" w:rsidRDefault="00CC09A6">
          <w:pPr>
            <w:pStyle w:val="TOC3"/>
            <w:rPr>
              <w:rFonts w:asciiTheme="minorHAnsi" w:eastAsiaTheme="minorEastAsia" w:hAnsiTheme="minorHAnsi" w:cstheme="minorBidi"/>
              <w:sz w:val="22"/>
              <w:szCs w:val="22"/>
              <w:lang w:val="en-GB" w:eastAsia="en-GB" w:bidi="ar-SA"/>
            </w:rPr>
          </w:pPr>
          <w:hyperlink w:anchor="_Toc2860927" w:history="1">
            <w:r w:rsidR="006D7143" w:rsidRPr="006B072F">
              <w:rPr>
                <w:rStyle w:val="Hyperlink"/>
              </w:rPr>
              <w:t>3.1.1 Remarques générales et structure du contrat</w:t>
            </w:r>
            <w:r w:rsidR="006D7143">
              <w:rPr>
                <w:webHidden/>
              </w:rPr>
              <w:tab/>
            </w:r>
            <w:r w:rsidR="006D7143">
              <w:rPr>
                <w:webHidden/>
              </w:rPr>
              <w:fldChar w:fldCharType="begin"/>
            </w:r>
            <w:r w:rsidR="006D7143">
              <w:rPr>
                <w:webHidden/>
              </w:rPr>
              <w:instrText xml:space="preserve"> PAGEREF _Toc2860927 \h </w:instrText>
            </w:r>
            <w:r w:rsidR="006D7143">
              <w:rPr>
                <w:webHidden/>
              </w:rPr>
            </w:r>
            <w:r w:rsidR="006D7143">
              <w:rPr>
                <w:webHidden/>
              </w:rPr>
              <w:fldChar w:fldCharType="separate"/>
            </w:r>
            <w:r>
              <w:rPr>
                <w:webHidden/>
              </w:rPr>
              <w:t>146</w:t>
            </w:r>
            <w:r w:rsidR="006D7143">
              <w:rPr>
                <w:webHidden/>
              </w:rPr>
              <w:fldChar w:fldCharType="end"/>
            </w:r>
          </w:hyperlink>
        </w:p>
        <w:p w14:paraId="5CE29FC0" w14:textId="5CFF37CE" w:rsidR="006D7143" w:rsidRDefault="00CC09A6">
          <w:pPr>
            <w:pStyle w:val="TOC2"/>
            <w:rPr>
              <w:rFonts w:asciiTheme="minorHAnsi" w:eastAsiaTheme="minorEastAsia" w:hAnsiTheme="minorHAnsi" w:cstheme="minorBidi"/>
              <w:sz w:val="22"/>
              <w:szCs w:val="22"/>
              <w:lang w:val="en-GB" w:eastAsia="en-GB" w:bidi="ar-SA"/>
            </w:rPr>
          </w:pPr>
          <w:hyperlink w:anchor="_Toc2860929" w:history="1">
            <w:r w:rsidR="006D7143" w:rsidRPr="006B072F">
              <w:rPr>
                <w:rStyle w:val="Hyperlink"/>
              </w:rPr>
              <w:t>3.2 Signature du contrat de subvention de jumelage</w:t>
            </w:r>
            <w:r w:rsidR="006D7143">
              <w:rPr>
                <w:webHidden/>
              </w:rPr>
              <w:tab/>
            </w:r>
            <w:r w:rsidR="006D7143">
              <w:rPr>
                <w:webHidden/>
              </w:rPr>
              <w:fldChar w:fldCharType="begin"/>
            </w:r>
            <w:r w:rsidR="006D7143">
              <w:rPr>
                <w:webHidden/>
              </w:rPr>
              <w:instrText xml:space="preserve"> PAGEREF _Toc2860929 \h </w:instrText>
            </w:r>
            <w:r w:rsidR="006D7143">
              <w:rPr>
                <w:webHidden/>
              </w:rPr>
            </w:r>
            <w:r w:rsidR="006D7143">
              <w:rPr>
                <w:webHidden/>
              </w:rPr>
              <w:fldChar w:fldCharType="separate"/>
            </w:r>
            <w:r>
              <w:rPr>
                <w:webHidden/>
              </w:rPr>
              <w:t>149</w:t>
            </w:r>
            <w:r w:rsidR="006D7143">
              <w:rPr>
                <w:webHidden/>
              </w:rPr>
              <w:fldChar w:fldCharType="end"/>
            </w:r>
          </w:hyperlink>
        </w:p>
        <w:p w14:paraId="7D176881" w14:textId="70AEE182" w:rsidR="006D7143" w:rsidRDefault="00CC09A6">
          <w:pPr>
            <w:pStyle w:val="TOC2"/>
            <w:rPr>
              <w:rFonts w:asciiTheme="minorHAnsi" w:eastAsiaTheme="minorEastAsia" w:hAnsiTheme="minorHAnsi" w:cstheme="minorBidi"/>
              <w:sz w:val="22"/>
              <w:szCs w:val="22"/>
              <w:lang w:val="en-GB" w:eastAsia="en-GB" w:bidi="ar-SA"/>
            </w:rPr>
          </w:pPr>
          <w:hyperlink w:anchor="_Toc2860930" w:history="1">
            <w:r w:rsidR="006D7143" w:rsidRPr="006B072F">
              <w:rPr>
                <w:rStyle w:val="Hyperlink"/>
              </w:rPr>
              <w:t>3.3 Notification et début de la mise en œuvre du contrat de subvention de jumelage</w:t>
            </w:r>
            <w:r w:rsidR="006D7143">
              <w:rPr>
                <w:webHidden/>
              </w:rPr>
              <w:tab/>
            </w:r>
            <w:r w:rsidR="006D7143">
              <w:rPr>
                <w:webHidden/>
              </w:rPr>
              <w:fldChar w:fldCharType="begin"/>
            </w:r>
            <w:r w:rsidR="006D7143">
              <w:rPr>
                <w:webHidden/>
              </w:rPr>
              <w:instrText xml:space="preserve"> PAGEREF _Toc2860930 \h </w:instrText>
            </w:r>
            <w:r w:rsidR="006D7143">
              <w:rPr>
                <w:webHidden/>
              </w:rPr>
            </w:r>
            <w:r w:rsidR="006D7143">
              <w:rPr>
                <w:webHidden/>
              </w:rPr>
              <w:fldChar w:fldCharType="separate"/>
            </w:r>
            <w:r>
              <w:rPr>
                <w:webHidden/>
              </w:rPr>
              <w:t>149</w:t>
            </w:r>
            <w:r w:rsidR="006D7143">
              <w:rPr>
                <w:webHidden/>
              </w:rPr>
              <w:fldChar w:fldCharType="end"/>
            </w:r>
          </w:hyperlink>
        </w:p>
        <w:p w14:paraId="06112250" w14:textId="3AA09C44" w:rsidR="006D7143" w:rsidRDefault="00CC09A6">
          <w:pPr>
            <w:pStyle w:val="TOC1"/>
            <w:rPr>
              <w:rFonts w:asciiTheme="minorHAnsi" w:eastAsiaTheme="minorEastAsia" w:hAnsiTheme="minorHAnsi" w:cstheme="minorBidi"/>
              <w:b w:val="0"/>
              <w:bCs w:val="0"/>
              <w:caps w:val="0"/>
              <w:sz w:val="22"/>
              <w:szCs w:val="22"/>
              <w:lang w:val="en-GB" w:eastAsia="en-GB" w:bidi="ar-SA"/>
            </w:rPr>
          </w:pPr>
          <w:hyperlink w:anchor="_Toc2860931" w:history="1">
            <w:r w:rsidR="006D7143" w:rsidRPr="006B072F">
              <w:rPr>
                <w:rStyle w:val="Hyperlink"/>
              </w:rPr>
              <w:t>Section 4: les principaux acteurs</w:t>
            </w:r>
            <w:r w:rsidR="006D7143">
              <w:rPr>
                <w:webHidden/>
              </w:rPr>
              <w:tab/>
            </w:r>
            <w:r w:rsidR="006D7143">
              <w:rPr>
                <w:webHidden/>
              </w:rPr>
              <w:fldChar w:fldCharType="begin"/>
            </w:r>
            <w:r w:rsidR="006D7143">
              <w:rPr>
                <w:webHidden/>
              </w:rPr>
              <w:instrText xml:space="preserve"> PAGEREF _Toc2860931 \h </w:instrText>
            </w:r>
            <w:r w:rsidR="006D7143">
              <w:rPr>
                <w:webHidden/>
              </w:rPr>
            </w:r>
            <w:r w:rsidR="006D7143">
              <w:rPr>
                <w:webHidden/>
              </w:rPr>
              <w:fldChar w:fldCharType="separate"/>
            </w:r>
            <w:r>
              <w:rPr>
                <w:webHidden/>
              </w:rPr>
              <w:t>150</w:t>
            </w:r>
            <w:r w:rsidR="006D7143">
              <w:rPr>
                <w:webHidden/>
              </w:rPr>
              <w:fldChar w:fldCharType="end"/>
            </w:r>
          </w:hyperlink>
        </w:p>
        <w:p w14:paraId="5A5E1DDE" w14:textId="5C097FE6" w:rsidR="006D7143" w:rsidRDefault="00CC09A6">
          <w:pPr>
            <w:pStyle w:val="TOC2"/>
            <w:rPr>
              <w:rFonts w:asciiTheme="minorHAnsi" w:eastAsiaTheme="minorEastAsia" w:hAnsiTheme="minorHAnsi" w:cstheme="minorBidi"/>
              <w:sz w:val="22"/>
              <w:szCs w:val="22"/>
              <w:lang w:val="en-GB" w:eastAsia="en-GB" w:bidi="ar-SA"/>
            </w:rPr>
          </w:pPr>
          <w:hyperlink w:anchor="_Toc2860932" w:history="1">
            <w:r w:rsidR="006D7143" w:rsidRPr="006B072F">
              <w:rPr>
                <w:rStyle w:val="Hyperlink"/>
              </w:rPr>
              <w:t>4.1 L’État membre ou les États membres</w:t>
            </w:r>
            <w:r w:rsidR="006D7143">
              <w:rPr>
                <w:webHidden/>
              </w:rPr>
              <w:tab/>
            </w:r>
            <w:r w:rsidR="006D7143">
              <w:rPr>
                <w:webHidden/>
              </w:rPr>
              <w:fldChar w:fldCharType="begin"/>
            </w:r>
            <w:r w:rsidR="006D7143">
              <w:rPr>
                <w:webHidden/>
              </w:rPr>
              <w:instrText xml:space="preserve"> PAGEREF _Toc2860932 \h </w:instrText>
            </w:r>
            <w:r w:rsidR="006D7143">
              <w:rPr>
                <w:webHidden/>
              </w:rPr>
            </w:r>
            <w:r w:rsidR="006D7143">
              <w:rPr>
                <w:webHidden/>
              </w:rPr>
              <w:fldChar w:fldCharType="separate"/>
            </w:r>
            <w:r>
              <w:rPr>
                <w:webHidden/>
              </w:rPr>
              <w:t>150</w:t>
            </w:r>
            <w:r w:rsidR="006D7143">
              <w:rPr>
                <w:webHidden/>
              </w:rPr>
              <w:fldChar w:fldCharType="end"/>
            </w:r>
          </w:hyperlink>
        </w:p>
        <w:p w14:paraId="67ACC070" w14:textId="0CE28651" w:rsidR="006D7143" w:rsidRDefault="00CC09A6">
          <w:pPr>
            <w:pStyle w:val="TOC3"/>
            <w:rPr>
              <w:rFonts w:asciiTheme="minorHAnsi" w:eastAsiaTheme="minorEastAsia" w:hAnsiTheme="minorHAnsi" w:cstheme="minorBidi"/>
              <w:sz w:val="22"/>
              <w:szCs w:val="22"/>
              <w:lang w:val="en-GB" w:eastAsia="en-GB" w:bidi="ar-SA"/>
            </w:rPr>
          </w:pPr>
          <w:hyperlink w:anchor="_Toc2860933" w:history="1">
            <w:r w:rsidR="006D7143" w:rsidRPr="006B072F">
              <w:rPr>
                <w:rStyle w:val="Hyperlink"/>
              </w:rPr>
              <w:t>4.1.1 Observations générales</w:t>
            </w:r>
            <w:r w:rsidR="006D7143">
              <w:rPr>
                <w:webHidden/>
              </w:rPr>
              <w:tab/>
            </w:r>
            <w:r w:rsidR="006D7143">
              <w:rPr>
                <w:webHidden/>
              </w:rPr>
              <w:fldChar w:fldCharType="begin"/>
            </w:r>
            <w:r w:rsidR="006D7143">
              <w:rPr>
                <w:webHidden/>
              </w:rPr>
              <w:instrText xml:space="preserve"> PAGEREF _Toc2860933 \h </w:instrText>
            </w:r>
            <w:r w:rsidR="006D7143">
              <w:rPr>
                <w:webHidden/>
              </w:rPr>
            </w:r>
            <w:r w:rsidR="006D7143">
              <w:rPr>
                <w:webHidden/>
              </w:rPr>
              <w:fldChar w:fldCharType="separate"/>
            </w:r>
            <w:r>
              <w:rPr>
                <w:webHidden/>
              </w:rPr>
              <w:t>150</w:t>
            </w:r>
            <w:r w:rsidR="006D7143">
              <w:rPr>
                <w:webHidden/>
              </w:rPr>
              <w:fldChar w:fldCharType="end"/>
            </w:r>
          </w:hyperlink>
        </w:p>
        <w:p w14:paraId="695F6D04" w14:textId="7A2987E9" w:rsidR="006D7143" w:rsidRDefault="00CC09A6">
          <w:pPr>
            <w:pStyle w:val="TOC3"/>
            <w:rPr>
              <w:rFonts w:asciiTheme="minorHAnsi" w:eastAsiaTheme="minorEastAsia" w:hAnsiTheme="minorHAnsi" w:cstheme="minorBidi"/>
              <w:sz w:val="22"/>
              <w:szCs w:val="22"/>
              <w:lang w:val="en-GB" w:eastAsia="en-GB" w:bidi="ar-SA"/>
            </w:rPr>
          </w:pPr>
          <w:hyperlink w:anchor="_Toc2860934" w:history="1">
            <w:r w:rsidR="006D7143" w:rsidRPr="006B072F">
              <w:rPr>
                <w:rStyle w:val="Hyperlink"/>
              </w:rPr>
              <w:t>4.1.2 Points de contact nationaux des États membres</w:t>
            </w:r>
            <w:r w:rsidR="006D7143">
              <w:rPr>
                <w:webHidden/>
              </w:rPr>
              <w:tab/>
            </w:r>
            <w:r w:rsidR="006D7143">
              <w:rPr>
                <w:webHidden/>
              </w:rPr>
              <w:fldChar w:fldCharType="begin"/>
            </w:r>
            <w:r w:rsidR="006D7143">
              <w:rPr>
                <w:webHidden/>
              </w:rPr>
              <w:instrText xml:space="preserve"> PAGEREF _Toc2860934 \h </w:instrText>
            </w:r>
            <w:r w:rsidR="006D7143">
              <w:rPr>
                <w:webHidden/>
              </w:rPr>
            </w:r>
            <w:r w:rsidR="006D7143">
              <w:rPr>
                <w:webHidden/>
              </w:rPr>
              <w:fldChar w:fldCharType="separate"/>
            </w:r>
            <w:r>
              <w:rPr>
                <w:webHidden/>
              </w:rPr>
              <w:t>150</w:t>
            </w:r>
            <w:r w:rsidR="006D7143">
              <w:rPr>
                <w:webHidden/>
              </w:rPr>
              <w:fldChar w:fldCharType="end"/>
            </w:r>
          </w:hyperlink>
        </w:p>
        <w:p w14:paraId="0CE6149D" w14:textId="64975794" w:rsidR="006D7143" w:rsidRDefault="00CC09A6">
          <w:pPr>
            <w:pStyle w:val="TOC3"/>
            <w:rPr>
              <w:rFonts w:asciiTheme="minorHAnsi" w:eastAsiaTheme="minorEastAsia" w:hAnsiTheme="minorHAnsi" w:cstheme="minorBidi"/>
              <w:sz w:val="22"/>
              <w:szCs w:val="22"/>
              <w:lang w:val="en-GB" w:eastAsia="en-GB" w:bidi="ar-SA"/>
            </w:rPr>
          </w:pPr>
          <w:hyperlink w:anchor="_Toc2860935" w:history="1">
            <w:r w:rsidR="006D7143" w:rsidRPr="006B072F">
              <w:rPr>
                <w:rStyle w:val="Hyperlink"/>
              </w:rPr>
              <w:t>4.1.3 Le chef de projet (CP) de l’État membre</w:t>
            </w:r>
            <w:r w:rsidR="006D7143">
              <w:rPr>
                <w:webHidden/>
              </w:rPr>
              <w:tab/>
            </w:r>
            <w:r w:rsidR="006D7143">
              <w:rPr>
                <w:webHidden/>
              </w:rPr>
              <w:fldChar w:fldCharType="begin"/>
            </w:r>
            <w:r w:rsidR="006D7143">
              <w:rPr>
                <w:webHidden/>
              </w:rPr>
              <w:instrText xml:space="preserve"> PAGEREF _Toc2860935 \h </w:instrText>
            </w:r>
            <w:r w:rsidR="006D7143">
              <w:rPr>
                <w:webHidden/>
              </w:rPr>
            </w:r>
            <w:r w:rsidR="006D7143">
              <w:rPr>
                <w:webHidden/>
              </w:rPr>
              <w:fldChar w:fldCharType="separate"/>
            </w:r>
            <w:r>
              <w:rPr>
                <w:webHidden/>
              </w:rPr>
              <w:t>151</w:t>
            </w:r>
            <w:r w:rsidR="006D7143">
              <w:rPr>
                <w:webHidden/>
              </w:rPr>
              <w:fldChar w:fldCharType="end"/>
            </w:r>
          </w:hyperlink>
        </w:p>
        <w:p w14:paraId="71B17C8F" w14:textId="49EFFABB" w:rsidR="006D7143" w:rsidRDefault="00CC09A6">
          <w:pPr>
            <w:pStyle w:val="TOC3"/>
            <w:rPr>
              <w:rFonts w:asciiTheme="minorHAnsi" w:eastAsiaTheme="minorEastAsia" w:hAnsiTheme="minorHAnsi" w:cstheme="minorBidi"/>
              <w:sz w:val="22"/>
              <w:szCs w:val="22"/>
              <w:lang w:val="en-GB" w:eastAsia="en-GB" w:bidi="ar-SA"/>
            </w:rPr>
          </w:pPr>
          <w:hyperlink w:anchor="_Toc2860936" w:history="1">
            <w:r w:rsidR="006D7143" w:rsidRPr="006B072F">
              <w:rPr>
                <w:rStyle w:val="Hyperlink"/>
              </w:rPr>
              <w:t>4.1.4 Administration, organisme ou autre entité semi-publique de l’État membre</w:t>
            </w:r>
            <w:r w:rsidR="006D7143">
              <w:rPr>
                <w:webHidden/>
              </w:rPr>
              <w:tab/>
            </w:r>
            <w:r w:rsidR="006D7143">
              <w:rPr>
                <w:webHidden/>
              </w:rPr>
              <w:fldChar w:fldCharType="begin"/>
            </w:r>
            <w:r w:rsidR="006D7143">
              <w:rPr>
                <w:webHidden/>
              </w:rPr>
              <w:instrText xml:space="preserve"> PAGEREF _Toc2860936 \h </w:instrText>
            </w:r>
            <w:r w:rsidR="006D7143">
              <w:rPr>
                <w:webHidden/>
              </w:rPr>
            </w:r>
            <w:r w:rsidR="006D7143">
              <w:rPr>
                <w:webHidden/>
              </w:rPr>
              <w:fldChar w:fldCharType="separate"/>
            </w:r>
            <w:r>
              <w:rPr>
                <w:webHidden/>
              </w:rPr>
              <w:t>152</w:t>
            </w:r>
            <w:r w:rsidR="006D7143">
              <w:rPr>
                <w:webHidden/>
              </w:rPr>
              <w:fldChar w:fldCharType="end"/>
            </w:r>
          </w:hyperlink>
        </w:p>
        <w:p w14:paraId="41047CA0" w14:textId="470CC245" w:rsidR="006D7143" w:rsidRDefault="00CC09A6">
          <w:pPr>
            <w:pStyle w:val="TOC3"/>
            <w:rPr>
              <w:rFonts w:asciiTheme="minorHAnsi" w:eastAsiaTheme="minorEastAsia" w:hAnsiTheme="minorHAnsi" w:cstheme="minorBidi"/>
              <w:sz w:val="22"/>
              <w:szCs w:val="22"/>
              <w:lang w:val="en-GB" w:eastAsia="en-GB" w:bidi="ar-SA"/>
            </w:rPr>
          </w:pPr>
          <w:hyperlink w:anchor="_Toc2860937" w:history="1">
            <w:r w:rsidR="006D7143" w:rsidRPr="006B072F">
              <w:rPr>
                <w:rStyle w:val="Hyperlink"/>
              </w:rPr>
              <w:t>4.1.5 Recrues temporaires et retraités</w:t>
            </w:r>
            <w:r w:rsidR="006D7143">
              <w:rPr>
                <w:webHidden/>
              </w:rPr>
              <w:tab/>
            </w:r>
            <w:r w:rsidR="006D7143">
              <w:rPr>
                <w:webHidden/>
              </w:rPr>
              <w:fldChar w:fldCharType="begin"/>
            </w:r>
            <w:r w:rsidR="006D7143">
              <w:rPr>
                <w:webHidden/>
              </w:rPr>
              <w:instrText xml:space="preserve"> PAGEREF _Toc2860937 \h </w:instrText>
            </w:r>
            <w:r w:rsidR="006D7143">
              <w:rPr>
                <w:webHidden/>
              </w:rPr>
            </w:r>
            <w:r w:rsidR="006D7143">
              <w:rPr>
                <w:webHidden/>
              </w:rPr>
              <w:fldChar w:fldCharType="separate"/>
            </w:r>
            <w:r>
              <w:rPr>
                <w:webHidden/>
              </w:rPr>
              <w:t>155</w:t>
            </w:r>
            <w:r w:rsidR="006D7143">
              <w:rPr>
                <w:webHidden/>
              </w:rPr>
              <w:fldChar w:fldCharType="end"/>
            </w:r>
          </w:hyperlink>
        </w:p>
        <w:p w14:paraId="642DD792" w14:textId="53F20F5C" w:rsidR="006D7143" w:rsidRDefault="00CC09A6">
          <w:pPr>
            <w:pStyle w:val="TOC3"/>
            <w:rPr>
              <w:rFonts w:asciiTheme="minorHAnsi" w:eastAsiaTheme="minorEastAsia" w:hAnsiTheme="minorHAnsi" w:cstheme="minorBidi"/>
              <w:sz w:val="22"/>
              <w:szCs w:val="22"/>
              <w:lang w:val="en-GB" w:eastAsia="en-GB" w:bidi="ar-SA"/>
            </w:rPr>
          </w:pPr>
          <w:hyperlink w:anchor="_Toc2860938" w:history="1">
            <w:r w:rsidR="006D7143" w:rsidRPr="006B072F">
              <w:rPr>
                <w:rStyle w:val="Hyperlink"/>
              </w:rPr>
              <w:t>4.1.6 Le conseiller résident de jumelage (CRJ)</w:t>
            </w:r>
            <w:r w:rsidR="006D7143">
              <w:rPr>
                <w:webHidden/>
              </w:rPr>
              <w:tab/>
            </w:r>
            <w:r w:rsidR="006D7143">
              <w:rPr>
                <w:webHidden/>
              </w:rPr>
              <w:fldChar w:fldCharType="begin"/>
            </w:r>
            <w:r w:rsidR="006D7143">
              <w:rPr>
                <w:webHidden/>
              </w:rPr>
              <w:instrText xml:space="preserve"> PAGEREF _Toc2860938 \h </w:instrText>
            </w:r>
            <w:r w:rsidR="006D7143">
              <w:rPr>
                <w:webHidden/>
              </w:rPr>
            </w:r>
            <w:r w:rsidR="006D7143">
              <w:rPr>
                <w:webHidden/>
              </w:rPr>
              <w:fldChar w:fldCharType="separate"/>
            </w:r>
            <w:r>
              <w:rPr>
                <w:webHidden/>
              </w:rPr>
              <w:t>155</w:t>
            </w:r>
            <w:r w:rsidR="006D7143">
              <w:rPr>
                <w:webHidden/>
              </w:rPr>
              <w:fldChar w:fldCharType="end"/>
            </w:r>
          </w:hyperlink>
        </w:p>
        <w:p w14:paraId="4DB3E6E3" w14:textId="39921D6E" w:rsidR="006D7143" w:rsidRDefault="00CC09A6">
          <w:pPr>
            <w:pStyle w:val="TOC3"/>
            <w:rPr>
              <w:rFonts w:asciiTheme="minorHAnsi" w:eastAsiaTheme="minorEastAsia" w:hAnsiTheme="minorHAnsi" w:cstheme="minorBidi"/>
              <w:sz w:val="22"/>
              <w:szCs w:val="22"/>
              <w:lang w:val="en-GB" w:eastAsia="en-GB" w:bidi="ar-SA"/>
            </w:rPr>
          </w:pPr>
          <w:hyperlink w:anchor="_Toc2860939" w:history="1">
            <w:r w:rsidR="006D7143" w:rsidRPr="006B072F">
              <w:rPr>
                <w:rStyle w:val="Hyperlink"/>
              </w:rPr>
              <w:t>4.1.7 Experts de courte durée</w:t>
            </w:r>
            <w:r w:rsidR="006D7143">
              <w:rPr>
                <w:webHidden/>
              </w:rPr>
              <w:tab/>
            </w:r>
            <w:r w:rsidR="006D7143">
              <w:rPr>
                <w:webHidden/>
              </w:rPr>
              <w:fldChar w:fldCharType="begin"/>
            </w:r>
            <w:r w:rsidR="006D7143">
              <w:rPr>
                <w:webHidden/>
              </w:rPr>
              <w:instrText xml:space="preserve"> PAGEREF _Toc2860939 \h </w:instrText>
            </w:r>
            <w:r w:rsidR="006D7143">
              <w:rPr>
                <w:webHidden/>
              </w:rPr>
            </w:r>
            <w:r w:rsidR="006D7143">
              <w:rPr>
                <w:webHidden/>
              </w:rPr>
              <w:fldChar w:fldCharType="separate"/>
            </w:r>
            <w:r>
              <w:rPr>
                <w:webHidden/>
              </w:rPr>
              <w:t>160</w:t>
            </w:r>
            <w:r w:rsidR="006D7143">
              <w:rPr>
                <w:webHidden/>
              </w:rPr>
              <w:fldChar w:fldCharType="end"/>
            </w:r>
          </w:hyperlink>
        </w:p>
        <w:p w14:paraId="09AD6D0F" w14:textId="07003FB9" w:rsidR="006D7143" w:rsidRDefault="00CC09A6">
          <w:pPr>
            <w:pStyle w:val="TOC2"/>
            <w:rPr>
              <w:rFonts w:asciiTheme="minorHAnsi" w:eastAsiaTheme="minorEastAsia" w:hAnsiTheme="minorHAnsi" w:cstheme="minorBidi"/>
              <w:sz w:val="22"/>
              <w:szCs w:val="22"/>
              <w:lang w:val="en-GB" w:eastAsia="en-GB" w:bidi="ar-SA"/>
            </w:rPr>
          </w:pPr>
          <w:hyperlink w:anchor="_Toc2860940" w:history="1">
            <w:r w:rsidR="006D7143" w:rsidRPr="006B072F">
              <w:rPr>
                <w:rStyle w:val="Hyperlink"/>
              </w:rPr>
              <w:t>4.2 Le bénéficiaire</w:t>
            </w:r>
            <w:r w:rsidR="006D7143">
              <w:rPr>
                <w:webHidden/>
              </w:rPr>
              <w:tab/>
            </w:r>
            <w:r w:rsidR="006D7143">
              <w:rPr>
                <w:webHidden/>
              </w:rPr>
              <w:fldChar w:fldCharType="begin"/>
            </w:r>
            <w:r w:rsidR="006D7143">
              <w:rPr>
                <w:webHidden/>
              </w:rPr>
              <w:instrText xml:space="preserve"> PAGEREF _Toc2860940 \h </w:instrText>
            </w:r>
            <w:r w:rsidR="006D7143">
              <w:rPr>
                <w:webHidden/>
              </w:rPr>
            </w:r>
            <w:r w:rsidR="006D7143">
              <w:rPr>
                <w:webHidden/>
              </w:rPr>
              <w:fldChar w:fldCharType="separate"/>
            </w:r>
            <w:r>
              <w:rPr>
                <w:webHidden/>
              </w:rPr>
              <w:t>161</w:t>
            </w:r>
            <w:r w:rsidR="006D7143">
              <w:rPr>
                <w:webHidden/>
              </w:rPr>
              <w:fldChar w:fldCharType="end"/>
            </w:r>
          </w:hyperlink>
        </w:p>
        <w:p w14:paraId="5D3D7CB7" w14:textId="298F875B" w:rsidR="006D7143" w:rsidRDefault="00CC09A6">
          <w:pPr>
            <w:pStyle w:val="TOC3"/>
            <w:rPr>
              <w:rFonts w:asciiTheme="minorHAnsi" w:eastAsiaTheme="minorEastAsia" w:hAnsiTheme="minorHAnsi" w:cstheme="minorBidi"/>
              <w:sz w:val="22"/>
              <w:szCs w:val="22"/>
              <w:lang w:val="en-GB" w:eastAsia="en-GB" w:bidi="ar-SA"/>
            </w:rPr>
          </w:pPr>
          <w:hyperlink w:anchor="_Toc2860941" w:history="1">
            <w:r w:rsidR="006D7143" w:rsidRPr="006B072F">
              <w:rPr>
                <w:rStyle w:val="Hyperlink"/>
              </w:rPr>
              <w:t>4.2.1 Responsabilité générale</w:t>
            </w:r>
            <w:r w:rsidR="006D7143">
              <w:rPr>
                <w:webHidden/>
              </w:rPr>
              <w:tab/>
            </w:r>
            <w:r w:rsidR="006D7143">
              <w:rPr>
                <w:webHidden/>
              </w:rPr>
              <w:fldChar w:fldCharType="begin"/>
            </w:r>
            <w:r w:rsidR="006D7143">
              <w:rPr>
                <w:webHidden/>
              </w:rPr>
              <w:instrText xml:space="preserve"> PAGEREF _Toc2860941 \h </w:instrText>
            </w:r>
            <w:r w:rsidR="006D7143">
              <w:rPr>
                <w:webHidden/>
              </w:rPr>
            </w:r>
            <w:r w:rsidR="006D7143">
              <w:rPr>
                <w:webHidden/>
              </w:rPr>
              <w:fldChar w:fldCharType="separate"/>
            </w:r>
            <w:r>
              <w:rPr>
                <w:webHidden/>
              </w:rPr>
              <w:t>161</w:t>
            </w:r>
            <w:r w:rsidR="006D7143">
              <w:rPr>
                <w:webHidden/>
              </w:rPr>
              <w:fldChar w:fldCharType="end"/>
            </w:r>
          </w:hyperlink>
        </w:p>
        <w:p w14:paraId="1AE64F06" w14:textId="336CF5E9" w:rsidR="006D7143" w:rsidRDefault="00CC09A6">
          <w:pPr>
            <w:pStyle w:val="TOC3"/>
            <w:rPr>
              <w:rFonts w:asciiTheme="minorHAnsi" w:eastAsiaTheme="minorEastAsia" w:hAnsiTheme="minorHAnsi" w:cstheme="minorBidi"/>
              <w:sz w:val="22"/>
              <w:szCs w:val="22"/>
              <w:lang w:val="en-GB" w:eastAsia="en-GB" w:bidi="ar-SA"/>
            </w:rPr>
          </w:pPr>
          <w:hyperlink w:anchor="_Toc2860942" w:history="1">
            <w:r w:rsidR="006D7143" w:rsidRPr="006B072F">
              <w:rPr>
                <w:rStyle w:val="Hyperlink"/>
              </w:rPr>
              <w:t>4.2.2 Point de contact national du bénéficiaire</w:t>
            </w:r>
            <w:r w:rsidR="006D7143">
              <w:rPr>
                <w:webHidden/>
              </w:rPr>
              <w:tab/>
            </w:r>
            <w:r w:rsidR="006D7143">
              <w:rPr>
                <w:webHidden/>
              </w:rPr>
              <w:fldChar w:fldCharType="begin"/>
            </w:r>
            <w:r w:rsidR="006D7143">
              <w:rPr>
                <w:webHidden/>
              </w:rPr>
              <w:instrText xml:space="preserve"> PAGEREF _Toc2860942 \h </w:instrText>
            </w:r>
            <w:r w:rsidR="006D7143">
              <w:rPr>
                <w:webHidden/>
              </w:rPr>
            </w:r>
            <w:r w:rsidR="006D7143">
              <w:rPr>
                <w:webHidden/>
              </w:rPr>
              <w:fldChar w:fldCharType="separate"/>
            </w:r>
            <w:r>
              <w:rPr>
                <w:webHidden/>
              </w:rPr>
              <w:t>162</w:t>
            </w:r>
            <w:r w:rsidR="006D7143">
              <w:rPr>
                <w:webHidden/>
              </w:rPr>
              <w:fldChar w:fldCharType="end"/>
            </w:r>
          </w:hyperlink>
        </w:p>
        <w:p w14:paraId="10726B28" w14:textId="2B759776" w:rsidR="006D7143" w:rsidRDefault="00CC09A6">
          <w:pPr>
            <w:pStyle w:val="TOC3"/>
            <w:rPr>
              <w:rFonts w:asciiTheme="minorHAnsi" w:eastAsiaTheme="minorEastAsia" w:hAnsiTheme="minorHAnsi" w:cstheme="minorBidi"/>
              <w:sz w:val="22"/>
              <w:szCs w:val="22"/>
              <w:lang w:val="en-GB" w:eastAsia="en-GB" w:bidi="ar-SA"/>
            </w:rPr>
          </w:pPr>
          <w:hyperlink w:anchor="_Toc2860943" w:history="1">
            <w:r w:rsidR="006D7143" w:rsidRPr="006B072F">
              <w:rPr>
                <w:rStyle w:val="Hyperlink"/>
              </w:rPr>
              <w:t>4.2.3 Le chef de projet (CP) du bénéficiaire</w:t>
            </w:r>
            <w:r w:rsidR="006D7143">
              <w:rPr>
                <w:webHidden/>
              </w:rPr>
              <w:tab/>
            </w:r>
            <w:r w:rsidR="006D7143">
              <w:rPr>
                <w:webHidden/>
              </w:rPr>
              <w:fldChar w:fldCharType="begin"/>
            </w:r>
            <w:r w:rsidR="006D7143">
              <w:rPr>
                <w:webHidden/>
              </w:rPr>
              <w:instrText xml:space="preserve"> PAGEREF _Toc2860943 \h </w:instrText>
            </w:r>
            <w:r w:rsidR="006D7143">
              <w:rPr>
                <w:webHidden/>
              </w:rPr>
            </w:r>
            <w:r w:rsidR="006D7143">
              <w:rPr>
                <w:webHidden/>
              </w:rPr>
              <w:fldChar w:fldCharType="separate"/>
            </w:r>
            <w:r>
              <w:rPr>
                <w:webHidden/>
              </w:rPr>
              <w:t>162</w:t>
            </w:r>
            <w:r w:rsidR="006D7143">
              <w:rPr>
                <w:webHidden/>
              </w:rPr>
              <w:fldChar w:fldCharType="end"/>
            </w:r>
          </w:hyperlink>
        </w:p>
        <w:p w14:paraId="10858612" w14:textId="13E80354" w:rsidR="006D7143" w:rsidRDefault="00CC09A6">
          <w:pPr>
            <w:pStyle w:val="TOC3"/>
            <w:rPr>
              <w:rFonts w:asciiTheme="minorHAnsi" w:eastAsiaTheme="minorEastAsia" w:hAnsiTheme="minorHAnsi" w:cstheme="minorBidi"/>
              <w:sz w:val="22"/>
              <w:szCs w:val="22"/>
              <w:lang w:val="en-GB" w:eastAsia="en-GB" w:bidi="ar-SA"/>
            </w:rPr>
          </w:pPr>
          <w:hyperlink w:anchor="_Toc2860944" w:history="1">
            <w:r w:rsidR="006D7143" w:rsidRPr="006B072F">
              <w:rPr>
                <w:rStyle w:val="Hyperlink"/>
              </w:rPr>
              <w:t>4.2.4 L’homologue du CRJ</w:t>
            </w:r>
            <w:r w:rsidR="006D7143">
              <w:rPr>
                <w:webHidden/>
              </w:rPr>
              <w:tab/>
            </w:r>
            <w:r w:rsidR="006D7143">
              <w:rPr>
                <w:webHidden/>
              </w:rPr>
              <w:fldChar w:fldCharType="begin"/>
            </w:r>
            <w:r w:rsidR="006D7143">
              <w:rPr>
                <w:webHidden/>
              </w:rPr>
              <w:instrText xml:space="preserve"> PAGEREF _Toc2860944 \h </w:instrText>
            </w:r>
            <w:r w:rsidR="006D7143">
              <w:rPr>
                <w:webHidden/>
              </w:rPr>
            </w:r>
            <w:r w:rsidR="006D7143">
              <w:rPr>
                <w:webHidden/>
              </w:rPr>
              <w:fldChar w:fldCharType="separate"/>
            </w:r>
            <w:r>
              <w:rPr>
                <w:webHidden/>
              </w:rPr>
              <w:t>162</w:t>
            </w:r>
            <w:r w:rsidR="006D7143">
              <w:rPr>
                <w:webHidden/>
              </w:rPr>
              <w:fldChar w:fldCharType="end"/>
            </w:r>
          </w:hyperlink>
        </w:p>
        <w:p w14:paraId="6D751E47" w14:textId="5E826BF5" w:rsidR="006D7143" w:rsidRDefault="00CC09A6">
          <w:pPr>
            <w:pStyle w:val="TOC3"/>
            <w:rPr>
              <w:rFonts w:asciiTheme="minorHAnsi" w:eastAsiaTheme="minorEastAsia" w:hAnsiTheme="minorHAnsi" w:cstheme="minorBidi"/>
              <w:sz w:val="22"/>
              <w:szCs w:val="22"/>
              <w:lang w:val="en-GB" w:eastAsia="en-GB" w:bidi="ar-SA"/>
            </w:rPr>
          </w:pPr>
          <w:hyperlink w:anchor="_Toc2860945" w:history="1">
            <w:r w:rsidR="006D7143" w:rsidRPr="006B072F">
              <w:rPr>
                <w:rStyle w:val="Hyperlink"/>
              </w:rPr>
              <w:t>4.2.5 L’entité centrale de financement et de contrats/l’unité gestionnaire du programme</w:t>
            </w:r>
            <w:r w:rsidR="006D7143">
              <w:rPr>
                <w:webHidden/>
              </w:rPr>
              <w:tab/>
            </w:r>
            <w:r w:rsidR="006D7143">
              <w:rPr>
                <w:webHidden/>
              </w:rPr>
              <w:fldChar w:fldCharType="begin"/>
            </w:r>
            <w:r w:rsidR="006D7143">
              <w:rPr>
                <w:webHidden/>
              </w:rPr>
              <w:instrText xml:space="preserve"> PAGEREF _Toc2860945 \h </w:instrText>
            </w:r>
            <w:r w:rsidR="006D7143">
              <w:rPr>
                <w:webHidden/>
              </w:rPr>
            </w:r>
            <w:r w:rsidR="006D7143">
              <w:rPr>
                <w:webHidden/>
              </w:rPr>
              <w:fldChar w:fldCharType="separate"/>
            </w:r>
            <w:r>
              <w:rPr>
                <w:webHidden/>
              </w:rPr>
              <w:t>163</w:t>
            </w:r>
            <w:r w:rsidR="006D7143">
              <w:rPr>
                <w:webHidden/>
              </w:rPr>
              <w:fldChar w:fldCharType="end"/>
            </w:r>
          </w:hyperlink>
        </w:p>
        <w:p w14:paraId="41177D68" w14:textId="2E20D308" w:rsidR="006D7143" w:rsidRDefault="00CC09A6">
          <w:pPr>
            <w:pStyle w:val="TOC3"/>
            <w:rPr>
              <w:rFonts w:asciiTheme="minorHAnsi" w:eastAsiaTheme="minorEastAsia" w:hAnsiTheme="minorHAnsi" w:cstheme="minorBidi"/>
              <w:sz w:val="22"/>
              <w:szCs w:val="22"/>
              <w:lang w:val="en-GB" w:eastAsia="en-GB" w:bidi="ar-SA"/>
            </w:rPr>
          </w:pPr>
          <w:hyperlink w:anchor="_Toc2860946" w:history="1">
            <w:r w:rsidR="006D7143" w:rsidRPr="006B072F">
              <w:rPr>
                <w:rStyle w:val="Hyperlink"/>
              </w:rPr>
              <w:t>4.2.6 Autres tâches du bénéficiaire</w:t>
            </w:r>
            <w:r w:rsidR="006D7143">
              <w:rPr>
                <w:webHidden/>
              </w:rPr>
              <w:tab/>
            </w:r>
            <w:r w:rsidR="006D7143">
              <w:rPr>
                <w:webHidden/>
              </w:rPr>
              <w:fldChar w:fldCharType="begin"/>
            </w:r>
            <w:r w:rsidR="006D7143">
              <w:rPr>
                <w:webHidden/>
              </w:rPr>
              <w:instrText xml:space="preserve"> PAGEREF _Toc2860946 \h </w:instrText>
            </w:r>
            <w:r w:rsidR="006D7143">
              <w:rPr>
                <w:webHidden/>
              </w:rPr>
            </w:r>
            <w:r w:rsidR="006D7143">
              <w:rPr>
                <w:webHidden/>
              </w:rPr>
              <w:fldChar w:fldCharType="separate"/>
            </w:r>
            <w:r>
              <w:rPr>
                <w:webHidden/>
              </w:rPr>
              <w:t>165</w:t>
            </w:r>
            <w:r w:rsidR="006D7143">
              <w:rPr>
                <w:webHidden/>
              </w:rPr>
              <w:fldChar w:fldCharType="end"/>
            </w:r>
          </w:hyperlink>
        </w:p>
        <w:p w14:paraId="3D32E31C" w14:textId="65C0B63F" w:rsidR="006D7143" w:rsidRDefault="00CC09A6">
          <w:pPr>
            <w:pStyle w:val="TOC2"/>
            <w:rPr>
              <w:rFonts w:asciiTheme="minorHAnsi" w:eastAsiaTheme="minorEastAsia" w:hAnsiTheme="minorHAnsi" w:cstheme="minorBidi"/>
              <w:sz w:val="22"/>
              <w:szCs w:val="22"/>
              <w:lang w:val="en-GB" w:eastAsia="en-GB" w:bidi="ar-SA"/>
            </w:rPr>
          </w:pPr>
          <w:hyperlink w:anchor="_Toc2860947" w:history="1">
            <w:r w:rsidR="006D7143" w:rsidRPr="006B072F">
              <w:rPr>
                <w:rStyle w:val="Hyperlink"/>
              </w:rPr>
              <w:t>4.3 La Commission européenne</w:t>
            </w:r>
            <w:r w:rsidR="006D7143">
              <w:rPr>
                <w:webHidden/>
              </w:rPr>
              <w:tab/>
            </w:r>
            <w:r w:rsidR="006D7143">
              <w:rPr>
                <w:webHidden/>
              </w:rPr>
              <w:fldChar w:fldCharType="begin"/>
            </w:r>
            <w:r w:rsidR="006D7143">
              <w:rPr>
                <w:webHidden/>
              </w:rPr>
              <w:instrText xml:space="preserve"> PAGEREF _Toc2860947 \h </w:instrText>
            </w:r>
            <w:r w:rsidR="006D7143">
              <w:rPr>
                <w:webHidden/>
              </w:rPr>
            </w:r>
            <w:r w:rsidR="006D7143">
              <w:rPr>
                <w:webHidden/>
              </w:rPr>
              <w:fldChar w:fldCharType="separate"/>
            </w:r>
            <w:r>
              <w:rPr>
                <w:webHidden/>
              </w:rPr>
              <w:t>166</w:t>
            </w:r>
            <w:r w:rsidR="006D7143">
              <w:rPr>
                <w:webHidden/>
              </w:rPr>
              <w:fldChar w:fldCharType="end"/>
            </w:r>
          </w:hyperlink>
        </w:p>
        <w:p w14:paraId="643F8B53" w14:textId="38B3592C" w:rsidR="006D7143" w:rsidRDefault="00CC09A6">
          <w:pPr>
            <w:pStyle w:val="TOC3"/>
            <w:rPr>
              <w:rFonts w:asciiTheme="minorHAnsi" w:eastAsiaTheme="minorEastAsia" w:hAnsiTheme="minorHAnsi" w:cstheme="minorBidi"/>
              <w:sz w:val="22"/>
              <w:szCs w:val="22"/>
              <w:lang w:val="en-GB" w:eastAsia="en-GB" w:bidi="ar-SA"/>
            </w:rPr>
          </w:pPr>
          <w:hyperlink w:anchor="_Toc2860948" w:history="1">
            <w:r w:rsidR="006D7143" w:rsidRPr="006B072F">
              <w:rPr>
                <w:rStyle w:val="Hyperlink"/>
              </w:rPr>
              <w:t>4.3.1 Observations générales</w:t>
            </w:r>
            <w:r w:rsidR="006D7143">
              <w:rPr>
                <w:webHidden/>
              </w:rPr>
              <w:tab/>
            </w:r>
            <w:r w:rsidR="006D7143">
              <w:rPr>
                <w:webHidden/>
              </w:rPr>
              <w:fldChar w:fldCharType="begin"/>
            </w:r>
            <w:r w:rsidR="006D7143">
              <w:rPr>
                <w:webHidden/>
              </w:rPr>
              <w:instrText xml:space="preserve"> PAGEREF _Toc2860948 \h </w:instrText>
            </w:r>
            <w:r w:rsidR="006D7143">
              <w:rPr>
                <w:webHidden/>
              </w:rPr>
            </w:r>
            <w:r w:rsidR="006D7143">
              <w:rPr>
                <w:webHidden/>
              </w:rPr>
              <w:fldChar w:fldCharType="separate"/>
            </w:r>
            <w:r>
              <w:rPr>
                <w:webHidden/>
              </w:rPr>
              <w:t>166</w:t>
            </w:r>
            <w:r w:rsidR="006D7143">
              <w:rPr>
                <w:webHidden/>
              </w:rPr>
              <w:fldChar w:fldCharType="end"/>
            </w:r>
          </w:hyperlink>
        </w:p>
        <w:p w14:paraId="74D0ED67" w14:textId="24C84985" w:rsidR="006D7143" w:rsidRDefault="00CC09A6">
          <w:pPr>
            <w:pStyle w:val="TOC3"/>
            <w:rPr>
              <w:rFonts w:asciiTheme="minorHAnsi" w:eastAsiaTheme="minorEastAsia" w:hAnsiTheme="minorHAnsi" w:cstheme="minorBidi"/>
              <w:sz w:val="22"/>
              <w:szCs w:val="22"/>
              <w:lang w:val="en-GB" w:eastAsia="en-GB" w:bidi="ar-SA"/>
            </w:rPr>
          </w:pPr>
          <w:hyperlink w:anchor="_Toc2860949" w:history="1">
            <w:r w:rsidR="006D7143" w:rsidRPr="006B072F">
              <w:rPr>
                <w:rStyle w:val="Hyperlink"/>
              </w:rPr>
              <w:t>4.3.2 L’équipe de coordination du jumelage</w:t>
            </w:r>
            <w:r w:rsidR="006D7143">
              <w:rPr>
                <w:webHidden/>
              </w:rPr>
              <w:tab/>
            </w:r>
            <w:r w:rsidR="006D7143">
              <w:rPr>
                <w:webHidden/>
              </w:rPr>
              <w:fldChar w:fldCharType="begin"/>
            </w:r>
            <w:r w:rsidR="006D7143">
              <w:rPr>
                <w:webHidden/>
              </w:rPr>
              <w:instrText xml:space="preserve"> PAGEREF _Toc2860949 \h </w:instrText>
            </w:r>
            <w:r w:rsidR="006D7143">
              <w:rPr>
                <w:webHidden/>
              </w:rPr>
            </w:r>
            <w:r w:rsidR="006D7143">
              <w:rPr>
                <w:webHidden/>
              </w:rPr>
              <w:fldChar w:fldCharType="separate"/>
            </w:r>
            <w:r>
              <w:rPr>
                <w:webHidden/>
              </w:rPr>
              <w:t>166</w:t>
            </w:r>
            <w:r w:rsidR="006D7143">
              <w:rPr>
                <w:webHidden/>
              </w:rPr>
              <w:fldChar w:fldCharType="end"/>
            </w:r>
          </w:hyperlink>
        </w:p>
        <w:p w14:paraId="0E308B19" w14:textId="090E5200" w:rsidR="006D7143" w:rsidRDefault="00CC09A6">
          <w:pPr>
            <w:pStyle w:val="TOC3"/>
            <w:rPr>
              <w:rFonts w:asciiTheme="minorHAnsi" w:eastAsiaTheme="minorEastAsia" w:hAnsiTheme="minorHAnsi" w:cstheme="minorBidi"/>
              <w:sz w:val="22"/>
              <w:szCs w:val="22"/>
              <w:lang w:val="en-GB" w:eastAsia="en-GB" w:bidi="ar-SA"/>
            </w:rPr>
          </w:pPr>
          <w:hyperlink w:anchor="_Toc2860950" w:history="1">
            <w:r w:rsidR="006D7143" w:rsidRPr="006B072F">
              <w:rPr>
                <w:rStyle w:val="Hyperlink"/>
              </w:rPr>
              <w:t>4.3.3 Rôle général de la Commission</w:t>
            </w:r>
            <w:r w:rsidR="006D7143">
              <w:rPr>
                <w:webHidden/>
              </w:rPr>
              <w:tab/>
            </w:r>
            <w:r w:rsidR="006D7143">
              <w:rPr>
                <w:webHidden/>
              </w:rPr>
              <w:fldChar w:fldCharType="begin"/>
            </w:r>
            <w:r w:rsidR="006D7143">
              <w:rPr>
                <w:webHidden/>
              </w:rPr>
              <w:instrText xml:space="preserve"> PAGEREF _Toc2860950 \h </w:instrText>
            </w:r>
            <w:r w:rsidR="006D7143">
              <w:rPr>
                <w:webHidden/>
              </w:rPr>
            </w:r>
            <w:r w:rsidR="006D7143">
              <w:rPr>
                <w:webHidden/>
              </w:rPr>
              <w:fldChar w:fldCharType="separate"/>
            </w:r>
            <w:r>
              <w:rPr>
                <w:webHidden/>
              </w:rPr>
              <w:t>167</w:t>
            </w:r>
            <w:r w:rsidR="006D7143">
              <w:rPr>
                <w:webHidden/>
              </w:rPr>
              <w:fldChar w:fldCharType="end"/>
            </w:r>
          </w:hyperlink>
        </w:p>
        <w:p w14:paraId="7754E92A" w14:textId="2FC5AF98" w:rsidR="006D7143" w:rsidRDefault="00CC09A6">
          <w:pPr>
            <w:pStyle w:val="TOC1"/>
            <w:rPr>
              <w:rFonts w:asciiTheme="minorHAnsi" w:eastAsiaTheme="minorEastAsia" w:hAnsiTheme="minorHAnsi" w:cstheme="minorBidi"/>
              <w:b w:val="0"/>
              <w:bCs w:val="0"/>
              <w:caps w:val="0"/>
              <w:sz w:val="22"/>
              <w:szCs w:val="22"/>
              <w:lang w:val="en-GB" w:eastAsia="en-GB" w:bidi="ar-SA"/>
            </w:rPr>
          </w:pPr>
          <w:hyperlink w:anchor="_Toc2860951" w:history="1">
            <w:r w:rsidR="006D7143" w:rsidRPr="006B072F">
              <w:rPr>
                <w:rStyle w:val="Hyperlink"/>
              </w:rPr>
              <w:t>Section 5: la conception et la gestion du projet</w:t>
            </w:r>
            <w:r w:rsidR="006D7143">
              <w:rPr>
                <w:webHidden/>
              </w:rPr>
              <w:tab/>
            </w:r>
            <w:r w:rsidR="006D7143">
              <w:rPr>
                <w:webHidden/>
              </w:rPr>
              <w:fldChar w:fldCharType="begin"/>
            </w:r>
            <w:r w:rsidR="006D7143">
              <w:rPr>
                <w:webHidden/>
              </w:rPr>
              <w:instrText xml:space="preserve"> PAGEREF _Toc2860951 \h </w:instrText>
            </w:r>
            <w:r w:rsidR="006D7143">
              <w:rPr>
                <w:webHidden/>
              </w:rPr>
            </w:r>
            <w:r w:rsidR="006D7143">
              <w:rPr>
                <w:webHidden/>
              </w:rPr>
              <w:fldChar w:fldCharType="separate"/>
            </w:r>
            <w:r>
              <w:rPr>
                <w:webHidden/>
              </w:rPr>
              <w:t>169</w:t>
            </w:r>
            <w:r w:rsidR="006D7143">
              <w:rPr>
                <w:webHidden/>
              </w:rPr>
              <w:fldChar w:fldCharType="end"/>
            </w:r>
          </w:hyperlink>
        </w:p>
        <w:p w14:paraId="0F81DB1C" w14:textId="4597FD66" w:rsidR="006D7143" w:rsidRDefault="00CC09A6">
          <w:pPr>
            <w:pStyle w:val="TOC2"/>
            <w:rPr>
              <w:rFonts w:asciiTheme="minorHAnsi" w:eastAsiaTheme="minorEastAsia" w:hAnsiTheme="minorHAnsi" w:cstheme="minorBidi"/>
              <w:sz w:val="22"/>
              <w:szCs w:val="22"/>
              <w:lang w:val="en-GB" w:eastAsia="en-GB" w:bidi="ar-SA"/>
            </w:rPr>
          </w:pPr>
          <w:hyperlink w:anchor="_Toc2860952" w:history="1">
            <w:r w:rsidR="006D7143" w:rsidRPr="006B072F">
              <w:rPr>
                <w:rStyle w:val="Hyperlink"/>
              </w:rPr>
              <w:t>5.1 Informations de base dans le contrat de subvention de jumelage</w:t>
            </w:r>
            <w:r w:rsidR="006D7143">
              <w:rPr>
                <w:webHidden/>
              </w:rPr>
              <w:tab/>
            </w:r>
            <w:r w:rsidR="006D7143">
              <w:rPr>
                <w:webHidden/>
              </w:rPr>
              <w:fldChar w:fldCharType="begin"/>
            </w:r>
            <w:r w:rsidR="006D7143">
              <w:rPr>
                <w:webHidden/>
              </w:rPr>
              <w:instrText xml:space="preserve"> PAGEREF _Toc2860952 \h </w:instrText>
            </w:r>
            <w:r w:rsidR="006D7143">
              <w:rPr>
                <w:webHidden/>
              </w:rPr>
            </w:r>
            <w:r w:rsidR="006D7143">
              <w:rPr>
                <w:webHidden/>
              </w:rPr>
              <w:fldChar w:fldCharType="separate"/>
            </w:r>
            <w:r>
              <w:rPr>
                <w:webHidden/>
              </w:rPr>
              <w:t>169</w:t>
            </w:r>
            <w:r w:rsidR="006D7143">
              <w:rPr>
                <w:webHidden/>
              </w:rPr>
              <w:fldChar w:fldCharType="end"/>
            </w:r>
          </w:hyperlink>
        </w:p>
        <w:p w14:paraId="03BF758D" w14:textId="3DC8EAEB" w:rsidR="006D7143" w:rsidRDefault="00CC09A6">
          <w:pPr>
            <w:pStyle w:val="TOC2"/>
            <w:rPr>
              <w:rFonts w:asciiTheme="minorHAnsi" w:eastAsiaTheme="minorEastAsia" w:hAnsiTheme="minorHAnsi" w:cstheme="minorBidi"/>
              <w:sz w:val="22"/>
              <w:szCs w:val="22"/>
              <w:lang w:val="en-GB" w:eastAsia="en-GB" w:bidi="ar-SA"/>
            </w:rPr>
          </w:pPr>
          <w:hyperlink w:anchor="_Toc2860953" w:history="1">
            <w:r w:rsidR="006D7143" w:rsidRPr="006B072F">
              <w:rPr>
                <w:rStyle w:val="Hyperlink"/>
              </w:rPr>
              <w:t>5.2 Description des activités dans le plan de travail</w:t>
            </w:r>
            <w:r w:rsidR="006D7143">
              <w:rPr>
                <w:webHidden/>
              </w:rPr>
              <w:tab/>
            </w:r>
            <w:r w:rsidR="006D7143">
              <w:rPr>
                <w:webHidden/>
              </w:rPr>
              <w:fldChar w:fldCharType="begin"/>
            </w:r>
            <w:r w:rsidR="006D7143">
              <w:rPr>
                <w:webHidden/>
              </w:rPr>
              <w:instrText xml:space="preserve"> PAGEREF _Toc2860953 \h </w:instrText>
            </w:r>
            <w:r w:rsidR="006D7143">
              <w:rPr>
                <w:webHidden/>
              </w:rPr>
            </w:r>
            <w:r w:rsidR="006D7143">
              <w:rPr>
                <w:webHidden/>
              </w:rPr>
              <w:fldChar w:fldCharType="separate"/>
            </w:r>
            <w:r>
              <w:rPr>
                <w:webHidden/>
              </w:rPr>
              <w:t>169</w:t>
            </w:r>
            <w:r w:rsidR="006D7143">
              <w:rPr>
                <w:webHidden/>
              </w:rPr>
              <w:fldChar w:fldCharType="end"/>
            </w:r>
          </w:hyperlink>
        </w:p>
        <w:p w14:paraId="630D546C" w14:textId="08BE70E2" w:rsidR="006D7143" w:rsidRDefault="00CC09A6">
          <w:pPr>
            <w:pStyle w:val="TOC3"/>
            <w:rPr>
              <w:rFonts w:asciiTheme="minorHAnsi" w:eastAsiaTheme="minorEastAsia" w:hAnsiTheme="minorHAnsi" w:cstheme="minorBidi"/>
              <w:sz w:val="22"/>
              <w:szCs w:val="22"/>
              <w:lang w:val="en-GB" w:eastAsia="en-GB" w:bidi="ar-SA"/>
            </w:rPr>
          </w:pPr>
          <w:hyperlink w:anchor="_Toc2860954" w:history="1">
            <w:r w:rsidR="006D7143" w:rsidRPr="006B072F">
              <w:rPr>
                <w:rStyle w:val="Hyperlink"/>
              </w:rPr>
              <w:t>5.2.1 Dispositions générales</w:t>
            </w:r>
            <w:r w:rsidR="006D7143">
              <w:rPr>
                <w:webHidden/>
              </w:rPr>
              <w:tab/>
            </w:r>
            <w:r w:rsidR="006D7143">
              <w:rPr>
                <w:webHidden/>
              </w:rPr>
              <w:fldChar w:fldCharType="begin"/>
            </w:r>
            <w:r w:rsidR="006D7143">
              <w:rPr>
                <w:webHidden/>
              </w:rPr>
              <w:instrText xml:space="preserve"> PAGEREF _Toc2860954 \h </w:instrText>
            </w:r>
            <w:r w:rsidR="006D7143">
              <w:rPr>
                <w:webHidden/>
              </w:rPr>
            </w:r>
            <w:r w:rsidR="006D7143">
              <w:rPr>
                <w:webHidden/>
              </w:rPr>
              <w:fldChar w:fldCharType="separate"/>
            </w:r>
            <w:r>
              <w:rPr>
                <w:webHidden/>
              </w:rPr>
              <w:t>169</w:t>
            </w:r>
            <w:r w:rsidR="006D7143">
              <w:rPr>
                <w:webHidden/>
              </w:rPr>
              <w:fldChar w:fldCharType="end"/>
            </w:r>
          </w:hyperlink>
        </w:p>
        <w:p w14:paraId="116CA7E7" w14:textId="6B1FD88E" w:rsidR="006D7143" w:rsidRDefault="00CC09A6">
          <w:pPr>
            <w:pStyle w:val="TOC3"/>
            <w:rPr>
              <w:rFonts w:asciiTheme="minorHAnsi" w:eastAsiaTheme="minorEastAsia" w:hAnsiTheme="minorHAnsi" w:cstheme="minorBidi"/>
              <w:sz w:val="22"/>
              <w:szCs w:val="22"/>
              <w:lang w:val="en-GB" w:eastAsia="en-GB" w:bidi="ar-SA"/>
            </w:rPr>
          </w:pPr>
          <w:hyperlink w:anchor="_Toc2860955" w:history="1">
            <w:r w:rsidR="006D7143" w:rsidRPr="006B072F">
              <w:rPr>
                <w:rStyle w:val="Hyperlink"/>
              </w:rPr>
              <w:t>5.2.2 Le plan de travail initial</w:t>
            </w:r>
            <w:r w:rsidR="006D7143">
              <w:rPr>
                <w:webHidden/>
              </w:rPr>
              <w:tab/>
            </w:r>
            <w:r w:rsidR="006D7143">
              <w:rPr>
                <w:webHidden/>
              </w:rPr>
              <w:fldChar w:fldCharType="begin"/>
            </w:r>
            <w:r w:rsidR="006D7143">
              <w:rPr>
                <w:webHidden/>
              </w:rPr>
              <w:instrText xml:space="preserve"> PAGEREF _Toc2860955 \h </w:instrText>
            </w:r>
            <w:r w:rsidR="006D7143">
              <w:rPr>
                <w:webHidden/>
              </w:rPr>
            </w:r>
            <w:r w:rsidR="006D7143">
              <w:rPr>
                <w:webHidden/>
              </w:rPr>
              <w:fldChar w:fldCharType="separate"/>
            </w:r>
            <w:r>
              <w:rPr>
                <w:webHidden/>
              </w:rPr>
              <w:t>170</w:t>
            </w:r>
            <w:r w:rsidR="006D7143">
              <w:rPr>
                <w:webHidden/>
              </w:rPr>
              <w:fldChar w:fldCharType="end"/>
            </w:r>
          </w:hyperlink>
        </w:p>
        <w:p w14:paraId="1071F547" w14:textId="524889A6" w:rsidR="006D7143" w:rsidRDefault="00CC09A6">
          <w:pPr>
            <w:pStyle w:val="TOC3"/>
            <w:rPr>
              <w:rFonts w:asciiTheme="minorHAnsi" w:eastAsiaTheme="minorEastAsia" w:hAnsiTheme="minorHAnsi" w:cstheme="minorBidi"/>
              <w:sz w:val="22"/>
              <w:szCs w:val="22"/>
              <w:lang w:val="en-GB" w:eastAsia="en-GB" w:bidi="ar-SA"/>
            </w:rPr>
          </w:pPr>
          <w:hyperlink w:anchor="_Toc2860956" w:history="1">
            <w:r w:rsidR="006D7143" w:rsidRPr="006B072F">
              <w:rPr>
                <w:rStyle w:val="Hyperlink"/>
              </w:rPr>
              <w:t>5.2.3 Le plan de travail évolutif</w:t>
            </w:r>
            <w:r w:rsidR="006D7143">
              <w:rPr>
                <w:webHidden/>
              </w:rPr>
              <w:tab/>
            </w:r>
            <w:r w:rsidR="006D7143">
              <w:rPr>
                <w:webHidden/>
              </w:rPr>
              <w:fldChar w:fldCharType="begin"/>
            </w:r>
            <w:r w:rsidR="006D7143">
              <w:rPr>
                <w:webHidden/>
              </w:rPr>
              <w:instrText xml:space="preserve"> PAGEREF _Toc2860956 \h </w:instrText>
            </w:r>
            <w:r w:rsidR="006D7143">
              <w:rPr>
                <w:webHidden/>
              </w:rPr>
            </w:r>
            <w:r w:rsidR="006D7143">
              <w:rPr>
                <w:webHidden/>
              </w:rPr>
              <w:fldChar w:fldCharType="separate"/>
            </w:r>
            <w:r>
              <w:rPr>
                <w:webHidden/>
              </w:rPr>
              <w:t>171</w:t>
            </w:r>
            <w:r w:rsidR="006D7143">
              <w:rPr>
                <w:webHidden/>
              </w:rPr>
              <w:fldChar w:fldCharType="end"/>
            </w:r>
          </w:hyperlink>
        </w:p>
        <w:p w14:paraId="7EDB6CA5" w14:textId="70D49C1A" w:rsidR="006D7143" w:rsidRDefault="00CC09A6">
          <w:pPr>
            <w:pStyle w:val="TOC3"/>
            <w:rPr>
              <w:rFonts w:asciiTheme="minorHAnsi" w:eastAsiaTheme="minorEastAsia" w:hAnsiTheme="minorHAnsi" w:cstheme="minorBidi"/>
              <w:sz w:val="22"/>
              <w:szCs w:val="22"/>
              <w:lang w:val="en-GB" w:eastAsia="en-GB" w:bidi="ar-SA"/>
            </w:rPr>
          </w:pPr>
          <w:hyperlink w:anchor="_Toc2860957" w:history="1">
            <w:r w:rsidR="006D7143" w:rsidRPr="006B072F">
              <w:rPr>
                <w:rStyle w:val="Hyperlink"/>
              </w:rPr>
              <w:t>5.2.4 Le comité de pilotage du projet</w:t>
            </w:r>
            <w:r w:rsidR="006D7143">
              <w:rPr>
                <w:webHidden/>
              </w:rPr>
              <w:tab/>
            </w:r>
            <w:r w:rsidR="006D7143">
              <w:rPr>
                <w:webHidden/>
              </w:rPr>
              <w:fldChar w:fldCharType="begin"/>
            </w:r>
            <w:r w:rsidR="006D7143">
              <w:rPr>
                <w:webHidden/>
              </w:rPr>
              <w:instrText xml:space="preserve"> PAGEREF _Toc2860957 \h </w:instrText>
            </w:r>
            <w:r w:rsidR="006D7143">
              <w:rPr>
                <w:webHidden/>
              </w:rPr>
            </w:r>
            <w:r w:rsidR="006D7143">
              <w:rPr>
                <w:webHidden/>
              </w:rPr>
              <w:fldChar w:fldCharType="separate"/>
            </w:r>
            <w:r>
              <w:rPr>
                <w:webHidden/>
              </w:rPr>
              <w:t>171</w:t>
            </w:r>
            <w:r w:rsidR="006D7143">
              <w:rPr>
                <w:webHidden/>
              </w:rPr>
              <w:fldChar w:fldCharType="end"/>
            </w:r>
          </w:hyperlink>
        </w:p>
        <w:p w14:paraId="42E3FD90" w14:textId="626A559B" w:rsidR="006D7143" w:rsidRDefault="00CC09A6">
          <w:pPr>
            <w:pStyle w:val="TOC3"/>
            <w:rPr>
              <w:rFonts w:asciiTheme="minorHAnsi" w:eastAsiaTheme="minorEastAsia" w:hAnsiTheme="minorHAnsi" w:cstheme="minorBidi"/>
              <w:sz w:val="22"/>
              <w:szCs w:val="22"/>
              <w:lang w:val="en-GB" w:eastAsia="en-GB" w:bidi="ar-SA"/>
            </w:rPr>
          </w:pPr>
          <w:hyperlink w:anchor="_Toc2860958" w:history="1">
            <w:r w:rsidR="006D7143" w:rsidRPr="006B072F">
              <w:rPr>
                <w:rStyle w:val="Hyperlink"/>
              </w:rPr>
              <w:t>5.2.5 Volets et activités</w:t>
            </w:r>
            <w:r w:rsidR="006D7143">
              <w:rPr>
                <w:webHidden/>
              </w:rPr>
              <w:tab/>
            </w:r>
            <w:r w:rsidR="006D7143">
              <w:rPr>
                <w:webHidden/>
              </w:rPr>
              <w:fldChar w:fldCharType="begin"/>
            </w:r>
            <w:r w:rsidR="006D7143">
              <w:rPr>
                <w:webHidden/>
              </w:rPr>
              <w:instrText xml:space="preserve"> PAGEREF _Toc2860958 \h </w:instrText>
            </w:r>
            <w:r w:rsidR="006D7143">
              <w:rPr>
                <w:webHidden/>
              </w:rPr>
            </w:r>
            <w:r w:rsidR="006D7143">
              <w:rPr>
                <w:webHidden/>
              </w:rPr>
              <w:fldChar w:fldCharType="separate"/>
            </w:r>
            <w:r>
              <w:rPr>
                <w:webHidden/>
              </w:rPr>
              <w:t>172</w:t>
            </w:r>
            <w:r w:rsidR="006D7143">
              <w:rPr>
                <w:webHidden/>
              </w:rPr>
              <w:fldChar w:fldCharType="end"/>
            </w:r>
          </w:hyperlink>
        </w:p>
        <w:p w14:paraId="3F834E76" w14:textId="07E9F05D" w:rsidR="006D7143" w:rsidRDefault="00CC09A6">
          <w:pPr>
            <w:pStyle w:val="TOC2"/>
            <w:rPr>
              <w:rFonts w:asciiTheme="minorHAnsi" w:eastAsiaTheme="minorEastAsia" w:hAnsiTheme="minorHAnsi" w:cstheme="minorBidi"/>
              <w:sz w:val="22"/>
              <w:szCs w:val="22"/>
              <w:lang w:val="en-GB" w:eastAsia="en-GB" w:bidi="ar-SA"/>
            </w:rPr>
          </w:pPr>
          <w:hyperlink w:anchor="_Toc2860959" w:history="1">
            <w:r w:rsidR="006D7143" w:rsidRPr="006B072F">
              <w:rPr>
                <w:rStyle w:val="Hyperlink"/>
              </w:rPr>
              <w:t>5.3 Objectifs, délais, durée et analyse des risques</w:t>
            </w:r>
            <w:r w:rsidR="006D7143">
              <w:rPr>
                <w:webHidden/>
              </w:rPr>
              <w:tab/>
            </w:r>
            <w:r w:rsidR="006D7143">
              <w:rPr>
                <w:webHidden/>
              </w:rPr>
              <w:fldChar w:fldCharType="begin"/>
            </w:r>
            <w:r w:rsidR="006D7143">
              <w:rPr>
                <w:webHidden/>
              </w:rPr>
              <w:instrText xml:space="preserve"> PAGEREF _Toc2860959 \h </w:instrText>
            </w:r>
            <w:r w:rsidR="006D7143">
              <w:rPr>
                <w:webHidden/>
              </w:rPr>
            </w:r>
            <w:r w:rsidR="006D7143">
              <w:rPr>
                <w:webHidden/>
              </w:rPr>
              <w:fldChar w:fldCharType="separate"/>
            </w:r>
            <w:r>
              <w:rPr>
                <w:webHidden/>
              </w:rPr>
              <w:t>173</w:t>
            </w:r>
            <w:r w:rsidR="006D7143">
              <w:rPr>
                <w:webHidden/>
              </w:rPr>
              <w:fldChar w:fldCharType="end"/>
            </w:r>
          </w:hyperlink>
        </w:p>
        <w:p w14:paraId="2B65D3D8" w14:textId="6315F70E" w:rsidR="006D7143" w:rsidRDefault="00CC09A6">
          <w:pPr>
            <w:pStyle w:val="TOC3"/>
            <w:rPr>
              <w:rFonts w:asciiTheme="minorHAnsi" w:eastAsiaTheme="minorEastAsia" w:hAnsiTheme="minorHAnsi" w:cstheme="minorBidi"/>
              <w:sz w:val="22"/>
              <w:szCs w:val="22"/>
              <w:lang w:val="en-GB" w:eastAsia="en-GB" w:bidi="ar-SA"/>
            </w:rPr>
          </w:pPr>
          <w:hyperlink w:anchor="_Toc2860960" w:history="1">
            <w:r w:rsidR="006D7143" w:rsidRPr="006B072F">
              <w:rPr>
                <w:rStyle w:val="Hyperlink"/>
              </w:rPr>
              <w:t>5.3.1 Définition des objectifs du projet</w:t>
            </w:r>
            <w:r w:rsidR="006D7143">
              <w:rPr>
                <w:webHidden/>
              </w:rPr>
              <w:tab/>
            </w:r>
            <w:r w:rsidR="006D7143">
              <w:rPr>
                <w:webHidden/>
              </w:rPr>
              <w:fldChar w:fldCharType="begin"/>
            </w:r>
            <w:r w:rsidR="006D7143">
              <w:rPr>
                <w:webHidden/>
              </w:rPr>
              <w:instrText xml:space="preserve"> PAGEREF _Toc2860960 \h </w:instrText>
            </w:r>
            <w:r w:rsidR="006D7143">
              <w:rPr>
                <w:webHidden/>
              </w:rPr>
            </w:r>
            <w:r w:rsidR="006D7143">
              <w:rPr>
                <w:webHidden/>
              </w:rPr>
              <w:fldChar w:fldCharType="separate"/>
            </w:r>
            <w:r>
              <w:rPr>
                <w:webHidden/>
              </w:rPr>
              <w:t>173</w:t>
            </w:r>
            <w:r w:rsidR="006D7143">
              <w:rPr>
                <w:webHidden/>
              </w:rPr>
              <w:fldChar w:fldCharType="end"/>
            </w:r>
          </w:hyperlink>
        </w:p>
        <w:p w14:paraId="7C7CCA2D" w14:textId="77D0247A" w:rsidR="006D7143" w:rsidRDefault="00CC09A6">
          <w:pPr>
            <w:pStyle w:val="TOC3"/>
            <w:rPr>
              <w:rFonts w:asciiTheme="minorHAnsi" w:eastAsiaTheme="minorEastAsia" w:hAnsiTheme="minorHAnsi" w:cstheme="minorBidi"/>
              <w:sz w:val="22"/>
              <w:szCs w:val="22"/>
              <w:lang w:val="en-GB" w:eastAsia="en-GB" w:bidi="ar-SA"/>
            </w:rPr>
          </w:pPr>
          <w:hyperlink w:anchor="_Toc2860961" w:history="1">
            <w:r w:rsidR="006D7143" w:rsidRPr="006B072F">
              <w:rPr>
                <w:rStyle w:val="Hyperlink"/>
              </w:rPr>
              <w:t>5.3.2 Délais</w:t>
            </w:r>
            <w:r w:rsidR="006D7143">
              <w:rPr>
                <w:webHidden/>
              </w:rPr>
              <w:tab/>
            </w:r>
            <w:r w:rsidR="006D7143">
              <w:rPr>
                <w:webHidden/>
              </w:rPr>
              <w:fldChar w:fldCharType="begin"/>
            </w:r>
            <w:r w:rsidR="006D7143">
              <w:rPr>
                <w:webHidden/>
              </w:rPr>
              <w:instrText xml:space="preserve"> PAGEREF _Toc2860961 \h </w:instrText>
            </w:r>
            <w:r w:rsidR="006D7143">
              <w:rPr>
                <w:webHidden/>
              </w:rPr>
            </w:r>
            <w:r w:rsidR="006D7143">
              <w:rPr>
                <w:webHidden/>
              </w:rPr>
              <w:fldChar w:fldCharType="separate"/>
            </w:r>
            <w:r>
              <w:rPr>
                <w:webHidden/>
              </w:rPr>
              <w:t>173</w:t>
            </w:r>
            <w:r w:rsidR="006D7143">
              <w:rPr>
                <w:webHidden/>
              </w:rPr>
              <w:fldChar w:fldCharType="end"/>
            </w:r>
          </w:hyperlink>
        </w:p>
        <w:p w14:paraId="5A650FD7" w14:textId="32623B89" w:rsidR="006D7143" w:rsidRDefault="00CC09A6">
          <w:pPr>
            <w:pStyle w:val="TOC3"/>
            <w:rPr>
              <w:rFonts w:asciiTheme="minorHAnsi" w:eastAsiaTheme="minorEastAsia" w:hAnsiTheme="minorHAnsi" w:cstheme="minorBidi"/>
              <w:sz w:val="22"/>
              <w:szCs w:val="22"/>
              <w:lang w:val="en-GB" w:eastAsia="en-GB" w:bidi="ar-SA"/>
            </w:rPr>
          </w:pPr>
          <w:hyperlink w:anchor="_Toc2860962" w:history="1">
            <w:r w:rsidR="006D7143" w:rsidRPr="006B072F">
              <w:rPr>
                <w:rStyle w:val="Hyperlink"/>
              </w:rPr>
              <w:t>5.3.3 Durée</w:t>
            </w:r>
            <w:r w:rsidR="006D7143">
              <w:rPr>
                <w:webHidden/>
              </w:rPr>
              <w:tab/>
            </w:r>
            <w:r w:rsidR="006D7143">
              <w:rPr>
                <w:webHidden/>
              </w:rPr>
              <w:fldChar w:fldCharType="begin"/>
            </w:r>
            <w:r w:rsidR="006D7143">
              <w:rPr>
                <w:webHidden/>
              </w:rPr>
              <w:instrText xml:space="preserve"> PAGEREF _Toc2860962 \h </w:instrText>
            </w:r>
            <w:r w:rsidR="006D7143">
              <w:rPr>
                <w:webHidden/>
              </w:rPr>
            </w:r>
            <w:r w:rsidR="006D7143">
              <w:rPr>
                <w:webHidden/>
              </w:rPr>
              <w:fldChar w:fldCharType="separate"/>
            </w:r>
            <w:r>
              <w:rPr>
                <w:webHidden/>
              </w:rPr>
              <w:t>174</w:t>
            </w:r>
            <w:r w:rsidR="006D7143">
              <w:rPr>
                <w:webHidden/>
              </w:rPr>
              <w:fldChar w:fldCharType="end"/>
            </w:r>
          </w:hyperlink>
        </w:p>
        <w:p w14:paraId="721D8FBB" w14:textId="02237BD3" w:rsidR="006D7143" w:rsidRDefault="00CC09A6">
          <w:pPr>
            <w:pStyle w:val="TOC3"/>
            <w:rPr>
              <w:rFonts w:asciiTheme="minorHAnsi" w:eastAsiaTheme="minorEastAsia" w:hAnsiTheme="minorHAnsi" w:cstheme="minorBidi"/>
              <w:sz w:val="22"/>
              <w:szCs w:val="22"/>
              <w:lang w:val="en-GB" w:eastAsia="en-GB" w:bidi="ar-SA"/>
            </w:rPr>
          </w:pPr>
          <w:hyperlink w:anchor="_Toc2860963" w:history="1">
            <w:r w:rsidR="006D7143" w:rsidRPr="006B072F">
              <w:rPr>
                <w:rStyle w:val="Hyperlink"/>
              </w:rPr>
              <w:t>5.3.4 Analyse des risques</w:t>
            </w:r>
            <w:r w:rsidR="006D7143">
              <w:rPr>
                <w:webHidden/>
              </w:rPr>
              <w:tab/>
            </w:r>
            <w:r w:rsidR="006D7143">
              <w:rPr>
                <w:webHidden/>
              </w:rPr>
              <w:fldChar w:fldCharType="begin"/>
            </w:r>
            <w:r w:rsidR="006D7143">
              <w:rPr>
                <w:webHidden/>
              </w:rPr>
              <w:instrText xml:space="preserve"> PAGEREF _Toc2860963 \h </w:instrText>
            </w:r>
            <w:r w:rsidR="006D7143">
              <w:rPr>
                <w:webHidden/>
              </w:rPr>
            </w:r>
            <w:r w:rsidR="006D7143">
              <w:rPr>
                <w:webHidden/>
              </w:rPr>
              <w:fldChar w:fldCharType="separate"/>
            </w:r>
            <w:r>
              <w:rPr>
                <w:webHidden/>
              </w:rPr>
              <w:t>174</w:t>
            </w:r>
            <w:r w:rsidR="006D7143">
              <w:rPr>
                <w:webHidden/>
              </w:rPr>
              <w:fldChar w:fldCharType="end"/>
            </w:r>
          </w:hyperlink>
        </w:p>
        <w:p w14:paraId="731FF6F6" w14:textId="33E25693" w:rsidR="006D7143" w:rsidRDefault="00CC09A6">
          <w:pPr>
            <w:pStyle w:val="TOC2"/>
            <w:rPr>
              <w:rFonts w:asciiTheme="minorHAnsi" w:eastAsiaTheme="minorEastAsia" w:hAnsiTheme="minorHAnsi" w:cstheme="minorBidi"/>
              <w:sz w:val="22"/>
              <w:szCs w:val="22"/>
              <w:lang w:val="en-GB" w:eastAsia="en-GB" w:bidi="ar-SA"/>
            </w:rPr>
          </w:pPr>
          <w:hyperlink w:anchor="_Toc2860964" w:history="1">
            <w:r w:rsidR="006D7143" w:rsidRPr="006B072F">
              <w:rPr>
                <w:rStyle w:val="Hyperlink"/>
              </w:rPr>
              <w:t>5.4 Responsabilités en matière de gestion du projet de jumelage</w:t>
            </w:r>
            <w:r w:rsidR="006D7143">
              <w:rPr>
                <w:webHidden/>
              </w:rPr>
              <w:tab/>
            </w:r>
            <w:r w:rsidR="006D7143">
              <w:rPr>
                <w:webHidden/>
              </w:rPr>
              <w:fldChar w:fldCharType="begin"/>
            </w:r>
            <w:r w:rsidR="006D7143">
              <w:rPr>
                <w:webHidden/>
              </w:rPr>
              <w:instrText xml:space="preserve"> PAGEREF _Toc2860964 \h </w:instrText>
            </w:r>
            <w:r w:rsidR="006D7143">
              <w:rPr>
                <w:webHidden/>
              </w:rPr>
            </w:r>
            <w:r w:rsidR="006D7143">
              <w:rPr>
                <w:webHidden/>
              </w:rPr>
              <w:fldChar w:fldCharType="separate"/>
            </w:r>
            <w:r>
              <w:rPr>
                <w:webHidden/>
              </w:rPr>
              <w:t>174</w:t>
            </w:r>
            <w:r w:rsidR="006D7143">
              <w:rPr>
                <w:webHidden/>
              </w:rPr>
              <w:fldChar w:fldCharType="end"/>
            </w:r>
          </w:hyperlink>
        </w:p>
        <w:p w14:paraId="2C52294A" w14:textId="258EF15C" w:rsidR="006D7143" w:rsidRDefault="00CC09A6">
          <w:pPr>
            <w:pStyle w:val="TOC3"/>
            <w:rPr>
              <w:rFonts w:asciiTheme="minorHAnsi" w:eastAsiaTheme="minorEastAsia" w:hAnsiTheme="minorHAnsi" w:cstheme="minorBidi"/>
              <w:sz w:val="22"/>
              <w:szCs w:val="22"/>
              <w:lang w:val="en-GB" w:eastAsia="en-GB" w:bidi="ar-SA"/>
            </w:rPr>
          </w:pPr>
          <w:hyperlink w:anchor="_Toc2860965" w:history="1">
            <w:r w:rsidR="006D7143" w:rsidRPr="006B072F">
              <w:rPr>
                <w:rStyle w:val="Hyperlink"/>
              </w:rPr>
              <w:t>5.4.1 Administrations du bénéficiaire et de l’État membre</w:t>
            </w:r>
            <w:r w:rsidR="006D7143">
              <w:rPr>
                <w:webHidden/>
              </w:rPr>
              <w:tab/>
            </w:r>
            <w:r w:rsidR="006D7143">
              <w:rPr>
                <w:webHidden/>
              </w:rPr>
              <w:fldChar w:fldCharType="begin"/>
            </w:r>
            <w:r w:rsidR="006D7143">
              <w:rPr>
                <w:webHidden/>
              </w:rPr>
              <w:instrText xml:space="preserve"> PAGEREF _Toc2860965 \h </w:instrText>
            </w:r>
            <w:r w:rsidR="006D7143">
              <w:rPr>
                <w:webHidden/>
              </w:rPr>
            </w:r>
            <w:r w:rsidR="006D7143">
              <w:rPr>
                <w:webHidden/>
              </w:rPr>
              <w:fldChar w:fldCharType="separate"/>
            </w:r>
            <w:r>
              <w:rPr>
                <w:webHidden/>
              </w:rPr>
              <w:t>174</w:t>
            </w:r>
            <w:r w:rsidR="006D7143">
              <w:rPr>
                <w:webHidden/>
              </w:rPr>
              <w:fldChar w:fldCharType="end"/>
            </w:r>
          </w:hyperlink>
        </w:p>
        <w:p w14:paraId="6706C157" w14:textId="3935CD82" w:rsidR="006D7143" w:rsidRDefault="00CC09A6">
          <w:pPr>
            <w:pStyle w:val="TOC3"/>
            <w:rPr>
              <w:rFonts w:asciiTheme="minorHAnsi" w:eastAsiaTheme="minorEastAsia" w:hAnsiTheme="minorHAnsi" w:cstheme="minorBidi"/>
              <w:sz w:val="22"/>
              <w:szCs w:val="22"/>
              <w:lang w:val="en-GB" w:eastAsia="en-GB" w:bidi="ar-SA"/>
            </w:rPr>
          </w:pPr>
          <w:hyperlink w:anchor="_Toc2860966" w:history="1">
            <w:r w:rsidR="006D7143" w:rsidRPr="006B072F">
              <w:rPr>
                <w:rStyle w:val="Hyperlink"/>
              </w:rPr>
              <w:t>5.4.2 Projets avec un consortium d’États membres</w:t>
            </w:r>
            <w:r w:rsidR="006D7143">
              <w:rPr>
                <w:webHidden/>
              </w:rPr>
              <w:tab/>
            </w:r>
            <w:r w:rsidR="006D7143">
              <w:rPr>
                <w:webHidden/>
              </w:rPr>
              <w:fldChar w:fldCharType="begin"/>
            </w:r>
            <w:r w:rsidR="006D7143">
              <w:rPr>
                <w:webHidden/>
              </w:rPr>
              <w:instrText xml:space="preserve"> PAGEREF _Toc2860966 \h </w:instrText>
            </w:r>
            <w:r w:rsidR="006D7143">
              <w:rPr>
                <w:webHidden/>
              </w:rPr>
            </w:r>
            <w:r w:rsidR="006D7143">
              <w:rPr>
                <w:webHidden/>
              </w:rPr>
              <w:fldChar w:fldCharType="separate"/>
            </w:r>
            <w:r>
              <w:rPr>
                <w:webHidden/>
              </w:rPr>
              <w:t>175</w:t>
            </w:r>
            <w:r w:rsidR="006D7143">
              <w:rPr>
                <w:webHidden/>
              </w:rPr>
              <w:fldChar w:fldCharType="end"/>
            </w:r>
          </w:hyperlink>
        </w:p>
        <w:p w14:paraId="09340F0F" w14:textId="57EF4043" w:rsidR="006D7143" w:rsidRDefault="00CC09A6">
          <w:pPr>
            <w:pStyle w:val="TOC3"/>
            <w:rPr>
              <w:rFonts w:asciiTheme="minorHAnsi" w:eastAsiaTheme="minorEastAsia" w:hAnsiTheme="minorHAnsi" w:cstheme="minorBidi"/>
              <w:sz w:val="22"/>
              <w:szCs w:val="22"/>
              <w:lang w:val="en-GB" w:eastAsia="en-GB" w:bidi="ar-SA"/>
            </w:rPr>
          </w:pPr>
          <w:hyperlink w:anchor="_Toc2860967" w:history="1">
            <w:r w:rsidR="006D7143" w:rsidRPr="006B072F">
              <w:rPr>
                <w:rStyle w:val="Hyperlink"/>
              </w:rPr>
              <w:t>5.4.3 Contributions exceptionnelles d’autres États membres</w:t>
            </w:r>
            <w:r w:rsidR="006D7143">
              <w:rPr>
                <w:webHidden/>
              </w:rPr>
              <w:tab/>
            </w:r>
            <w:r w:rsidR="006D7143">
              <w:rPr>
                <w:webHidden/>
              </w:rPr>
              <w:fldChar w:fldCharType="begin"/>
            </w:r>
            <w:r w:rsidR="006D7143">
              <w:rPr>
                <w:webHidden/>
              </w:rPr>
              <w:instrText xml:space="preserve"> PAGEREF _Toc2860967 \h </w:instrText>
            </w:r>
            <w:r w:rsidR="006D7143">
              <w:rPr>
                <w:webHidden/>
              </w:rPr>
            </w:r>
            <w:r w:rsidR="006D7143">
              <w:rPr>
                <w:webHidden/>
              </w:rPr>
              <w:fldChar w:fldCharType="separate"/>
            </w:r>
            <w:r>
              <w:rPr>
                <w:webHidden/>
              </w:rPr>
              <w:t>175</w:t>
            </w:r>
            <w:r w:rsidR="006D7143">
              <w:rPr>
                <w:webHidden/>
              </w:rPr>
              <w:fldChar w:fldCharType="end"/>
            </w:r>
          </w:hyperlink>
        </w:p>
        <w:p w14:paraId="2D326DDE" w14:textId="47107677" w:rsidR="006D7143" w:rsidRDefault="00CC09A6">
          <w:pPr>
            <w:pStyle w:val="TOC3"/>
            <w:rPr>
              <w:rFonts w:asciiTheme="minorHAnsi" w:eastAsiaTheme="minorEastAsia" w:hAnsiTheme="minorHAnsi" w:cstheme="minorBidi"/>
              <w:sz w:val="22"/>
              <w:szCs w:val="22"/>
              <w:lang w:val="en-GB" w:eastAsia="en-GB" w:bidi="ar-SA"/>
            </w:rPr>
          </w:pPr>
          <w:hyperlink w:anchor="_Toc2860968" w:history="1">
            <w:r w:rsidR="006D7143" w:rsidRPr="006B072F">
              <w:rPr>
                <w:rStyle w:val="Hyperlink"/>
              </w:rPr>
              <w:t>5.4.4 Gestion logistique et comptabilité</w:t>
            </w:r>
            <w:r w:rsidR="006D7143">
              <w:rPr>
                <w:webHidden/>
              </w:rPr>
              <w:tab/>
            </w:r>
            <w:r w:rsidR="006D7143">
              <w:rPr>
                <w:webHidden/>
              </w:rPr>
              <w:fldChar w:fldCharType="begin"/>
            </w:r>
            <w:r w:rsidR="006D7143">
              <w:rPr>
                <w:webHidden/>
              </w:rPr>
              <w:instrText xml:space="preserve"> PAGEREF _Toc2860968 \h </w:instrText>
            </w:r>
            <w:r w:rsidR="006D7143">
              <w:rPr>
                <w:webHidden/>
              </w:rPr>
            </w:r>
            <w:r w:rsidR="006D7143">
              <w:rPr>
                <w:webHidden/>
              </w:rPr>
              <w:fldChar w:fldCharType="separate"/>
            </w:r>
            <w:r>
              <w:rPr>
                <w:webHidden/>
              </w:rPr>
              <w:t>175</w:t>
            </w:r>
            <w:r w:rsidR="006D7143">
              <w:rPr>
                <w:webHidden/>
              </w:rPr>
              <w:fldChar w:fldCharType="end"/>
            </w:r>
          </w:hyperlink>
        </w:p>
        <w:p w14:paraId="02ADB911" w14:textId="02C91FBB" w:rsidR="006D7143" w:rsidRDefault="00CC09A6">
          <w:pPr>
            <w:pStyle w:val="TOC2"/>
            <w:rPr>
              <w:rFonts w:asciiTheme="minorHAnsi" w:eastAsiaTheme="minorEastAsia" w:hAnsiTheme="minorHAnsi" w:cstheme="minorBidi"/>
              <w:sz w:val="22"/>
              <w:szCs w:val="22"/>
              <w:lang w:val="en-GB" w:eastAsia="en-GB" w:bidi="ar-SA"/>
            </w:rPr>
          </w:pPr>
          <w:hyperlink w:anchor="_Toc2860969" w:history="1">
            <w:r w:rsidR="006D7143" w:rsidRPr="006B072F">
              <w:rPr>
                <w:rStyle w:val="Hyperlink"/>
              </w:rPr>
              <w:t>5.5 Exigences en matière de rapports</w:t>
            </w:r>
            <w:r w:rsidR="006D7143">
              <w:rPr>
                <w:webHidden/>
              </w:rPr>
              <w:tab/>
            </w:r>
            <w:r w:rsidR="006D7143">
              <w:rPr>
                <w:webHidden/>
              </w:rPr>
              <w:fldChar w:fldCharType="begin"/>
            </w:r>
            <w:r w:rsidR="006D7143">
              <w:rPr>
                <w:webHidden/>
              </w:rPr>
              <w:instrText xml:space="preserve"> PAGEREF _Toc2860969 \h </w:instrText>
            </w:r>
            <w:r w:rsidR="006D7143">
              <w:rPr>
                <w:webHidden/>
              </w:rPr>
            </w:r>
            <w:r w:rsidR="006D7143">
              <w:rPr>
                <w:webHidden/>
              </w:rPr>
              <w:fldChar w:fldCharType="separate"/>
            </w:r>
            <w:r>
              <w:rPr>
                <w:webHidden/>
              </w:rPr>
              <w:t>176</w:t>
            </w:r>
            <w:r w:rsidR="006D7143">
              <w:rPr>
                <w:webHidden/>
              </w:rPr>
              <w:fldChar w:fldCharType="end"/>
            </w:r>
          </w:hyperlink>
        </w:p>
        <w:p w14:paraId="5DA1655D" w14:textId="4E447B2F" w:rsidR="006D7143" w:rsidRDefault="00CC09A6">
          <w:pPr>
            <w:pStyle w:val="TOC3"/>
            <w:rPr>
              <w:rFonts w:asciiTheme="minorHAnsi" w:eastAsiaTheme="minorEastAsia" w:hAnsiTheme="minorHAnsi" w:cstheme="minorBidi"/>
              <w:sz w:val="22"/>
              <w:szCs w:val="22"/>
              <w:lang w:val="en-GB" w:eastAsia="en-GB" w:bidi="ar-SA"/>
            </w:rPr>
          </w:pPr>
          <w:hyperlink w:anchor="_Toc2860970" w:history="1">
            <w:r w:rsidR="006D7143" w:rsidRPr="006B072F">
              <w:rPr>
                <w:rStyle w:val="Hyperlink"/>
              </w:rPr>
              <w:t>5.5.1 Observations générales</w:t>
            </w:r>
            <w:r w:rsidR="006D7143">
              <w:rPr>
                <w:webHidden/>
              </w:rPr>
              <w:tab/>
            </w:r>
            <w:r w:rsidR="006D7143">
              <w:rPr>
                <w:webHidden/>
              </w:rPr>
              <w:fldChar w:fldCharType="begin"/>
            </w:r>
            <w:r w:rsidR="006D7143">
              <w:rPr>
                <w:webHidden/>
              </w:rPr>
              <w:instrText xml:space="preserve"> PAGEREF _Toc2860970 \h </w:instrText>
            </w:r>
            <w:r w:rsidR="006D7143">
              <w:rPr>
                <w:webHidden/>
              </w:rPr>
            </w:r>
            <w:r w:rsidR="006D7143">
              <w:rPr>
                <w:webHidden/>
              </w:rPr>
              <w:fldChar w:fldCharType="separate"/>
            </w:r>
            <w:r>
              <w:rPr>
                <w:webHidden/>
              </w:rPr>
              <w:t>176</w:t>
            </w:r>
            <w:r w:rsidR="006D7143">
              <w:rPr>
                <w:webHidden/>
              </w:rPr>
              <w:fldChar w:fldCharType="end"/>
            </w:r>
          </w:hyperlink>
        </w:p>
        <w:p w14:paraId="13BA96BA" w14:textId="2E95B582" w:rsidR="006D7143" w:rsidRDefault="00CC09A6">
          <w:pPr>
            <w:pStyle w:val="TOC3"/>
            <w:rPr>
              <w:rFonts w:asciiTheme="minorHAnsi" w:eastAsiaTheme="minorEastAsia" w:hAnsiTheme="minorHAnsi" w:cstheme="minorBidi"/>
              <w:sz w:val="22"/>
              <w:szCs w:val="22"/>
              <w:lang w:val="en-GB" w:eastAsia="en-GB" w:bidi="ar-SA"/>
            </w:rPr>
          </w:pPr>
          <w:hyperlink w:anchor="_Toc2860971" w:history="1">
            <w:r w:rsidR="006D7143" w:rsidRPr="006B072F">
              <w:rPr>
                <w:rStyle w:val="Hyperlink"/>
              </w:rPr>
              <w:t>5.5.2 Rapports intermédiaires trimestriels</w:t>
            </w:r>
            <w:r w:rsidR="006D7143">
              <w:rPr>
                <w:webHidden/>
              </w:rPr>
              <w:tab/>
            </w:r>
            <w:r w:rsidR="006D7143">
              <w:rPr>
                <w:webHidden/>
              </w:rPr>
              <w:fldChar w:fldCharType="begin"/>
            </w:r>
            <w:r w:rsidR="006D7143">
              <w:rPr>
                <w:webHidden/>
              </w:rPr>
              <w:instrText xml:space="preserve"> PAGEREF _Toc2860971 \h </w:instrText>
            </w:r>
            <w:r w:rsidR="006D7143">
              <w:rPr>
                <w:webHidden/>
              </w:rPr>
            </w:r>
            <w:r w:rsidR="006D7143">
              <w:rPr>
                <w:webHidden/>
              </w:rPr>
              <w:fldChar w:fldCharType="separate"/>
            </w:r>
            <w:r>
              <w:rPr>
                <w:webHidden/>
              </w:rPr>
              <w:t>177</w:t>
            </w:r>
            <w:r w:rsidR="006D7143">
              <w:rPr>
                <w:webHidden/>
              </w:rPr>
              <w:fldChar w:fldCharType="end"/>
            </w:r>
          </w:hyperlink>
        </w:p>
        <w:p w14:paraId="7835244D" w14:textId="632BCECD" w:rsidR="006D7143" w:rsidRDefault="00CC09A6">
          <w:pPr>
            <w:pStyle w:val="TOC3"/>
            <w:rPr>
              <w:rFonts w:asciiTheme="minorHAnsi" w:eastAsiaTheme="minorEastAsia" w:hAnsiTheme="minorHAnsi" w:cstheme="minorBidi"/>
              <w:sz w:val="22"/>
              <w:szCs w:val="22"/>
              <w:lang w:val="en-GB" w:eastAsia="en-GB" w:bidi="ar-SA"/>
            </w:rPr>
          </w:pPr>
          <w:hyperlink w:anchor="_Toc2860972" w:history="1">
            <w:r w:rsidR="006D7143" w:rsidRPr="006B072F">
              <w:rPr>
                <w:rStyle w:val="Hyperlink"/>
              </w:rPr>
              <w:t>5.5.3 Rapport final</w:t>
            </w:r>
            <w:r w:rsidR="006D7143">
              <w:rPr>
                <w:webHidden/>
              </w:rPr>
              <w:tab/>
            </w:r>
            <w:r w:rsidR="006D7143">
              <w:rPr>
                <w:webHidden/>
              </w:rPr>
              <w:fldChar w:fldCharType="begin"/>
            </w:r>
            <w:r w:rsidR="006D7143">
              <w:rPr>
                <w:webHidden/>
              </w:rPr>
              <w:instrText xml:space="preserve"> PAGEREF _Toc2860972 \h </w:instrText>
            </w:r>
            <w:r w:rsidR="006D7143">
              <w:rPr>
                <w:webHidden/>
              </w:rPr>
            </w:r>
            <w:r w:rsidR="006D7143">
              <w:rPr>
                <w:webHidden/>
              </w:rPr>
              <w:fldChar w:fldCharType="separate"/>
            </w:r>
            <w:r>
              <w:rPr>
                <w:webHidden/>
              </w:rPr>
              <w:t>179</w:t>
            </w:r>
            <w:r w:rsidR="006D7143">
              <w:rPr>
                <w:webHidden/>
              </w:rPr>
              <w:fldChar w:fldCharType="end"/>
            </w:r>
          </w:hyperlink>
        </w:p>
        <w:p w14:paraId="29BE89CC" w14:textId="59DF820A" w:rsidR="006D7143" w:rsidRDefault="00CC09A6">
          <w:pPr>
            <w:pStyle w:val="TOC3"/>
            <w:rPr>
              <w:rFonts w:asciiTheme="minorHAnsi" w:eastAsiaTheme="minorEastAsia" w:hAnsiTheme="minorHAnsi" w:cstheme="minorBidi"/>
              <w:sz w:val="22"/>
              <w:szCs w:val="22"/>
              <w:lang w:val="en-GB" w:eastAsia="en-GB" w:bidi="ar-SA"/>
            </w:rPr>
          </w:pPr>
          <w:hyperlink w:anchor="_Toc2860973" w:history="1">
            <w:r w:rsidR="006D7143" w:rsidRPr="006B072F">
              <w:rPr>
                <w:rStyle w:val="Hyperlink"/>
              </w:rPr>
              <w:t>5.5.4 Rapport de vérification des dépenses</w:t>
            </w:r>
            <w:r w:rsidR="006D7143">
              <w:rPr>
                <w:webHidden/>
              </w:rPr>
              <w:tab/>
            </w:r>
            <w:r w:rsidR="006D7143">
              <w:rPr>
                <w:webHidden/>
              </w:rPr>
              <w:fldChar w:fldCharType="begin"/>
            </w:r>
            <w:r w:rsidR="006D7143">
              <w:rPr>
                <w:webHidden/>
              </w:rPr>
              <w:instrText xml:space="preserve"> PAGEREF _Toc2860973 \h </w:instrText>
            </w:r>
            <w:r w:rsidR="006D7143">
              <w:rPr>
                <w:webHidden/>
              </w:rPr>
            </w:r>
            <w:r w:rsidR="006D7143">
              <w:rPr>
                <w:webHidden/>
              </w:rPr>
              <w:fldChar w:fldCharType="separate"/>
            </w:r>
            <w:r>
              <w:rPr>
                <w:webHidden/>
              </w:rPr>
              <w:t>180</w:t>
            </w:r>
            <w:r w:rsidR="006D7143">
              <w:rPr>
                <w:webHidden/>
              </w:rPr>
              <w:fldChar w:fldCharType="end"/>
            </w:r>
          </w:hyperlink>
        </w:p>
        <w:p w14:paraId="0DB91946" w14:textId="269CE59B" w:rsidR="006D7143" w:rsidRDefault="00CC09A6">
          <w:pPr>
            <w:pStyle w:val="TOC2"/>
            <w:rPr>
              <w:rFonts w:asciiTheme="minorHAnsi" w:eastAsiaTheme="minorEastAsia" w:hAnsiTheme="minorHAnsi" w:cstheme="minorBidi"/>
              <w:sz w:val="22"/>
              <w:szCs w:val="22"/>
              <w:lang w:val="en-GB" w:eastAsia="en-GB" w:bidi="ar-SA"/>
            </w:rPr>
          </w:pPr>
          <w:hyperlink w:anchor="_Toc2860974" w:history="1">
            <w:r w:rsidR="006D7143" w:rsidRPr="006B072F">
              <w:rPr>
                <w:rStyle w:val="Hyperlink"/>
              </w:rPr>
              <w:t>5.6 Suivi et évaluation</w:t>
            </w:r>
            <w:r w:rsidR="006D7143">
              <w:rPr>
                <w:webHidden/>
              </w:rPr>
              <w:tab/>
            </w:r>
            <w:r w:rsidR="006D7143">
              <w:rPr>
                <w:webHidden/>
              </w:rPr>
              <w:fldChar w:fldCharType="begin"/>
            </w:r>
            <w:r w:rsidR="006D7143">
              <w:rPr>
                <w:webHidden/>
              </w:rPr>
              <w:instrText xml:space="preserve"> PAGEREF _Toc2860974 \h </w:instrText>
            </w:r>
            <w:r w:rsidR="006D7143">
              <w:rPr>
                <w:webHidden/>
              </w:rPr>
            </w:r>
            <w:r w:rsidR="006D7143">
              <w:rPr>
                <w:webHidden/>
              </w:rPr>
              <w:fldChar w:fldCharType="separate"/>
            </w:r>
            <w:r>
              <w:rPr>
                <w:webHidden/>
              </w:rPr>
              <w:t>181</w:t>
            </w:r>
            <w:r w:rsidR="006D7143">
              <w:rPr>
                <w:webHidden/>
              </w:rPr>
              <w:fldChar w:fldCharType="end"/>
            </w:r>
          </w:hyperlink>
        </w:p>
        <w:p w14:paraId="110B54D2" w14:textId="53161819" w:rsidR="006D7143" w:rsidRDefault="00CC09A6">
          <w:pPr>
            <w:pStyle w:val="TOC2"/>
            <w:rPr>
              <w:rFonts w:asciiTheme="minorHAnsi" w:eastAsiaTheme="minorEastAsia" w:hAnsiTheme="minorHAnsi" w:cstheme="minorBidi"/>
              <w:sz w:val="22"/>
              <w:szCs w:val="22"/>
              <w:lang w:val="en-GB" w:eastAsia="en-GB" w:bidi="ar-SA"/>
            </w:rPr>
          </w:pPr>
          <w:hyperlink w:anchor="_Toc2860975" w:history="1">
            <w:r w:rsidR="006D7143" w:rsidRPr="006B072F">
              <w:rPr>
                <w:rStyle w:val="Hyperlink"/>
              </w:rPr>
              <w:t>5.7 Visibilité et communication du projet de jumelage</w:t>
            </w:r>
            <w:r w:rsidR="006D7143">
              <w:rPr>
                <w:webHidden/>
              </w:rPr>
              <w:tab/>
            </w:r>
            <w:r w:rsidR="006D7143">
              <w:rPr>
                <w:webHidden/>
              </w:rPr>
              <w:fldChar w:fldCharType="begin"/>
            </w:r>
            <w:r w:rsidR="006D7143">
              <w:rPr>
                <w:webHidden/>
              </w:rPr>
              <w:instrText xml:space="preserve"> PAGEREF _Toc2860975 \h </w:instrText>
            </w:r>
            <w:r w:rsidR="006D7143">
              <w:rPr>
                <w:webHidden/>
              </w:rPr>
            </w:r>
            <w:r w:rsidR="006D7143">
              <w:rPr>
                <w:webHidden/>
              </w:rPr>
              <w:fldChar w:fldCharType="separate"/>
            </w:r>
            <w:r>
              <w:rPr>
                <w:webHidden/>
              </w:rPr>
              <w:t>181</w:t>
            </w:r>
            <w:r w:rsidR="006D7143">
              <w:rPr>
                <w:webHidden/>
              </w:rPr>
              <w:fldChar w:fldCharType="end"/>
            </w:r>
          </w:hyperlink>
        </w:p>
        <w:p w14:paraId="7AC1AD37" w14:textId="5AD83F68" w:rsidR="006D7143" w:rsidRDefault="00CC09A6">
          <w:pPr>
            <w:pStyle w:val="TOC2"/>
            <w:rPr>
              <w:rFonts w:asciiTheme="minorHAnsi" w:eastAsiaTheme="minorEastAsia" w:hAnsiTheme="minorHAnsi" w:cstheme="minorBidi"/>
              <w:sz w:val="22"/>
              <w:szCs w:val="22"/>
              <w:lang w:val="en-GB" w:eastAsia="en-GB" w:bidi="ar-SA"/>
            </w:rPr>
          </w:pPr>
          <w:hyperlink w:anchor="_Toc2860976" w:history="1">
            <w:r w:rsidR="006D7143" w:rsidRPr="006B072F">
              <w:rPr>
                <w:rStyle w:val="Hyperlink"/>
              </w:rPr>
              <w:t>5.8 Résolution des problèmes</w:t>
            </w:r>
            <w:r w:rsidR="006D7143">
              <w:rPr>
                <w:webHidden/>
              </w:rPr>
              <w:tab/>
            </w:r>
            <w:r w:rsidR="006D7143">
              <w:rPr>
                <w:webHidden/>
              </w:rPr>
              <w:fldChar w:fldCharType="begin"/>
            </w:r>
            <w:r w:rsidR="006D7143">
              <w:rPr>
                <w:webHidden/>
              </w:rPr>
              <w:instrText xml:space="preserve"> PAGEREF _Toc2860976 \h </w:instrText>
            </w:r>
            <w:r w:rsidR="006D7143">
              <w:rPr>
                <w:webHidden/>
              </w:rPr>
            </w:r>
            <w:r w:rsidR="006D7143">
              <w:rPr>
                <w:webHidden/>
              </w:rPr>
              <w:fldChar w:fldCharType="separate"/>
            </w:r>
            <w:r>
              <w:rPr>
                <w:webHidden/>
              </w:rPr>
              <w:t>182</w:t>
            </w:r>
            <w:r w:rsidR="006D7143">
              <w:rPr>
                <w:webHidden/>
              </w:rPr>
              <w:fldChar w:fldCharType="end"/>
            </w:r>
          </w:hyperlink>
        </w:p>
        <w:p w14:paraId="731F0845" w14:textId="282E3036" w:rsidR="006D7143" w:rsidRDefault="00CC09A6">
          <w:pPr>
            <w:pStyle w:val="TOC2"/>
            <w:rPr>
              <w:rFonts w:asciiTheme="minorHAnsi" w:eastAsiaTheme="minorEastAsia" w:hAnsiTheme="minorHAnsi" w:cstheme="minorBidi"/>
              <w:sz w:val="22"/>
              <w:szCs w:val="22"/>
              <w:lang w:val="en-GB" w:eastAsia="en-GB" w:bidi="ar-SA"/>
            </w:rPr>
          </w:pPr>
          <w:hyperlink w:anchor="_Toc2860977" w:history="1">
            <w:r w:rsidR="006D7143" w:rsidRPr="006B072F">
              <w:rPr>
                <w:rStyle w:val="Hyperlink"/>
              </w:rPr>
              <w:t>5.9 Modification du contrat de subvention de jumelage et du plan de travail</w:t>
            </w:r>
            <w:r w:rsidR="006D7143">
              <w:rPr>
                <w:webHidden/>
              </w:rPr>
              <w:tab/>
            </w:r>
            <w:r w:rsidR="006D7143">
              <w:rPr>
                <w:webHidden/>
              </w:rPr>
              <w:fldChar w:fldCharType="begin"/>
            </w:r>
            <w:r w:rsidR="006D7143">
              <w:rPr>
                <w:webHidden/>
              </w:rPr>
              <w:instrText xml:space="preserve"> PAGEREF _Toc2860977 \h </w:instrText>
            </w:r>
            <w:r w:rsidR="006D7143">
              <w:rPr>
                <w:webHidden/>
              </w:rPr>
            </w:r>
            <w:r w:rsidR="006D7143">
              <w:rPr>
                <w:webHidden/>
              </w:rPr>
              <w:fldChar w:fldCharType="separate"/>
            </w:r>
            <w:r>
              <w:rPr>
                <w:webHidden/>
              </w:rPr>
              <w:t>182</w:t>
            </w:r>
            <w:r w:rsidR="006D7143">
              <w:rPr>
                <w:webHidden/>
              </w:rPr>
              <w:fldChar w:fldCharType="end"/>
            </w:r>
          </w:hyperlink>
        </w:p>
        <w:p w14:paraId="088D317C" w14:textId="01172F7E" w:rsidR="006D7143" w:rsidRDefault="00CC09A6">
          <w:pPr>
            <w:pStyle w:val="TOC3"/>
            <w:rPr>
              <w:rFonts w:asciiTheme="minorHAnsi" w:eastAsiaTheme="minorEastAsia" w:hAnsiTheme="minorHAnsi" w:cstheme="minorBidi"/>
              <w:sz w:val="22"/>
              <w:szCs w:val="22"/>
              <w:lang w:val="en-GB" w:eastAsia="en-GB" w:bidi="ar-SA"/>
            </w:rPr>
          </w:pPr>
          <w:hyperlink w:anchor="_Toc2860978" w:history="1">
            <w:r w:rsidR="006D7143" w:rsidRPr="006B072F">
              <w:rPr>
                <w:rStyle w:val="Hyperlink"/>
              </w:rPr>
              <w:t>5.9.1 Observations générales</w:t>
            </w:r>
            <w:r w:rsidR="006D7143">
              <w:rPr>
                <w:webHidden/>
              </w:rPr>
              <w:tab/>
            </w:r>
            <w:r w:rsidR="006D7143">
              <w:rPr>
                <w:webHidden/>
              </w:rPr>
              <w:fldChar w:fldCharType="begin"/>
            </w:r>
            <w:r w:rsidR="006D7143">
              <w:rPr>
                <w:webHidden/>
              </w:rPr>
              <w:instrText xml:space="preserve"> PAGEREF _Toc2860978 \h </w:instrText>
            </w:r>
            <w:r w:rsidR="006D7143">
              <w:rPr>
                <w:webHidden/>
              </w:rPr>
            </w:r>
            <w:r w:rsidR="006D7143">
              <w:rPr>
                <w:webHidden/>
              </w:rPr>
              <w:fldChar w:fldCharType="separate"/>
            </w:r>
            <w:r>
              <w:rPr>
                <w:webHidden/>
              </w:rPr>
              <w:t>182</w:t>
            </w:r>
            <w:r w:rsidR="006D7143">
              <w:rPr>
                <w:webHidden/>
              </w:rPr>
              <w:fldChar w:fldCharType="end"/>
            </w:r>
          </w:hyperlink>
        </w:p>
        <w:p w14:paraId="2BB0239C" w14:textId="30A2A4C5" w:rsidR="006D7143" w:rsidRDefault="00CC09A6">
          <w:pPr>
            <w:pStyle w:val="TOC3"/>
            <w:rPr>
              <w:rFonts w:asciiTheme="minorHAnsi" w:eastAsiaTheme="minorEastAsia" w:hAnsiTheme="minorHAnsi" w:cstheme="minorBidi"/>
              <w:sz w:val="22"/>
              <w:szCs w:val="22"/>
              <w:lang w:val="en-GB" w:eastAsia="en-GB" w:bidi="ar-SA"/>
            </w:rPr>
          </w:pPr>
          <w:hyperlink w:anchor="_Toc2860979" w:history="1">
            <w:r w:rsidR="006D7143" w:rsidRPr="006B072F">
              <w:rPr>
                <w:rStyle w:val="Hyperlink"/>
              </w:rPr>
              <w:t>5.9.2 Modification du contrat de subvention de jumelage</w:t>
            </w:r>
            <w:r w:rsidR="006D7143">
              <w:rPr>
                <w:webHidden/>
              </w:rPr>
              <w:tab/>
            </w:r>
            <w:r w:rsidR="006D7143">
              <w:rPr>
                <w:webHidden/>
              </w:rPr>
              <w:fldChar w:fldCharType="begin"/>
            </w:r>
            <w:r w:rsidR="006D7143">
              <w:rPr>
                <w:webHidden/>
              </w:rPr>
              <w:instrText xml:space="preserve"> PAGEREF _Toc2860979 \h </w:instrText>
            </w:r>
            <w:r w:rsidR="006D7143">
              <w:rPr>
                <w:webHidden/>
              </w:rPr>
            </w:r>
            <w:r w:rsidR="006D7143">
              <w:rPr>
                <w:webHidden/>
              </w:rPr>
              <w:fldChar w:fldCharType="separate"/>
            </w:r>
            <w:r>
              <w:rPr>
                <w:webHidden/>
              </w:rPr>
              <w:t>183</w:t>
            </w:r>
            <w:r w:rsidR="006D7143">
              <w:rPr>
                <w:webHidden/>
              </w:rPr>
              <w:fldChar w:fldCharType="end"/>
            </w:r>
          </w:hyperlink>
        </w:p>
        <w:p w14:paraId="1F52EF0A" w14:textId="5DBBA3FE" w:rsidR="006D7143" w:rsidRDefault="00CC09A6">
          <w:pPr>
            <w:pStyle w:val="TOC3"/>
            <w:rPr>
              <w:rFonts w:asciiTheme="minorHAnsi" w:eastAsiaTheme="minorEastAsia" w:hAnsiTheme="minorHAnsi" w:cstheme="minorBidi"/>
              <w:sz w:val="22"/>
              <w:szCs w:val="22"/>
              <w:lang w:val="en-GB" w:eastAsia="en-GB" w:bidi="ar-SA"/>
            </w:rPr>
          </w:pPr>
          <w:hyperlink w:anchor="_Toc2860980" w:history="1">
            <w:r w:rsidR="006D7143" w:rsidRPr="006B072F">
              <w:rPr>
                <w:rStyle w:val="Hyperlink"/>
              </w:rPr>
              <w:t>5.9.3 Modification du plan de travail</w:t>
            </w:r>
            <w:r w:rsidR="006D7143">
              <w:rPr>
                <w:webHidden/>
              </w:rPr>
              <w:tab/>
            </w:r>
            <w:r w:rsidR="006D7143">
              <w:rPr>
                <w:webHidden/>
              </w:rPr>
              <w:fldChar w:fldCharType="begin"/>
            </w:r>
            <w:r w:rsidR="006D7143">
              <w:rPr>
                <w:webHidden/>
              </w:rPr>
              <w:instrText xml:space="preserve"> PAGEREF _Toc2860980 \h </w:instrText>
            </w:r>
            <w:r w:rsidR="006D7143">
              <w:rPr>
                <w:webHidden/>
              </w:rPr>
            </w:r>
            <w:r w:rsidR="006D7143">
              <w:rPr>
                <w:webHidden/>
              </w:rPr>
              <w:fldChar w:fldCharType="separate"/>
            </w:r>
            <w:r>
              <w:rPr>
                <w:webHidden/>
              </w:rPr>
              <w:t>183</w:t>
            </w:r>
            <w:r w:rsidR="006D7143">
              <w:rPr>
                <w:webHidden/>
              </w:rPr>
              <w:fldChar w:fldCharType="end"/>
            </w:r>
          </w:hyperlink>
        </w:p>
        <w:p w14:paraId="4BA92487" w14:textId="4A9C88B0" w:rsidR="006D7143" w:rsidRDefault="00CC09A6">
          <w:pPr>
            <w:pStyle w:val="TOC2"/>
            <w:rPr>
              <w:rFonts w:asciiTheme="minorHAnsi" w:eastAsiaTheme="minorEastAsia" w:hAnsiTheme="minorHAnsi" w:cstheme="minorBidi"/>
              <w:sz w:val="22"/>
              <w:szCs w:val="22"/>
              <w:lang w:val="en-GB" w:eastAsia="en-GB" w:bidi="ar-SA"/>
            </w:rPr>
          </w:pPr>
          <w:hyperlink w:anchor="_Toc2860981" w:history="1">
            <w:r w:rsidR="006D7143" w:rsidRPr="006B072F">
              <w:rPr>
                <w:rStyle w:val="Hyperlink"/>
              </w:rPr>
              <w:t>5.10 Suspension et résiliation</w:t>
            </w:r>
            <w:r w:rsidR="006D7143">
              <w:rPr>
                <w:webHidden/>
              </w:rPr>
              <w:tab/>
            </w:r>
            <w:r w:rsidR="006D7143">
              <w:rPr>
                <w:webHidden/>
              </w:rPr>
              <w:fldChar w:fldCharType="begin"/>
            </w:r>
            <w:r w:rsidR="006D7143">
              <w:rPr>
                <w:webHidden/>
              </w:rPr>
              <w:instrText xml:space="preserve"> PAGEREF _Toc2860981 \h </w:instrText>
            </w:r>
            <w:r w:rsidR="006D7143">
              <w:rPr>
                <w:webHidden/>
              </w:rPr>
            </w:r>
            <w:r w:rsidR="006D7143">
              <w:rPr>
                <w:webHidden/>
              </w:rPr>
              <w:fldChar w:fldCharType="separate"/>
            </w:r>
            <w:r>
              <w:rPr>
                <w:webHidden/>
              </w:rPr>
              <w:t>184</w:t>
            </w:r>
            <w:r w:rsidR="006D7143">
              <w:rPr>
                <w:webHidden/>
              </w:rPr>
              <w:fldChar w:fldCharType="end"/>
            </w:r>
          </w:hyperlink>
        </w:p>
        <w:p w14:paraId="32EB3D57" w14:textId="66189005" w:rsidR="006D7143" w:rsidRDefault="00CC09A6">
          <w:pPr>
            <w:pStyle w:val="TOC3"/>
            <w:rPr>
              <w:rFonts w:asciiTheme="minorHAnsi" w:eastAsiaTheme="minorEastAsia" w:hAnsiTheme="minorHAnsi" w:cstheme="minorBidi"/>
              <w:sz w:val="22"/>
              <w:szCs w:val="22"/>
              <w:lang w:val="en-GB" w:eastAsia="en-GB" w:bidi="ar-SA"/>
            </w:rPr>
          </w:pPr>
          <w:hyperlink w:anchor="_Toc2860982" w:history="1">
            <w:r w:rsidR="006D7143" w:rsidRPr="006B072F">
              <w:rPr>
                <w:rStyle w:val="Hyperlink"/>
              </w:rPr>
              <w:t>5.10.1 Suspension de la mise en œuvre du projet de jumelage</w:t>
            </w:r>
            <w:r w:rsidR="006D7143">
              <w:rPr>
                <w:webHidden/>
              </w:rPr>
              <w:tab/>
            </w:r>
            <w:r w:rsidR="006D7143">
              <w:rPr>
                <w:webHidden/>
              </w:rPr>
              <w:fldChar w:fldCharType="begin"/>
            </w:r>
            <w:r w:rsidR="006D7143">
              <w:rPr>
                <w:webHidden/>
              </w:rPr>
              <w:instrText xml:space="preserve"> PAGEREF _Toc2860982 \h </w:instrText>
            </w:r>
            <w:r w:rsidR="006D7143">
              <w:rPr>
                <w:webHidden/>
              </w:rPr>
            </w:r>
            <w:r w:rsidR="006D7143">
              <w:rPr>
                <w:webHidden/>
              </w:rPr>
              <w:fldChar w:fldCharType="separate"/>
            </w:r>
            <w:r>
              <w:rPr>
                <w:webHidden/>
              </w:rPr>
              <w:t>184</w:t>
            </w:r>
            <w:r w:rsidR="006D7143">
              <w:rPr>
                <w:webHidden/>
              </w:rPr>
              <w:fldChar w:fldCharType="end"/>
            </w:r>
          </w:hyperlink>
        </w:p>
        <w:p w14:paraId="059CF479" w14:textId="339E7314" w:rsidR="006D7143" w:rsidRDefault="00CC09A6">
          <w:pPr>
            <w:pStyle w:val="TOC3"/>
            <w:rPr>
              <w:rFonts w:asciiTheme="minorHAnsi" w:eastAsiaTheme="minorEastAsia" w:hAnsiTheme="minorHAnsi" w:cstheme="minorBidi"/>
              <w:sz w:val="22"/>
              <w:szCs w:val="22"/>
              <w:lang w:val="en-GB" w:eastAsia="en-GB" w:bidi="ar-SA"/>
            </w:rPr>
          </w:pPr>
          <w:hyperlink w:anchor="_Toc2860983" w:history="1">
            <w:r w:rsidR="006D7143" w:rsidRPr="006B072F">
              <w:rPr>
                <w:rStyle w:val="Hyperlink"/>
              </w:rPr>
              <w:t>5.10.2 Résiliation du contrat de subvention de jumelage</w:t>
            </w:r>
            <w:r w:rsidR="006D7143">
              <w:rPr>
                <w:webHidden/>
              </w:rPr>
              <w:tab/>
            </w:r>
            <w:r w:rsidR="006D7143">
              <w:rPr>
                <w:webHidden/>
              </w:rPr>
              <w:fldChar w:fldCharType="begin"/>
            </w:r>
            <w:r w:rsidR="006D7143">
              <w:rPr>
                <w:webHidden/>
              </w:rPr>
              <w:instrText xml:space="preserve"> PAGEREF _Toc2860983 \h </w:instrText>
            </w:r>
            <w:r w:rsidR="006D7143">
              <w:rPr>
                <w:webHidden/>
              </w:rPr>
            </w:r>
            <w:r w:rsidR="006D7143">
              <w:rPr>
                <w:webHidden/>
              </w:rPr>
              <w:fldChar w:fldCharType="separate"/>
            </w:r>
            <w:r>
              <w:rPr>
                <w:webHidden/>
              </w:rPr>
              <w:t>184</w:t>
            </w:r>
            <w:r w:rsidR="006D7143">
              <w:rPr>
                <w:webHidden/>
              </w:rPr>
              <w:fldChar w:fldCharType="end"/>
            </w:r>
          </w:hyperlink>
        </w:p>
        <w:p w14:paraId="715B6C78" w14:textId="1707D820" w:rsidR="006D7143" w:rsidRDefault="00CC09A6">
          <w:pPr>
            <w:pStyle w:val="TOC2"/>
            <w:rPr>
              <w:rFonts w:asciiTheme="minorHAnsi" w:eastAsiaTheme="minorEastAsia" w:hAnsiTheme="minorHAnsi" w:cstheme="minorBidi"/>
              <w:sz w:val="22"/>
              <w:szCs w:val="22"/>
              <w:lang w:val="en-GB" w:eastAsia="en-GB" w:bidi="ar-SA"/>
            </w:rPr>
          </w:pPr>
          <w:hyperlink w:anchor="_Toc2860984" w:history="1">
            <w:r w:rsidR="006D7143" w:rsidRPr="006B072F">
              <w:rPr>
                <w:rStyle w:val="Hyperlink"/>
              </w:rPr>
              <w:t>5.11 Durabilité et missions d’évaluation du jumelage</w:t>
            </w:r>
            <w:r w:rsidR="006D7143">
              <w:rPr>
                <w:webHidden/>
              </w:rPr>
              <w:tab/>
            </w:r>
            <w:r w:rsidR="006D7143">
              <w:rPr>
                <w:webHidden/>
              </w:rPr>
              <w:fldChar w:fldCharType="begin"/>
            </w:r>
            <w:r w:rsidR="006D7143">
              <w:rPr>
                <w:webHidden/>
              </w:rPr>
              <w:instrText xml:space="preserve"> PAGEREF _Toc2860984 \h </w:instrText>
            </w:r>
            <w:r w:rsidR="006D7143">
              <w:rPr>
                <w:webHidden/>
              </w:rPr>
            </w:r>
            <w:r w:rsidR="006D7143">
              <w:rPr>
                <w:webHidden/>
              </w:rPr>
              <w:fldChar w:fldCharType="separate"/>
            </w:r>
            <w:r>
              <w:rPr>
                <w:webHidden/>
              </w:rPr>
              <w:t>185</w:t>
            </w:r>
            <w:r w:rsidR="006D7143">
              <w:rPr>
                <w:webHidden/>
              </w:rPr>
              <w:fldChar w:fldCharType="end"/>
            </w:r>
          </w:hyperlink>
        </w:p>
        <w:p w14:paraId="5B5D1F5E" w14:textId="1192EA5C" w:rsidR="006D7143" w:rsidRDefault="00CC09A6">
          <w:pPr>
            <w:pStyle w:val="TOC3"/>
            <w:rPr>
              <w:rFonts w:asciiTheme="minorHAnsi" w:eastAsiaTheme="minorEastAsia" w:hAnsiTheme="minorHAnsi" w:cstheme="minorBidi"/>
              <w:sz w:val="22"/>
              <w:szCs w:val="22"/>
              <w:lang w:val="en-GB" w:eastAsia="en-GB" w:bidi="ar-SA"/>
            </w:rPr>
          </w:pPr>
          <w:hyperlink w:anchor="_Toc2860985" w:history="1">
            <w:r w:rsidR="006D7143" w:rsidRPr="006B072F">
              <w:rPr>
                <w:rStyle w:val="Hyperlink"/>
              </w:rPr>
              <w:t>5.11.1 Durabilité</w:t>
            </w:r>
            <w:r w:rsidR="006D7143">
              <w:rPr>
                <w:webHidden/>
              </w:rPr>
              <w:tab/>
            </w:r>
            <w:r w:rsidR="006D7143">
              <w:rPr>
                <w:webHidden/>
              </w:rPr>
              <w:fldChar w:fldCharType="begin"/>
            </w:r>
            <w:r w:rsidR="006D7143">
              <w:rPr>
                <w:webHidden/>
              </w:rPr>
              <w:instrText xml:space="preserve"> PAGEREF _Toc2860985 \h </w:instrText>
            </w:r>
            <w:r w:rsidR="006D7143">
              <w:rPr>
                <w:webHidden/>
              </w:rPr>
            </w:r>
            <w:r w:rsidR="006D7143">
              <w:rPr>
                <w:webHidden/>
              </w:rPr>
              <w:fldChar w:fldCharType="separate"/>
            </w:r>
            <w:r>
              <w:rPr>
                <w:webHidden/>
              </w:rPr>
              <w:t>185</w:t>
            </w:r>
            <w:r w:rsidR="006D7143">
              <w:rPr>
                <w:webHidden/>
              </w:rPr>
              <w:fldChar w:fldCharType="end"/>
            </w:r>
          </w:hyperlink>
        </w:p>
        <w:p w14:paraId="1E894905" w14:textId="3E712B46" w:rsidR="006D7143" w:rsidRDefault="00CC09A6">
          <w:pPr>
            <w:pStyle w:val="TOC3"/>
            <w:rPr>
              <w:rFonts w:asciiTheme="minorHAnsi" w:eastAsiaTheme="minorEastAsia" w:hAnsiTheme="minorHAnsi" w:cstheme="minorBidi"/>
              <w:sz w:val="22"/>
              <w:szCs w:val="22"/>
              <w:lang w:val="en-GB" w:eastAsia="en-GB" w:bidi="ar-SA"/>
            </w:rPr>
          </w:pPr>
          <w:hyperlink w:anchor="_Toc2860986" w:history="1">
            <w:r w:rsidR="006D7143" w:rsidRPr="006B072F">
              <w:rPr>
                <w:rStyle w:val="Hyperlink"/>
              </w:rPr>
              <w:t>5.11.2 Missions d’évaluation du jumelage</w:t>
            </w:r>
            <w:r w:rsidR="006D7143">
              <w:rPr>
                <w:webHidden/>
              </w:rPr>
              <w:tab/>
            </w:r>
            <w:r w:rsidR="006D7143">
              <w:rPr>
                <w:webHidden/>
              </w:rPr>
              <w:fldChar w:fldCharType="begin"/>
            </w:r>
            <w:r w:rsidR="006D7143">
              <w:rPr>
                <w:webHidden/>
              </w:rPr>
              <w:instrText xml:space="preserve"> PAGEREF _Toc2860986 \h </w:instrText>
            </w:r>
            <w:r w:rsidR="006D7143">
              <w:rPr>
                <w:webHidden/>
              </w:rPr>
            </w:r>
            <w:r w:rsidR="006D7143">
              <w:rPr>
                <w:webHidden/>
              </w:rPr>
              <w:fldChar w:fldCharType="separate"/>
            </w:r>
            <w:r>
              <w:rPr>
                <w:webHidden/>
              </w:rPr>
              <w:t>186</w:t>
            </w:r>
            <w:r w:rsidR="006D7143">
              <w:rPr>
                <w:webHidden/>
              </w:rPr>
              <w:fldChar w:fldCharType="end"/>
            </w:r>
          </w:hyperlink>
        </w:p>
        <w:p w14:paraId="13C2FF90" w14:textId="12CD7E77" w:rsidR="006D7143" w:rsidRDefault="00CC09A6">
          <w:pPr>
            <w:pStyle w:val="TOC2"/>
            <w:rPr>
              <w:rFonts w:asciiTheme="minorHAnsi" w:eastAsiaTheme="minorEastAsia" w:hAnsiTheme="minorHAnsi" w:cstheme="minorBidi"/>
              <w:sz w:val="22"/>
              <w:szCs w:val="22"/>
              <w:lang w:val="en-GB" w:eastAsia="en-GB" w:bidi="ar-SA"/>
            </w:rPr>
          </w:pPr>
          <w:hyperlink w:anchor="_Toc2860987" w:history="1">
            <w:r w:rsidR="006D7143" w:rsidRPr="006B072F">
              <w:rPr>
                <w:rStyle w:val="Hyperlink"/>
              </w:rPr>
              <w:t>5.12 Protection des données et déclaration de confidentialité</w:t>
            </w:r>
            <w:r w:rsidR="006D7143">
              <w:rPr>
                <w:webHidden/>
              </w:rPr>
              <w:tab/>
            </w:r>
            <w:r w:rsidR="006D7143">
              <w:rPr>
                <w:webHidden/>
              </w:rPr>
              <w:fldChar w:fldCharType="begin"/>
            </w:r>
            <w:r w:rsidR="006D7143">
              <w:rPr>
                <w:webHidden/>
              </w:rPr>
              <w:instrText xml:space="preserve"> PAGEREF _Toc2860987 \h </w:instrText>
            </w:r>
            <w:r w:rsidR="006D7143">
              <w:rPr>
                <w:webHidden/>
              </w:rPr>
            </w:r>
            <w:r w:rsidR="006D7143">
              <w:rPr>
                <w:webHidden/>
              </w:rPr>
              <w:fldChar w:fldCharType="separate"/>
            </w:r>
            <w:r>
              <w:rPr>
                <w:webHidden/>
              </w:rPr>
              <w:t>188</w:t>
            </w:r>
            <w:r w:rsidR="006D7143">
              <w:rPr>
                <w:webHidden/>
              </w:rPr>
              <w:fldChar w:fldCharType="end"/>
            </w:r>
          </w:hyperlink>
        </w:p>
        <w:p w14:paraId="3AD2FA60" w14:textId="7973FFEC" w:rsidR="006D7143" w:rsidRDefault="00CC09A6">
          <w:pPr>
            <w:pStyle w:val="TOC1"/>
            <w:rPr>
              <w:rFonts w:asciiTheme="minorHAnsi" w:eastAsiaTheme="minorEastAsia" w:hAnsiTheme="minorHAnsi" w:cstheme="minorBidi"/>
              <w:b w:val="0"/>
              <w:bCs w:val="0"/>
              <w:caps w:val="0"/>
              <w:sz w:val="22"/>
              <w:szCs w:val="22"/>
              <w:lang w:val="en-GB" w:eastAsia="en-GB" w:bidi="ar-SA"/>
            </w:rPr>
          </w:pPr>
          <w:hyperlink w:anchor="_Toc2860988" w:history="1">
            <w:r w:rsidR="006D7143" w:rsidRPr="006B072F">
              <w:rPr>
                <w:rStyle w:val="Hyperlink"/>
              </w:rPr>
              <w:t>Section 6: le budget du projet de jumelage</w:t>
            </w:r>
            <w:r w:rsidR="006D7143">
              <w:rPr>
                <w:webHidden/>
              </w:rPr>
              <w:tab/>
            </w:r>
            <w:r w:rsidR="006D7143">
              <w:rPr>
                <w:webHidden/>
              </w:rPr>
              <w:fldChar w:fldCharType="begin"/>
            </w:r>
            <w:r w:rsidR="006D7143">
              <w:rPr>
                <w:webHidden/>
              </w:rPr>
              <w:instrText xml:space="preserve"> PAGEREF _Toc2860988 \h </w:instrText>
            </w:r>
            <w:r w:rsidR="006D7143">
              <w:rPr>
                <w:webHidden/>
              </w:rPr>
            </w:r>
            <w:r w:rsidR="006D7143">
              <w:rPr>
                <w:webHidden/>
              </w:rPr>
              <w:fldChar w:fldCharType="separate"/>
            </w:r>
            <w:r>
              <w:rPr>
                <w:webHidden/>
              </w:rPr>
              <w:t>189</w:t>
            </w:r>
            <w:r w:rsidR="006D7143">
              <w:rPr>
                <w:webHidden/>
              </w:rPr>
              <w:fldChar w:fldCharType="end"/>
            </w:r>
          </w:hyperlink>
        </w:p>
        <w:p w14:paraId="4ADBFE28" w14:textId="688258F8" w:rsidR="006D7143" w:rsidRDefault="00CC09A6">
          <w:pPr>
            <w:pStyle w:val="TOC2"/>
            <w:rPr>
              <w:rFonts w:asciiTheme="minorHAnsi" w:eastAsiaTheme="minorEastAsia" w:hAnsiTheme="minorHAnsi" w:cstheme="minorBidi"/>
              <w:sz w:val="22"/>
              <w:szCs w:val="22"/>
              <w:lang w:val="en-GB" w:eastAsia="en-GB" w:bidi="ar-SA"/>
            </w:rPr>
          </w:pPr>
          <w:hyperlink w:anchor="_Toc2860989" w:history="1">
            <w:r w:rsidR="006D7143" w:rsidRPr="006B072F">
              <w:rPr>
                <w:rStyle w:val="Hyperlink"/>
              </w:rPr>
              <w:t>6.1 Le budget du projet de jumelage</w:t>
            </w:r>
            <w:r w:rsidR="006D7143">
              <w:rPr>
                <w:webHidden/>
              </w:rPr>
              <w:tab/>
            </w:r>
            <w:r w:rsidR="006D7143">
              <w:rPr>
                <w:webHidden/>
              </w:rPr>
              <w:fldChar w:fldCharType="begin"/>
            </w:r>
            <w:r w:rsidR="006D7143">
              <w:rPr>
                <w:webHidden/>
              </w:rPr>
              <w:instrText xml:space="preserve"> PAGEREF _Toc2860989 \h </w:instrText>
            </w:r>
            <w:r w:rsidR="006D7143">
              <w:rPr>
                <w:webHidden/>
              </w:rPr>
            </w:r>
            <w:r w:rsidR="006D7143">
              <w:rPr>
                <w:webHidden/>
              </w:rPr>
              <w:fldChar w:fldCharType="separate"/>
            </w:r>
            <w:r>
              <w:rPr>
                <w:webHidden/>
              </w:rPr>
              <w:t>189</w:t>
            </w:r>
            <w:r w:rsidR="006D7143">
              <w:rPr>
                <w:webHidden/>
              </w:rPr>
              <w:fldChar w:fldCharType="end"/>
            </w:r>
          </w:hyperlink>
        </w:p>
        <w:p w14:paraId="74B210BB" w14:textId="5CF130E8" w:rsidR="006D7143" w:rsidRDefault="00CC09A6">
          <w:pPr>
            <w:pStyle w:val="TOC3"/>
            <w:rPr>
              <w:rFonts w:asciiTheme="minorHAnsi" w:eastAsiaTheme="minorEastAsia" w:hAnsiTheme="minorHAnsi" w:cstheme="minorBidi"/>
              <w:sz w:val="22"/>
              <w:szCs w:val="22"/>
              <w:lang w:val="en-GB" w:eastAsia="en-GB" w:bidi="ar-SA"/>
            </w:rPr>
          </w:pPr>
          <w:hyperlink w:anchor="_Toc2860990" w:history="1">
            <w:r w:rsidR="006D7143" w:rsidRPr="006B072F">
              <w:rPr>
                <w:rStyle w:val="Hyperlink"/>
              </w:rPr>
              <w:t>6.1.1 Observations générales</w:t>
            </w:r>
            <w:r w:rsidR="006D7143">
              <w:rPr>
                <w:webHidden/>
              </w:rPr>
              <w:tab/>
            </w:r>
            <w:r w:rsidR="006D7143">
              <w:rPr>
                <w:webHidden/>
              </w:rPr>
              <w:fldChar w:fldCharType="begin"/>
            </w:r>
            <w:r w:rsidR="006D7143">
              <w:rPr>
                <w:webHidden/>
              </w:rPr>
              <w:instrText xml:space="preserve"> PAGEREF _Toc2860990 \h </w:instrText>
            </w:r>
            <w:r w:rsidR="006D7143">
              <w:rPr>
                <w:webHidden/>
              </w:rPr>
            </w:r>
            <w:r w:rsidR="006D7143">
              <w:rPr>
                <w:webHidden/>
              </w:rPr>
              <w:fldChar w:fldCharType="separate"/>
            </w:r>
            <w:r>
              <w:rPr>
                <w:webHidden/>
              </w:rPr>
              <w:t>189</w:t>
            </w:r>
            <w:r w:rsidR="006D7143">
              <w:rPr>
                <w:webHidden/>
              </w:rPr>
              <w:fldChar w:fldCharType="end"/>
            </w:r>
          </w:hyperlink>
        </w:p>
        <w:p w14:paraId="6E38CBB8" w14:textId="662D921B" w:rsidR="006D7143" w:rsidRDefault="00CC09A6">
          <w:pPr>
            <w:pStyle w:val="TOC3"/>
            <w:rPr>
              <w:rFonts w:asciiTheme="minorHAnsi" w:eastAsiaTheme="minorEastAsia" w:hAnsiTheme="minorHAnsi" w:cstheme="minorBidi"/>
              <w:sz w:val="22"/>
              <w:szCs w:val="22"/>
              <w:lang w:val="en-GB" w:eastAsia="en-GB" w:bidi="ar-SA"/>
            </w:rPr>
          </w:pPr>
          <w:hyperlink w:anchor="_Toc2860991" w:history="1">
            <w:r w:rsidR="006D7143" w:rsidRPr="006B072F">
              <w:rPr>
                <w:rStyle w:val="Hyperlink"/>
              </w:rPr>
              <w:t>6.1.2 Structure du budget</w:t>
            </w:r>
            <w:r w:rsidR="006D7143">
              <w:rPr>
                <w:webHidden/>
              </w:rPr>
              <w:tab/>
            </w:r>
            <w:r w:rsidR="006D7143">
              <w:rPr>
                <w:webHidden/>
              </w:rPr>
              <w:fldChar w:fldCharType="begin"/>
            </w:r>
            <w:r w:rsidR="006D7143">
              <w:rPr>
                <w:webHidden/>
              </w:rPr>
              <w:instrText xml:space="preserve"> PAGEREF _Toc2860991 \h </w:instrText>
            </w:r>
            <w:r w:rsidR="006D7143">
              <w:rPr>
                <w:webHidden/>
              </w:rPr>
            </w:r>
            <w:r w:rsidR="006D7143">
              <w:rPr>
                <w:webHidden/>
              </w:rPr>
              <w:fldChar w:fldCharType="separate"/>
            </w:r>
            <w:r>
              <w:rPr>
                <w:webHidden/>
              </w:rPr>
              <w:t>189</w:t>
            </w:r>
            <w:r w:rsidR="006D7143">
              <w:rPr>
                <w:webHidden/>
              </w:rPr>
              <w:fldChar w:fldCharType="end"/>
            </w:r>
          </w:hyperlink>
        </w:p>
        <w:p w14:paraId="13EC405E" w14:textId="407C3218" w:rsidR="006D7143" w:rsidRDefault="00CC09A6">
          <w:pPr>
            <w:pStyle w:val="TOC2"/>
            <w:rPr>
              <w:rFonts w:asciiTheme="minorHAnsi" w:eastAsiaTheme="minorEastAsia" w:hAnsiTheme="minorHAnsi" w:cstheme="minorBidi"/>
              <w:sz w:val="22"/>
              <w:szCs w:val="22"/>
              <w:lang w:val="en-GB" w:eastAsia="en-GB" w:bidi="ar-SA"/>
            </w:rPr>
          </w:pPr>
          <w:hyperlink w:anchor="_Toc2860992" w:history="1">
            <w:r w:rsidR="006D7143" w:rsidRPr="006B072F">
              <w:rPr>
                <w:rStyle w:val="Hyperlink"/>
              </w:rPr>
              <w:t>6.2 Coûts éligibles</w:t>
            </w:r>
            <w:r w:rsidR="006D7143">
              <w:rPr>
                <w:webHidden/>
              </w:rPr>
              <w:tab/>
            </w:r>
            <w:r w:rsidR="006D7143">
              <w:rPr>
                <w:webHidden/>
              </w:rPr>
              <w:fldChar w:fldCharType="begin"/>
            </w:r>
            <w:r w:rsidR="006D7143">
              <w:rPr>
                <w:webHidden/>
              </w:rPr>
              <w:instrText xml:space="preserve"> PAGEREF _Toc2860992 \h </w:instrText>
            </w:r>
            <w:r w:rsidR="006D7143">
              <w:rPr>
                <w:webHidden/>
              </w:rPr>
            </w:r>
            <w:r w:rsidR="006D7143">
              <w:rPr>
                <w:webHidden/>
              </w:rPr>
              <w:fldChar w:fldCharType="separate"/>
            </w:r>
            <w:r>
              <w:rPr>
                <w:webHidden/>
              </w:rPr>
              <w:t>190</w:t>
            </w:r>
            <w:r w:rsidR="006D7143">
              <w:rPr>
                <w:webHidden/>
              </w:rPr>
              <w:fldChar w:fldCharType="end"/>
            </w:r>
          </w:hyperlink>
        </w:p>
        <w:p w14:paraId="696E06A0" w14:textId="03355773" w:rsidR="006D7143" w:rsidRDefault="00CC09A6">
          <w:pPr>
            <w:pStyle w:val="TOC3"/>
            <w:rPr>
              <w:rFonts w:asciiTheme="minorHAnsi" w:eastAsiaTheme="minorEastAsia" w:hAnsiTheme="minorHAnsi" w:cstheme="minorBidi"/>
              <w:sz w:val="22"/>
              <w:szCs w:val="22"/>
              <w:lang w:val="en-GB" w:eastAsia="en-GB" w:bidi="ar-SA"/>
            </w:rPr>
          </w:pPr>
          <w:hyperlink w:anchor="_Toc2860993" w:history="1">
            <w:r w:rsidR="006D7143" w:rsidRPr="006B072F">
              <w:rPr>
                <w:rStyle w:val="Hyperlink"/>
              </w:rPr>
              <w:t>6.2.1 Observations générales</w:t>
            </w:r>
            <w:r w:rsidR="006D7143">
              <w:rPr>
                <w:webHidden/>
              </w:rPr>
              <w:tab/>
            </w:r>
            <w:r w:rsidR="006D7143">
              <w:rPr>
                <w:webHidden/>
              </w:rPr>
              <w:fldChar w:fldCharType="begin"/>
            </w:r>
            <w:r w:rsidR="006D7143">
              <w:rPr>
                <w:webHidden/>
              </w:rPr>
              <w:instrText xml:space="preserve"> PAGEREF _Toc2860993 \h </w:instrText>
            </w:r>
            <w:r w:rsidR="006D7143">
              <w:rPr>
                <w:webHidden/>
              </w:rPr>
            </w:r>
            <w:r w:rsidR="006D7143">
              <w:rPr>
                <w:webHidden/>
              </w:rPr>
              <w:fldChar w:fldCharType="separate"/>
            </w:r>
            <w:r>
              <w:rPr>
                <w:webHidden/>
              </w:rPr>
              <w:t>190</w:t>
            </w:r>
            <w:r w:rsidR="006D7143">
              <w:rPr>
                <w:webHidden/>
              </w:rPr>
              <w:fldChar w:fldCharType="end"/>
            </w:r>
          </w:hyperlink>
        </w:p>
        <w:p w14:paraId="3D0115F8" w14:textId="36E5A1C5" w:rsidR="006D7143" w:rsidRDefault="00CC09A6">
          <w:pPr>
            <w:pStyle w:val="TOC3"/>
            <w:rPr>
              <w:rFonts w:asciiTheme="minorHAnsi" w:eastAsiaTheme="minorEastAsia" w:hAnsiTheme="minorHAnsi" w:cstheme="minorBidi"/>
              <w:sz w:val="22"/>
              <w:szCs w:val="22"/>
              <w:lang w:val="en-GB" w:eastAsia="en-GB" w:bidi="ar-SA"/>
            </w:rPr>
          </w:pPr>
          <w:hyperlink w:anchor="_Toc2860994" w:history="1">
            <w:r w:rsidR="006D7143" w:rsidRPr="006B072F">
              <w:rPr>
                <w:rStyle w:val="Hyperlink"/>
              </w:rPr>
              <w:t>6.2.2 Indemnité journalière</w:t>
            </w:r>
            <w:r w:rsidR="006D7143">
              <w:rPr>
                <w:webHidden/>
              </w:rPr>
              <w:tab/>
            </w:r>
            <w:r w:rsidR="006D7143">
              <w:rPr>
                <w:webHidden/>
              </w:rPr>
              <w:fldChar w:fldCharType="begin"/>
            </w:r>
            <w:r w:rsidR="006D7143">
              <w:rPr>
                <w:webHidden/>
              </w:rPr>
              <w:instrText xml:space="preserve"> PAGEREF _Toc2860994 \h </w:instrText>
            </w:r>
            <w:r w:rsidR="006D7143">
              <w:rPr>
                <w:webHidden/>
              </w:rPr>
            </w:r>
            <w:r w:rsidR="006D7143">
              <w:rPr>
                <w:webHidden/>
              </w:rPr>
              <w:fldChar w:fldCharType="separate"/>
            </w:r>
            <w:r>
              <w:rPr>
                <w:webHidden/>
              </w:rPr>
              <w:t>191</w:t>
            </w:r>
            <w:r w:rsidR="006D7143">
              <w:rPr>
                <w:webHidden/>
              </w:rPr>
              <w:fldChar w:fldCharType="end"/>
            </w:r>
          </w:hyperlink>
        </w:p>
        <w:p w14:paraId="6DB4AFDF" w14:textId="0305C781" w:rsidR="006D7143" w:rsidRDefault="00CC09A6">
          <w:pPr>
            <w:pStyle w:val="TOC3"/>
            <w:rPr>
              <w:rFonts w:asciiTheme="minorHAnsi" w:eastAsiaTheme="minorEastAsia" w:hAnsiTheme="minorHAnsi" w:cstheme="minorBidi"/>
              <w:sz w:val="22"/>
              <w:szCs w:val="22"/>
              <w:lang w:val="en-GB" w:eastAsia="en-GB" w:bidi="ar-SA"/>
            </w:rPr>
          </w:pPr>
          <w:hyperlink w:anchor="_Toc2860995" w:history="1">
            <w:r w:rsidR="006D7143" w:rsidRPr="006B072F">
              <w:rPr>
                <w:rStyle w:val="Hyperlink"/>
              </w:rPr>
              <w:t>6.2.3 Indemnité journalière forfaitaire</w:t>
            </w:r>
            <w:r w:rsidR="006D7143">
              <w:rPr>
                <w:webHidden/>
              </w:rPr>
              <w:tab/>
            </w:r>
            <w:r w:rsidR="006D7143">
              <w:rPr>
                <w:webHidden/>
              </w:rPr>
              <w:fldChar w:fldCharType="begin"/>
            </w:r>
            <w:r w:rsidR="006D7143">
              <w:rPr>
                <w:webHidden/>
              </w:rPr>
              <w:instrText xml:space="preserve"> PAGEREF _Toc2860995 \h </w:instrText>
            </w:r>
            <w:r w:rsidR="006D7143">
              <w:rPr>
                <w:webHidden/>
              </w:rPr>
            </w:r>
            <w:r w:rsidR="006D7143">
              <w:rPr>
                <w:webHidden/>
              </w:rPr>
              <w:fldChar w:fldCharType="separate"/>
            </w:r>
            <w:r>
              <w:rPr>
                <w:webHidden/>
              </w:rPr>
              <w:t>191</w:t>
            </w:r>
            <w:r w:rsidR="006D7143">
              <w:rPr>
                <w:webHidden/>
              </w:rPr>
              <w:fldChar w:fldCharType="end"/>
            </w:r>
          </w:hyperlink>
        </w:p>
        <w:p w14:paraId="47CBE39D" w14:textId="514D3A34" w:rsidR="006D7143" w:rsidRDefault="00CC09A6">
          <w:pPr>
            <w:pStyle w:val="TOC3"/>
            <w:rPr>
              <w:rFonts w:asciiTheme="minorHAnsi" w:eastAsiaTheme="minorEastAsia" w:hAnsiTheme="minorHAnsi" w:cstheme="minorBidi"/>
              <w:sz w:val="22"/>
              <w:szCs w:val="22"/>
              <w:lang w:val="en-GB" w:eastAsia="en-GB" w:bidi="ar-SA"/>
            </w:rPr>
          </w:pPr>
          <w:hyperlink w:anchor="_Toc2860996" w:history="1">
            <w:r w:rsidR="006D7143" w:rsidRPr="006B072F">
              <w:rPr>
                <w:rStyle w:val="Hyperlink"/>
              </w:rPr>
              <w:t>6.2.4 Déplacements</w:t>
            </w:r>
            <w:r w:rsidR="006D7143">
              <w:rPr>
                <w:webHidden/>
              </w:rPr>
              <w:tab/>
            </w:r>
            <w:r w:rsidR="006D7143">
              <w:rPr>
                <w:webHidden/>
              </w:rPr>
              <w:fldChar w:fldCharType="begin"/>
            </w:r>
            <w:r w:rsidR="006D7143">
              <w:rPr>
                <w:webHidden/>
              </w:rPr>
              <w:instrText xml:space="preserve"> PAGEREF _Toc2860996 \h </w:instrText>
            </w:r>
            <w:r w:rsidR="006D7143">
              <w:rPr>
                <w:webHidden/>
              </w:rPr>
            </w:r>
            <w:r w:rsidR="006D7143">
              <w:rPr>
                <w:webHidden/>
              </w:rPr>
              <w:fldChar w:fldCharType="separate"/>
            </w:r>
            <w:r>
              <w:rPr>
                <w:webHidden/>
              </w:rPr>
              <w:t>192</w:t>
            </w:r>
            <w:r w:rsidR="006D7143">
              <w:rPr>
                <w:webHidden/>
              </w:rPr>
              <w:fldChar w:fldCharType="end"/>
            </w:r>
          </w:hyperlink>
        </w:p>
        <w:p w14:paraId="73E7E38F" w14:textId="241B5716" w:rsidR="006D7143" w:rsidRDefault="00CC09A6">
          <w:pPr>
            <w:pStyle w:val="TOC3"/>
            <w:rPr>
              <w:rFonts w:asciiTheme="minorHAnsi" w:eastAsiaTheme="minorEastAsia" w:hAnsiTheme="minorHAnsi" w:cstheme="minorBidi"/>
              <w:sz w:val="22"/>
              <w:szCs w:val="22"/>
              <w:lang w:val="en-GB" w:eastAsia="en-GB" w:bidi="ar-SA"/>
            </w:rPr>
          </w:pPr>
          <w:hyperlink w:anchor="_Toc2860997" w:history="1">
            <w:r w:rsidR="006D7143" w:rsidRPr="006B072F">
              <w:rPr>
                <w:rStyle w:val="Hyperlink"/>
              </w:rPr>
              <w:t>6.2.5 Le conseiller résident de jumelage (CRJ)</w:t>
            </w:r>
            <w:r w:rsidR="006D7143">
              <w:rPr>
                <w:webHidden/>
              </w:rPr>
              <w:tab/>
            </w:r>
            <w:r w:rsidR="006D7143">
              <w:rPr>
                <w:webHidden/>
              </w:rPr>
              <w:fldChar w:fldCharType="begin"/>
            </w:r>
            <w:r w:rsidR="006D7143">
              <w:rPr>
                <w:webHidden/>
              </w:rPr>
              <w:instrText xml:space="preserve"> PAGEREF _Toc2860997 \h </w:instrText>
            </w:r>
            <w:r w:rsidR="006D7143">
              <w:rPr>
                <w:webHidden/>
              </w:rPr>
            </w:r>
            <w:r w:rsidR="006D7143">
              <w:rPr>
                <w:webHidden/>
              </w:rPr>
              <w:fldChar w:fldCharType="separate"/>
            </w:r>
            <w:r>
              <w:rPr>
                <w:webHidden/>
              </w:rPr>
              <w:t>192</w:t>
            </w:r>
            <w:r w:rsidR="006D7143">
              <w:rPr>
                <w:webHidden/>
              </w:rPr>
              <w:fldChar w:fldCharType="end"/>
            </w:r>
          </w:hyperlink>
        </w:p>
        <w:p w14:paraId="2211E9E0" w14:textId="4523D51B" w:rsidR="006D7143" w:rsidRDefault="00CC09A6">
          <w:pPr>
            <w:pStyle w:val="TOC3"/>
            <w:rPr>
              <w:rFonts w:asciiTheme="minorHAnsi" w:eastAsiaTheme="minorEastAsia" w:hAnsiTheme="minorHAnsi" w:cstheme="minorBidi"/>
              <w:sz w:val="22"/>
              <w:szCs w:val="22"/>
              <w:lang w:val="en-GB" w:eastAsia="en-GB" w:bidi="ar-SA"/>
            </w:rPr>
          </w:pPr>
          <w:hyperlink w:anchor="_Toc2860998" w:history="1">
            <w:r w:rsidR="006D7143" w:rsidRPr="006B072F">
              <w:rPr>
                <w:rStyle w:val="Hyperlink"/>
              </w:rPr>
              <w:t>6.2.6 Activités dans le pays bénéficiaire</w:t>
            </w:r>
            <w:r w:rsidR="006D7143">
              <w:rPr>
                <w:webHidden/>
              </w:rPr>
              <w:tab/>
            </w:r>
            <w:r w:rsidR="006D7143">
              <w:rPr>
                <w:webHidden/>
              </w:rPr>
              <w:fldChar w:fldCharType="begin"/>
            </w:r>
            <w:r w:rsidR="006D7143">
              <w:rPr>
                <w:webHidden/>
              </w:rPr>
              <w:instrText xml:space="preserve"> PAGEREF _Toc2860998 \h </w:instrText>
            </w:r>
            <w:r w:rsidR="006D7143">
              <w:rPr>
                <w:webHidden/>
              </w:rPr>
            </w:r>
            <w:r w:rsidR="006D7143">
              <w:rPr>
                <w:webHidden/>
              </w:rPr>
              <w:fldChar w:fldCharType="separate"/>
            </w:r>
            <w:r>
              <w:rPr>
                <w:webHidden/>
              </w:rPr>
              <w:t>195</w:t>
            </w:r>
            <w:r w:rsidR="006D7143">
              <w:rPr>
                <w:webHidden/>
              </w:rPr>
              <w:fldChar w:fldCharType="end"/>
            </w:r>
          </w:hyperlink>
        </w:p>
        <w:p w14:paraId="2445F2D8" w14:textId="1A7C220C" w:rsidR="006D7143" w:rsidRDefault="00CC09A6">
          <w:pPr>
            <w:pStyle w:val="TOC3"/>
            <w:rPr>
              <w:rFonts w:asciiTheme="minorHAnsi" w:eastAsiaTheme="minorEastAsia" w:hAnsiTheme="minorHAnsi" w:cstheme="minorBidi"/>
              <w:sz w:val="22"/>
              <w:szCs w:val="22"/>
              <w:lang w:val="en-GB" w:eastAsia="en-GB" w:bidi="ar-SA"/>
            </w:rPr>
          </w:pPr>
          <w:hyperlink w:anchor="_Toc2860999" w:history="1">
            <w:r w:rsidR="006D7143" w:rsidRPr="006B072F">
              <w:rPr>
                <w:rStyle w:val="Hyperlink"/>
              </w:rPr>
              <w:t>6.2.7 Activités dans un État membre</w:t>
            </w:r>
            <w:r w:rsidR="006D7143">
              <w:rPr>
                <w:webHidden/>
              </w:rPr>
              <w:tab/>
            </w:r>
            <w:r w:rsidR="006D7143">
              <w:rPr>
                <w:webHidden/>
              </w:rPr>
              <w:fldChar w:fldCharType="begin"/>
            </w:r>
            <w:r w:rsidR="006D7143">
              <w:rPr>
                <w:webHidden/>
              </w:rPr>
              <w:instrText xml:space="preserve"> PAGEREF _Toc2860999 \h </w:instrText>
            </w:r>
            <w:r w:rsidR="006D7143">
              <w:rPr>
                <w:webHidden/>
              </w:rPr>
            </w:r>
            <w:r w:rsidR="006D7143">
              <w:rPr>
                <w:webHidden/>
              </w:rPr>
              <w:fldChar w:fldCharType="separate"/>
            </w:r>
            <w:r>
              <w:rPr>
                <w:webHidden/>
              </w:rPr>
              <w:t>195</w:t>
            </w:r>
            <w:r w:rsidR="006D7143">
              <w:rPr>
                <w:webHidden/>
              </w:rPr>
              <w:fldChar w:fldCharType="end"/>
            </w:r>
          </w:hyperlink>
        </w:p>
        <w:p w14:paraId="2A82125A" w14:textId="68EC4999" w:rsidR="006D7143" w:rsidRDefault="00CC09A6">
          <w:pPr>
            <w:pStyle w:val="TOC3"/>
            <w:rPr>
              <w:rFonts w:asciiTheme="minorHAnsi" w:eastAsiaTheme="minorEastAsia" w:hAnsiTheme="minorHAnsi" w:cstheme="minorBidi"/>
              <w:sz w:val="22"/>
              <w:szCs w:val="22"/>
              <w:lang w:val="en-GB" w:eastAsia="en-GB" w:bidi="ar-SA"/>
            </w:rPr>
          </w:pPr>
          <w:hyperlink w:anchor="_Toc2861000" w:history="1">
            <w:r w:rsidR="006D7143" w:rsidRPr="006B072F">
              <w:rPr>
                <w:rStyle w:val="Hyperlink"/>
              </w:rPr>
              <w:t>6.2.8 Traduction et interprétation</w:t>
            </w:r>
            <w:r w:rsidR="006D7143">
              <w:rPr>
                <w:webHidden/>
              </w:rPr>
              <w:tab/>
            </w:r>
            <w:r w:rsidR="006D7143">
              <w:rPr>
                <w:webHidden/>
              </w:rPr>
              <w:fldChar w:fldCharType="begin"/>
            </w:r>
            <w:r w:rsidR="006D7143">
              <w:rPr>
                <w:webHidden/>
              </w:rPr>
              <w:instrText xml:space="preserve"> PAGEREF _Toc2861000 \h </w:instrText>
            </w:r>
            <w:r w:rsidR="006D7143">
              <w:rPr>
                <w:webHidden/>
              </w:rPr>
            </w:r>
            <w:r w:rsidR="006D7143">
              <w:rPr>
                <w:webHidden/>
              </w:rPr>
              <w:fldChar w:fldCharType="separate"/>
            </w:r>
            <w:r>
              <w:rPr>
                <w:webHidden/>
              </w:rPr>
              <w:t>196</w:t>
            </w:r>
            <w:r w:rsidR="006D7143">
              <w:rPr>
                <w:webHidden/>
              </w:rPr>
              <w:fldChar w:fldCharType="end"/>
            </w:r>
          </w:hyperlink>
        </w:p>
        <w:p w14:paraId="5B06BDEB" w14:textId="11A6162F" w:rsidR="006D7143" w:rsidRDefault="00CC09A6">
          <w:pPr>
            <w:pStyle w:val="TOC3"/>
            <w:rPr>
              <w:rFonts w:asciiTheme="minorHAnsi" w:eastAsiaTheme="minorEastAsia" w:hAnsiTheme="minorHAnsi" w:cstheme="minorBidi"/>
              <w:sz w:val="22"/>
              <w:szCs w:val="22"/>
              <w:lang w:val="en-GB" w:eastAsia="en-GB" w:bidi="ar-SA"/>
            </w:rPr>
          </w:pPr>
          <w:hyperlink w:anchor="_Toc2861001" w:history="1">
            <w:r w:rsidR="006D7143" w:rsidRPr="006B072F">
              <w:rPr>
                <w:rStyle w:val="Hyperlink"/>
              </w:rPr>
              <w:t>6.2.9 Apports du secteur privé</w:t>
            </w:r>
            <w:r w:rsidR="006D7143">
              <w:rPr>
                <w:webHidden/>
              </w:rPr>
              <w:tab/>
            </w:r>
            <w:r w:rsidR="006D7143">
              <w:rPr>
                <w:webHidden/>
              </w:rPr>
              <w:fldChar w:fldCharType="begin"/>
            </w:r>
            <w:r w:rsidR="006D7143">
              <w:rPr>
                <w:webHidden/>
              </w:rPr>
              <w:instrText xml:space="preserve"> PAGEREF _Toc2861001 \h </w:instrText>
            </w:r>
            <w:r w:rsidR="006D7143">
              <w:rPr>
                <w:webHidden/>
              </w:rPr>
            </w:r>
            <w:r w:rsidR="006D7143">
              <w:rPr>
                <w:webHidden/>
              </w:rPr>
              <w:fldChar w:fldCharType="separate"/>
            </w:r>
            <w:r>
              <w:rPr>
                <w:webHidden/>
              </w:rPr>
              <w:t>196</w:t>
            </w:r>
            <w:r w:rsidR="006D7143">
              <w:rPr>
                <w:webHidden/>
              </w:rPr>
              <w:fldChar w:fldCharType="end"/>
            </w:r>
          </w:hyperlink>
        </w:p>
        <w:p w14:paraId="2CB0B531" w14:textId="45776441" w:rsidR="006D7143" w:rsidRDefault="00CC09A6">
          <w:pPr>
            <w:pStyle w:val="TOC3"/>
            <w:rPr>
              <w:rFonts w:asciiTheme="minorHAnsi" w:eastAsiaTheme="minorEastAsia" w:hAnsiTheme="minorHAnsi" w:cstheme="minorBidi"/>
              <w:sz w:val="22"/>
              <w:szCs w:val="22"/>
              <w:lang w:val="en-GB" w:eastAsia="en-GB" w:bidi="ar-SA"/>
            </w:rPr>
          </w:pPr>
          <w:hyperlink w:anchor="_Toc2861002" w:history="1">
            <w:r w:rsidR="006D7143" w:rsidRPr="006B072F">
              <w:rPr>
                <w:rStyle w:val="Hyperlink"/>
              </w:rPr>
              <w:t>6.2.10 Équipements et fournitures</w:t>
            </w:r>
            <w:r w:rsidR="006D7143">
              <w:rPr>
                <w:webHidden/>
              </w:rPr>
              <w:tab/>
            </w:r>
            <w:r w:rsidR="006D7143">
              <w:rPr>
                <w:webHidden/>
              </w:rPr>
              <w:fldChar w:fldCharType="begin"/>
            </w:r>
            <w:r w:rsidR="006D7143">
              <w:rPr>
                <w:webHidden/>
              </w:rPr>
              <w:instrText xml:space="preserve"> PAGEREF _Toc2861002 \h </w:instrText>
            </w:r>
            <w:r w:rsidR="006D7143">
              <w:rPr>
                <w:webHidden/>
              </w:rPr>
            </w:r>
            <w:r w:rsidR="006D7143">
              <w:rPr>
                <w:webHidden/>
              </w:rPr>
              <w:fldChar w:fldCharType="separate"/>
            </w:r>
            <w:r>
              <w:rPr>
                <w:webHidden/>
              </w:rPr>
              <w:t>197</w:t>
            </w:r>
            <w:r w:rsidR="006D7143">
              <w:rPr>
                <w:webHidden/>
              </w:rPr>
              <w:fldChar w:fldCharType="end"/>
            </w:r>
          </w:hyperlink>
        </w:p>
        <w:p w14:paraId="1223E3F5" w14:textId="177F9C20" w:rsidR="006D7143" w:rsidRDefault="00CC09A6">
          <w:pPr>
            <w:pStyle w:val="TOC3"/>
            <w:rPr>
              <w:rFonts w:asciiTheme="minorHAnsi" w:eastAsiaTheme="minorEastAsia" w:hAnsiTheme="minorHAnsi" w:cstheme="minorBidi"/>
              <w:sz w:val="22"/>
              <w:szCs w:val="22"/>
              <w:lang w:val="en-GB" w:eastAsia="en-GB" w:bidi="ar-SA"/>
            </w:rPr>
          </w:pPr>
          <w:hyperlink w:anchor="_Toc2861003" w:history="1">
            <w:r w:rsidR="006D7143" w:rsidRPr="006B072F">
              <w:rPr>
                <w:rStyle w:val="Hyperlink"/>
              </w:rPr>
              <w:t>6.2.11 Réserve/provisions pour imprévus</w:t>
            </w:r>
            <w:r w:rsidR="006D7143">
              <w:rPr>
                <w:webHidden/>
              </w:rPr>
              <w:tab/>
            </w:r>
            <w:r w:rsidR="006D7143">
              <w:rPr>
                <w:webHidden/>
              </w:rPr>
              <w:fldChar w:fldCharType="begin"/>
            </w:r>
            <w:r w:rsidR="006D7143">
              <w:rPr>
                <w:webHidden/>
              </w:rPr>
              <w:instrText xml:space="preserve"> PAGEREF _Toc2861003 \h </w:instrText>
            </w:r>
            <w:r w:rsidR="006D7143">
              <w:rPr>
                <w:webHidden/>
              </w:rPr>
            </w:r>
            <w:r w:rsidR="006D7143">
              <w:rPr>
                <w:webHidden/>
              </w:rPr>
              <w:fldChar w:fldCharType="separate"/>
            </w:r>
            <w:r>
              <w:rPr>
                <w:webHidden/>
              </w:rPr>
              <w:t>197</w:t>
            </w:r>
            <w:r w:rsidR="006D7143">
              <w:rPr>
                <w:webHidden/>
              </w:rPr>
              <w:fldChar w:fldCharType="end"/>
            </w:r>
          </w:hyperlink>
        </w:p>
        <w:p w14:paraId="05ECE89A" w14:textId="1ACAE645" w:rsidR="006D7143" w:rsidRDefault="00CC09A6">
          <w:pPr>
            <w:pStyle w:val="TOC3"/>
            <w:rPr>
              <w:rFonts w:asciiTheme="minorHAnsi" w:eastAsiaTheme="minorEastAsia" w:hAnsiTheme="minorHAnsi" w:cstheme="minorBidi"/>
              <w:sz w:val="22"/>
              <w:szCs w:val="22"/>
              <w:lang w:val="en-GB" w:eastAsia="en-GB" w:bidi="ar-SA"/>
            </w:rPr>
          </w:pPr>
          <w:hyperlink w:anchor="_Toc2861004" w:history="1">
            <w:r w:rsidR="006D7143" w:rsidRPr="006B072F">
              <w:rPr>
                <w:rStyle w:val="Hyperlink"/>
              </w:rPr>
              <w:t>6.2.12 Rapport de vérification des dépenses</w:t>
            </w:r>
            <w:r w:rsidR="006D7143">
              <w:rPr>
                <w:webHidden/>
              </w:rPr>
              <w:tab/>
            </w:r>
            <w:r w:rsidR="006D7143">
              <w:rPr>
                <w:webHidden/>
              </w:rPr>
              <w:fldChar w:fldCharType="begin"/>
            </w:r>
            <w:r w:rsidR="006D7143">
              <w:rPr>
                <w:webHidden/>
              </w:rPr>
              <w:instrText xml:space="preserve"> PAGEREF _Toc2861004 \h </w:instrText>
            </w:r>
            <w:r w:rsidR="006D7143">
              <w:rPr>
                <w:webHidden/>
              </w:rPr>
            </w:r>
            <w:r w:rsidR="006D7143">
              <w:rPr>
                <w:webHidden/>
              </w:rPr>
              <w:fldChar w:fldCharType="separate"/>
            </w:r>
            <w:r>
              <w:rPr>
                <w:webHidden/>
              </w:rPr>
              <w:t>198</w:t>
            </w:r>
            <w:r w:rsidR="006D7143">
              <w:rPr>
                <w:webHidden/>
              </w:rPr>
              <w:fldChar w:fldCharType="end"/>
            </w:r>
          </w:hyperlink>
        </w:p>
        <w:p w14:paraId="6CA41111" w14:textId="4E7D4E22" w:rsidR="006D7143" w:rsidRDefault="00CC09A6">
          <w:pPr>
            <w:pStyle w:val="TOC3"/>
            <w:rPr>
              <w:rFonts w:asciiTheme="minorHAnsi" w:eastAsiaTheme="minorEastAsia" w:hAnsiTheme="minorHAnsi" w:cstheme="minorBidi"/>
              <w:sz w:val="22"/>
              <w:szCs w:val="22"/>
              <w:lang w:val="en-GB" w:eastAsia="en-GB" w:bidi="ar-SA"/>
            </w:rPr>
          </w:pPr>
          <w:hyperlink w:anchor="_Toc2861005" w:history="1">
            <w:r w:rsidR="006D7143" w:rsidRPr="006B072F">
              <w:rPr>
                <w:rStyle w:val="Hyperlink"/>
              </w:rPr>
              <w:t>6.2.13 Le ou les assistants du CRJ</w:t>
            </w:r>
            <w:r w:rsidR="006D7143">
              <w:rPr>
                <w:webHidden/>
              </w:rPr>
              <w:tab/>
            </w:r>
            <w:r w:rsidR="006D7143">
              <w:rPr>
                <w:webHidden/>
              </w:rPr>
              <w:fldChar w:fldCharType="begin"/>
            </w:r>
            <w:r w:rsidR="006D7143">
              <w:rPr>
                <w:webHidden/>
              </w:rPr>
              <w:instrText xml:space="preserve"> PAGEREF _Toc2861005 \h </w:instrText>
            </w:r>
            <w:r w:rsidR="006D7143">
              <w:rPr>
                <w:webHidden/>
              </w:rPr>
            </w:r>
            <w:r w:rsidR="006D7143">
              <w:rPr>
                <w:webHidden/>
              </w:rPr>
              <w:fldChar w:fldCharType="separate"/>
            </w:r>
            <w:r>
              <w:rPr>
                <w:webHidden/>
              </w:rPr>
              <w:t>198</w:t>
            </w:r>
            <w:r w:rsidR="006D7143">
              <w:rPr>
                <w:webHidden/>
              </w:rPr>
              <w:fldChar w:fldCharType="end"/>
            </w:r>
          </w:hyperlink>
        </w:p>
        <w:p w14:paraId="6D2FB10F" w14:textId="6D9A6732" w:rsidR="006D7143" w:rsidRDefault="00CC09A6">
          <w:pPr>
            <w:pStyle w:val="TOC3"/>
            <w:rPr>
              <w:rFonts w:asciiTheme="minorHAnsi" w:eastAsiaTheme="minorEastAsia" w:hAnsiTheme="minorHAnsi" w:cstheme="minorBidi"/>
              <w:sz w:val="22"/>
              <w:szCs w:val="22"/>
              <w:lang w:val="en-GB" w:eastAsia="en-GB" w:bidi="ar-SA"/>
            </w:rPr>
          </w:pPr>
          <w:hyperlink w:anchor="_Toc2861006" w:history="1">
            <w:r w:rsidR="006D7143" w:rsidRPr="006B072F">
              <w:rPr>
                <w:rStyle w:val="Hyperlink"/>
              </w:rPr>
              <w:t>6.2.14 Compensation des coûts de soutien aux projets de jumelage</w:t>
            </w:r>
            <w:r w:rsidR="006D7143">
              <w:rPr>
                <w:webHidden/>
              </w:rPr>
              <w:tab/>
            </w:r>
            <w:r w:rsidR="006D7143">
              <w:rPr>
                <w:webHidden/>
              </w:rPr>
              <w:fldChar w:fldCharType="begin"/>
            </w:r>
            <w:r w:rsidR="006D7143">
              <w:rPr>
                <w:webHidden/>
              </w:rPr>
              <w:instrText xml:space="preserve"> PAGEREF _Toc2861006 \h </w:instrText>
            </w:r>
            <w:r w:rsidR="006D7143">
              <w:rPr>
                <w:webHidden/>
              </w:rPr>
            </w:r>
            <w:r w:rsidR="006D7143">
              <w:rPr>
                <w:webHidden/>
              </w:rPr>
              <w:fldChar w:fldCharType="separate"/>
            </w:r>
            <w:r>
              <w:rPr>
                <w:webHidden/>
              </w:rPr>
              <w:t>198</w:t>
            </w:r>
            <w:r w:rsidR="006D7143">
              <w:rPr>
                <w:webHidden/>
              </w:rPr>
              <w:fldChar w:fldCharType="end"/>
            </w:r>
          </w:hyperlink>
        </w:p>
        <w:p w14:paraId="59A87E44" w14:textId="61BA4A91" w:rsidR="006D7143" w:rsidRDefault="00CC09A6">
          <w:pPr>
            <w:pStyle w:val="TOC3"/>
            <w:rPr>
              <w:rFonts w:asciiTheme="minorHAnsi" w:eastAsiaTheme="minorEastAsia" w:hAnsiTheme="minorHAnsi" w:cstheme="minorBidi"/>
              <w:sz w:val="22"/>
              <w:szCs w:val="22"/>
              <w:lang w:val="en-GB" w:eastAsia="en-GB" w:bidi="ar-SA"/>
            </w:rPr>
          </w:pPr>
          <w:hyperlink w:anchor="_Toc2861007" w:history="1">
            <w:r w:rsidR="006D7143" w:rsidRPr="006B072F">
              <w:rPr>
                <w:rStyle w:val="Hyperlink"/>
              </w:rPr>
              <w:t>6.2.15 Taux forfaitaire pour les autres coûts indirects</w:t>
            </w:r>
            <w:r w:rsidR="006D7143">
              <w:rPr>
                <w:webHidden/>
              </w:rPr>
              <w:tab/>
            </w:r>
            <w:r w:rsidR="006D7143">
              <w:rPr>
                <w:webHidden/>
              </w:rPr>
              <w:fldChar w:fldCharType="begin"/>
            </w:r>
            <w:r w:rsidR="006D7143">
              <w:rPr>
                <w:webHidden/>
              </w:rPr>
              <w:instrText xml:space="preserve"> PAGEREF _Toc2861007 \h </w:instrText>
            </w:r>
            <w:r w:rsidR="006D7143">
              <w:rPr>
                <w:webHidden/>
              </w:rPr>
            </w:r>
            <w:r w:rsidR="006D7143">
              <w:rPr>
                <w:webHidden/>
              </w:rPr>
              <w:fldChar w:fldCharType="separate"/>
            </w:r>
            <w:r>
              <w:rPr>
                <w:webHidden/>
              </w:rPr>
              <w:t>199</w:t>
            </w:r>
            <w:r w:rsidR="006D7143">
              <w:rPr>
                <w:webHidden/>
              </w:rPr>
              <w:fldChar w:fldCharType="end"/>
            </w:r>
          </w:hyperlink>
        </w:p>
        <w:p w14:paraId="3000CD3F" w14:textId="13EA47FB" w:rsidR="006D7143" w:rsidRDefault="00CC09A6">
          <w:pPr>
            <w:pStyle w:val="TOC3"/>
            <w:rPr>
              <w:rFonts w:asciiTheme="minorHAnsi" w:eastAsiaTheme="minorEastAsia" w:hAnsiTheme="minorHAnsi" w:cstheme="minorBidi"/>
              <w:sz w:val="22"/>
              <w:szCs w:val="22"/>
              <w:lang w:val="en-GB" w:eastAsia="en-GB" w:bidi="ar-SA"/>
            </w:rPr>
          </w:pPr>
          <w:hyperlink w:anchor="_Toc2861008" w:history="1">
            <w:r w:rsidR="006D7143" w:rsidRPr="006B072F">
              <w:rPr>
                <w:rStyle w:val="Hyperlink"/>
              </w:rPr>
              <w:t>6.2.16 Gestion des coûts de soutien aux projets de jumelage et du taux forfaitaire pour les coûts indirects</w:t>
            </w:r>
            <w:r w:rsidR="006D7143">
              <w:rPr>
                <w:webHidden/>
              </w:rPr>
              <w:tab/>
            </w:r>
            <w:r w:rsidR="006D7143">
              <w:rPr>
                <w:webHidden/>
              </w:rPr>
              <w:fldChar w:fldCharType="begin"/>
            </w:r>
            <w:r w:rsidR="006D7143">
              <w:rPr>
                <w:webHidden/>
              </w:rPr>
              <w:instrText xml:space="preserve"> PAGEREF _Toc2861008 \h </w:instrText>
            </w:r>
            <w:r w:rsidR="006D7143">
              <w:rPr>
                <w:webHidden/>
              </w:rPr>
            </w:r>
            <w:r w:rsidR="006D7143">
              <w:rPr>
                <w:webHidden/>
              </w:rPr>
              <w:fldChar w:fldCharType="separate"/>
            </w:r>
            <w:r>
              <w:rPr>
                <w:webHidden/>
              </w:rPr>
              <w:t>199</w:t>
            </w:r>
            <w:r w:rsidR="006D7143">
              <w:rPr>
                <w:webHidden/>
              </w:rPr>
              <w:fldChar w:fldCharType="end"/>
            </w:r>
          </w:hyperlink>
        </w:p>
        <w:p w14:paraId="29CEBBDC" w14:textId="069B94B8" w:rsidR="006D7143" w:rsidRDefault="00CC09A6">
          <w:pPr>
            <w:pStyle w:val="TOC1"/>
            <w:rPr>
              <w:rFonts w:asciiTheme="minorHAnsi" w:eastAsiaTheme="minorEastAsia" w:hAnsiTheme="minorHAnsi" w:cstheme="minorBidi"/>
              <w:b w:val="0"/>
              <w:bCs w:val="0"/>
              <w:caps w:val="0"/>
              <w:sz w:val="22"/>
              <w:szCs w:val="22"/>
              <w:lang w:val="en-GB" w:eastAsia="en-GB" w:bidi="ar-SA"/>
            </w:rPr>
          </w:pPr>
          <w:hyperlink w:anchor="_Toc2861009" w:history="1">
            <w:r w:rsidR="006D7143" w:rsidRPr="006B072F">
              <w:rPr>
                <w:rStyle w:val="Hyperlink"/>
              </w:rPr>
              <w:t>Section 7: la gestion et le contrôle financiers</w:t>
            </w:r>
            <w:r w:rsidR="006D7143">
              <w:rPr>
                <w:webHidden/>
              </w:rPr>
              <w:tab/>
            </w:r>
            <w:r w:rsidR="006D7143">
              <w:rPr>
                <w:webHidden/>
              </w:rPr>
              <w:fldChar w:fldCharType="begin"/>
            </w:r>
            <w:r w:rsidR="006D7143">
              <w:rPr>
                <w:webHidden/>
              </w:rPr>
              <w:instrText xml:space="preserve"> PAGEREF _Toc2861009 \h </w:instrText>
            </w:r>
            <w:r w:rsidR="006D7143">
              <w:rPr>
                <w:webHidden/>
              </w:rPr>
            </w:r>
            <w:r w:rsidR="006D7143">
              <w:rPr>
                <w:webHidden/>
              </w:rPr>
              <w:fldChar w:fldCharType="separate"/>
            </w:r>
            <w:r>
              <w:rPr>
                <w:webHidden/>
              </w:rPr>
              <w:t>200</w:t>
            </w:r>
            <w:r w:rsidR="006D7143">
              <w:rPr>
                <w:webHidden/>
              </w:rPr>
              <w:fldChar w:fldCharType="end"/>
            </w:r>
          </w:hyperlink>
        </w:p>
        <w:p w14:paraId="7B09B5D1" w14:textId="68CF3CE3" w:rsidR="006D7143" w:rsidRDefault="00CC09A6">
          <w:pPr>
            <w:pStyle w:val="TOC2"/>
            <w:rPr>
              <w:rFonts w:asciiTheme="minorHAnsi" w:eastAsiaTheme="minorEastAsia" w:hAnsiTheme="minorHAnsi" w:cstheme="minorBidi"/>
              <w:sz w:val="22"/>
              <w:szCs w:val="22"/>
              <w:lang w:val="en-GB" w:eastAsia="en-GB" w:bidi="ar-SA"/>
            </w:rPr>
          </w:pPr>
          <w:hyperlink w:anchor="_Toc2861010" w:history="1">
            <w:r w:rsidR="006D7143" w:rsidRPr="006B072F">
              <w:rPr>
                <w:rStyle w:val="Hyperlink"/>
              </w:rPr>
              <w:t>7.1 Remarques spécifiques relatives à l’outil de jumelage</w:t>
            </w:r>
            <w:r w:rsidR="006D7143">
              <w:rPr>
                <w:webHidden/>
              </w:rPr>
              <w:tab/>
            </w:r>
            <w:r w:rsidR="006D7143">
              <w:rPr>
                <w:webHidden/>
              </w:rPr>
              <w:fldChar w:fldCharType="begin"/>
            </w:r>
            <w:r w:rsidR="006D7143">
              <w:rPr>
                <w:webHidden/>
              </w:rPr>
              <w:instrText xml:space="preserve"> PAGEREF _Toc2861010 \h </w:instrText>
            </w:r>
            <w:r w:rsidR="006D7143">
              <w:rPr>
                <w:webHidden/>
              </w:rPr>
            </w:r>
            <w:r w:rsidR="006D7143">
              <w:rPr>
                <w:webHidden/>
              </w:rPr>
              <w:fldChar w:fldCharType="separate"/>
            </w:r>
            <w:r>
              <w:rPr>
                <w:webHidden/>
              </w:rPr>
              <w:t>200</w:t>
            </w:r>
            <w:r w:rsidR="006D7143">
              <w:rPr>
                <w:webHidden/>
              </w:rPr>
              <w:fldChar w:fldCharType="end"/>
            </w:r>
          </w:hyperlink>
        </w:p>
        <w:p w14:paraId="3E911D65" w14:textId="7E9C5DED" w:rsidR="006D7143" w:rsidRDefault="00CC09A6">
          <w:pPr>
            <w:pStyle w:val="TOC2"/>
            <w:rPr>
              <w:rFonts w:asciiTheme="minorHAnsi" w:eastAsiaTheme="minorEastAsia" w:hAnsiTheme="minorHAnsi" w:cstheme="minorBidi"/>
              <w:sz w:val="22"/>
              <w:szCs w:val="22"/>
              <w:lang w:val="en-GB" w:eastAsia="en-GB" w:bidi="ar-SA"/>
            </w:rPr>
          </w:pPr>
          <w:hyperlink w:anchor="_Toc2861011" w:history="1">
            <w:r w:rsidR="006D7143" w:rsidRPr="006B072F">
              <w:rPr>
                <w:rStyle w:val="Hyperlink"/>
              </w:rPr>
              <w:t>7.2 Pièces justificatives à l’appui des demandes de paiement</w:t>
            </w:r>
            <w:r w:rsidR="006D7143">
              <w:rPr>
                <w:webHidden/>
              </w:rPr>
              <w:tab/>
            </w:r>
            <w:r w:rsidR="006D7143">
              <w:rPr>
                <w:webHidden/>
              </w:rPr>
              <w:fldChar w:fldCharType="begin"/>
            </w:r>
            <w:r w:rsidR="006D7143">
              <w:rPr>
                <w:webHidden/>
              </w:rPr>
              <w:instrText xml:space="preserve"> PAGEREF _Toc2861011 \h </w:instrText>
            </w:r>
            <w:r w:rsidR="006D7143">
              <w:rPr>
                <w:webHidden/>
              </w:rPr>
            </w:r>
            <w:r w:rsidR="006D7143">
              <w:rPr>
                <w:webHidden/>
              </w:rPr>
              <w:fldChar w:fldCharType="separate"/>
            </w:r>
            <w:r>
              <w:rPr>
                <w:webHidden/>
              </w:rPr>
              <w:t>200</w:t>
            </w:r>
            <w:r w:rsidR="006D7143">
              <w:rPr>
                <w:webHidden/>
              </w:rPr>
              <w:fldChar w:fldCharType="end"/>
            </w:r>
          </w:hyperlink>
        </w:p>
        <w:p w14:paraId="602178F1" w14:textId="6B681899" w:rsidR="006D7143" w:rsidRDefault="00CC09A6">
          <w:pPr>
            <w:pStyle w:val="TOC2"/>
            <w:rPr>
              <w:rFonts w:asciiTheme="minorHAnsi" w:eastAsiaTheme="minorEastAsia" w:hAnsiTheme="minorHAnsi" w:cstheme="minorBidi"/>
              <w:sz w:val="22"/>
              <w:szCs w:val="22"/>
              <w:lang w:val="en-GB" w:eastAsia="en-GB" w:bidi="ar-SA"/>
            </w:rPr>
          </w:pPr>
          <w:hyperlink w:anchor="_Toc2861012" w:history="1">
            <w:r w:rsidR="006D7143" w:rsidRPr="006B072F">
              <w:rPr>
                <w:rStyle w:val="Hyperlink"/>
              </w:rPr>
              <w:t>7.3 Vérifications</w:t>
            </w:r>
            <w:r w:rsidR="006D7143">
              <w:rPr>
                <w:webHidden/>
              </w:rPr>
              <w:tab/>
            </w:r>
            <w:r w:rsidR="006D7143">
              <w:rPr>
                <w:webHidden/>
              </w:rPr>
              <w:fldChar w:fldCharType="begin"/>
            </w:r>
            <w:r w:rsidR="006D7143">
              <w:rPr>
                <w:webHidden/>
              </w:rPr>
              <w:instrText xml:space="preserve"> PAGEREF _Toc2861012 \h </w:instrText>
            </w:r>
            <w:r w:rsidR="006D7143">
              <w:rPr>
                <w:webHidden/>
              </w:rPr>
            </w:r>
            <w:r w:rsidR="006D7143">
              <w:rPr>
                <w:webHidden/>
              </w:rPr>
              <w:fldChar w:fldCharType="separate"/>
            </w:r>
            <w:r>
              <w:rPr>
                <w:webHidden/>
              </w:rPr>
              <w:t>201</w:t>
            </w:r>
            <w:r w:rsidR="006D7143">
              <w:rPr>
                <w:webHidden/>
              </w:rPr>
              <w:fldChar w:fldCharType="end"/>
            </w:r>
          </w:hyperlink>
        </w:p>
        <w:p w14:paraId="7F2999CD" w14:textId="5F5AE9E9" w:rsidR="006D7143" w:rsidRDefault="00CC09A6">
          <w:pPr>
            <w:pStyle w:val="TOC1"/>
            <w:rPr>
              <w:rFonts w:asciiTheme="minorHAnsi" w:eastAsiaTheme="minorEastAsia" w:hAnsiTheme="minorHAnsi" w:cstheme="minorBidi"/>
              <w:b w:val="0"/>
              <w:bCs w:val="0"/>
              <w:caps w:val="0"/>
              <w:sz w:val="22"/>
              <w:szCs w:val="22"/>
              <w:lang w:val="en-GB" w:eastAsia="en-GB" w:bidi="ar-SA"/>
            </w:rPr>
          </w:pPr>
          <w:hyperlink w:anchor="_Toc2861013" w:history="1">
            <w:r w:rsidR="006D7143" w:rsidRPr="006B072F">
              <w:rPr>
                <w:rStyle w:val="Hyperlink"/>
              </w:rPr>
              <w:t>Section 8: les procédures spécifiques au jumelage léger</w:t>
            </w:r>
            <w:r w:rsidR="006D7143">
              <w:rPr>
                <w:webHidden/>
              </w:rPr>
              <w:tab/>
            </w:r>
            <w:r w:rsidR="006D7143">
              <w:rPr>
                <w:webHidden/>
              </w:rPr>
              <w:fldChar w:fldCharType="begin"/>
            </w:r>
            <w:r w:rsidR="006D7143">
              <w:rPr>
                <w:webHidden/>
              </w:rPr>
              <w:instrText xml:space="preserve"> PAGEREF _Toc2861013 \h </w:instrText>
            </w:r>
            <w:r w:rsidR="006D7143">
              <w:rPr>
                <w:webHidden/>
              </w:rPr>
            </w:r>
            <w:r w:rsidR="006D7143">
              <w:rPr>
                <w:webHidden/>
              </w:rPr>
              <w:fldChar w:fldCharType="separate"/>
            </w:r>
            <w:r>
              <w:rPr>
                <w:webHidden/>
              </w:rPr>
              <w:t>203</w:t>
            </w:r>
            <w:r w:rsidR="006D7143">
              <w:rPr>
                <w:webHidden/>
              </w:rPr>
              <w:fldChar w:fldCharType="end"/>
            </w:r>
          </w:hyperlink>
        </w:p>
        <w:p w14:paraId="79FE4F05" w14:textId="683F1177" w:rsidR="006D7143" w:rsidRDefault="00CC09A6">
          <w:pPr>
            <w:pStyle w:val="TOC2"/>
            <w:rPr>
              <w:rFonts w:asciiTheme="minorHAnsi" w:eastAsiaTheme="minorEastAsia" w:hAnsiTheme="minorHAnsi" w:cstheme="minorBidi"/>
              <w:sz w:val="22"/>
              <w:szCs w:val="22"/>
              <w:lang w:val="en-GB" w:eastAsia="en-GB" w:bidi="ar-SA"/>
            </w:rPr>
          </w:pPr>
          <w:hyperlink w:anchor="_Toc2861014" w:history="1">
            <w:r w:rsidR="006D7143" w:rsidRPr="006B072F">
              <w:rPr>
                <w:rStyle w:val="Hyperlink"/>
              </w:rPr>
              <w:t>8.1 Définition du jumelage léger</w:t>
            </w:r>
            <w:r w:rsidR="006D7143">
              <w:rPr>
                <w:webHidden/>
              </w:rPr>
              <w:tab/>
            </w:r>
            <w:r w:rsidR="006D7143">
              <w:rPr>
                <w:webHidden/>
              </w:rPr>
              <w:fldChar w:fldCharType="begin"/>
            </w:r>
            <w:r w:rsidR="006D7143">
              <w:rPr>
                <w:webHidden/>
              </w:rPr>
              <w:instrText xml:space="preserve"> PAGEREF _Toc2861014 \h </w:instrText>
            </w:r>
            <w:r w:rsidR="006D7143">
              <w:rPr>
                <w:webHidden/>
              </w:rPr>
            </w:r>
            <w:r w:rsidR="006D7143">
              <w:rPr>
                <w:webHidden/>
              </w:rPr>
              <w:fldChar w:fldCharType="separate"/>
            </w:r>
            <w:r>
              <w:rPr>
                <w:webHidden/>
              </w:rPr>
              <w:t>203</w:t>
            </w:r>
            <w:r w:rsidR="006D7143">
              <w:rPr>
                <w:webHidden/>
              </w:rPr>
              <w:fldChar w:fldCharType="end"/>
            </w:r>
          </w:hyperlink>
        </w:p>
        <w:p w14:paraId="2C2A7545" w14:textId="1C4BC430" w:rsidR="006D7143" w:rsidRDefault="00CC09A6">
          <w:pPr>
            <w:pStyle w:val="TOC2"/>
            <w:rPr>
              <w:rFonts w:asciiTheme="minorHAnsi" w:eastAsiaTheme="minorEastAsia" w:hAnsiTheme="minorHAnsi" w:cstheme="minorBidi"/>
              <w:sz w:val="22"/>
              <w:szCs w:val="22"/>
              <w:lang w:val="en-GB" w:eastAsia="en-GB" w:bidi="ar-SA"/>
            </w:rPr>
          </w:pPr>
          <w:hyperlink w:anchor="_Toc2861015" w:history="1">
            <w:r w:rsidR="006D7143" w:rsidRPr="006B072F">
              <w:rPr>
                <w:rStyle w:val="Hyperlink"/>
              </w:rPr>
              <w:t>8.2 La fiche de projet de jumelage léger</w:t>
            </w:r>
            <w:r w:rsidR="006D7143">
              <w:rPr>
                <w:webHidden/>
              </w:rPr>
              <w:tab/>
            </w:r>
            <w:r w:rsidR="006D7143">
              <w:rPr>
                <w:webHidden/>
              </w:rPr>
              <w:fldChar w:fldCharType="begin"/>
            </w:r>
            <w:r w:rsidR="006D7143">
              <w:rPr>
                <w:webHidden/>
              </w:rPr>
              <w:instrText xml:space="preserve"> PAGEREF _Toc2861015 \h </w:instrText>
            </w:r>
            <w:r w:rsidR="006D7143">
              <w:rPr>
                <w:webHidden/>
              </w:rPr>
            </w:r>
            <w:r w:rsidR="006D7143">
              <w:rPr>
                <w:webHidden/>
              </w:rPr>
              <w:fldChar w:fldCharType="separate"/>
            </w:r>
            <w:r>
              <w:rPr>
                <w:webHidden/>
              </w:rPr>
              <w:t>203</w:t>
            </w:r>
            <w:r w:rsidR="006D7143">
              <w:rPr>
                <w:webHidden/>
              </w:rPr>
              <w:fldChar w:fldCharType="end"/>
            </w:r>
          </w:hyperlink>
        </w:p>
        <w:p w14:paraId="73E194AE" w14:textId="486FBACF" w:rsidR="006D7143" w:rsidRDefault="00CC09A6">
          <w:pPr>
            <w:pStyle w:val="TOC2"/>
            <w:rPr>
              <w:rFonts w:asciiTheme="minorHAnsi" w:eastAsiaTheme="minorEastAsia" w:hAnsiTheme="minorHAnsi" w:cstheme="minorBidi"/>
              <w:sz w:val="22"/>
              <w:szCs w:val="22"/>
              <w:lang w:val="en-GB" w:eastAsia="en-GB" w:bidi="ar-SA"/>
            </w:rPr>
          </w:pPr>
          <w:hyperlink w:anchor="_Toc2861016" w:history="1">
            <w:r w:rsidR="006D7143" w:rsidRPr="006B072F">
              <w:rPr>
                <w:rStyle w:val="Hyperlink"/>
              </w:rPr>
              <w:t>8.3 Propositions des États membres et sélection de l’État membre</w:t>
            </w:r>
            <w:r w:rsidR="006D7143">
              <w:rPr>
                <w:webHidden/>
              </w:rPr>
              <w:tab/>
            </w:r>
            <w:r w:rsidR="006D7143">
              <w:rPr>
                <w:webHidden/>
              </w:rPr>
              <w:fldChar w:fldCharType="begin"/>
            </w:r>
            <w:r w:rsidR="006D7143">
              <w:rPr>
                <w:webHidden/>
              </w:rPr>
              <w:instrText xml:space="preserve"> PAGEREF _Toc2861016 \h </w:instrText>
            </w:r>
            <w:r w:rsidR="006D7143">
              <w:rPr>
                <w:webHidden/>
              </w:rPr>
            </w:r>
            <w:r w:rsidR="006D7143">
              <w:rPr>
                <w:webHidden/>
              </w:rPr>
              <w:fldChar w:fldCharType="separate"/>
            </w:r>
            <w:r>
              <w:rPr>
                <w:webHidden/>
              </w:rPr>
              <w:t>204</w:t>
            </w:r>
            <w:r w:rsidR="006D7143">
              <w:rPr>
                <w:webHidden/>
              </w:rPr>
              <w:fldChar w:fldCharType="end"/>
            </w:r>
          </w:hyperlink>
        </w:p>
        <w:p w14:paraId="3011D564" w14:textId="1FB037F8" w:rsidR="006D7143" w:rsidRDefault="00CC09A6">
          <w:pPr>
            <w:pStyle w:val="TOC3"/>
            <w:rPr>
              <w:rFonts w:asciiTheme="minorHAnsi" w:eastAsiaTheme="minorEastAsia" w:hAnsiTheme="minorHAnsi" w:cstheme="minorBidi"/>
              <w:sz w:val="22"/>
              <w:szCs w:val="22"/>
              <w:lang w:val="en-GB" w:eastAsia="en-GB" w:bidi="ar-SA"/>
            </w:rPr>
          </w:pPr>
          <w:hyperlink w:anchor="_Toc2861017" w:history="1">
            <w:r w:rsidR="006D7143" w:rsidRPr="006B072F">
              <w:rPr>
                <w:rStyle w:val="Hyperlink"/>
              </w:rPr>
              <w:t>8.3.1 Propositions des États membres</w:t>
            </w:r>
            <w:r w:rsidR="006D7143">
              <w:rPr>
                <w:webHidden/>
              </w:rPr>
              <w:tab/>
            </w:r>
            <w:r w:rsidR="006D7143">
              <w:rPr>
                <w:webHidden/>
              </w:rPr>
              <w:fldChar w:fldCharType="begin"/>
            </w:r>
            <w:r w:rsidR="006D7143">
              <w:rPr>
                <w:webHidden/>
              </w:rPr>
              <w:instrText xml:space="preserve"> PAGEREF _Toc2861017 \h </w:instrText>
            </w:r>
            <w:r w:rsidR="006D7143">
              <w:rPr>
                <w:webHidden/>
              </w:rPr>
            </w:r>
            <w:r w:rsidR="006D7143">
              <w:rPr>
                <w:webHidden/>
              </w:rPr>
              <w:fldChar w:fldCharType="separate"/>
            </w:r>
            <w:r>
              <w:rPr>
                <w:webHidden/>
              </w:rPr>
              <w:t>204</w:t>
            </w:r>
            <w:r w:rsidR="006D7143">
              <w:rPr>
                <w:webHidden/>
              </w:rPr>
              <w:fldChar w:fldCharType="end"/>
            </w:r>
          </w:hyperlink>
        </w:p>
        <w:p w14:paraId="373432AC" w14:textId="6A2EA63B" w:rsidR="006D7143" w:rsidRDefault="00CC09A6">
          <w:pPr>
            <w:pStyle w:val="TOC3"/>
            <w:rPr>
              <w:rFonts w:asciiTheme="minorHAnsi" w:eastAsiaTheme="minorEastAsia" w:hAnsiTheme="minorHAnsi" w:cstheme="minorBidi"/>
              <w:sz w:val="22"/>
              <w:szCs w:val="22"/>
              <w:lang w:val="en-GB" w:eastAsia="en-GB" w:bidi="ar-SA"/>
            </w:rPr>
          </w:pPr>
          <w:hyperlink w:anchor="_Toc2861018" w:history="1">
            <w:r w:rsidR="006D7143" w:rsidRPr="006B072F">
              <w:rPr>
                <w:rStyle w:val="Hyperlink"/>
              </w:rPr>
              <w:t>8.3.2 Procédure de sélection</w:t>
            </w:r>
            <w:r w:rsidR="006D7143">
              <w:rPr>
                <w:webHidden/>
              </w:rPr>
              <w:tab/>
            </w:r>
            <w:r w:rsidR="006D7143">
              <w:rPr>
                <w:webHidden/>
              </w:rPr>
              <w:fldChar w:fldCharType="begin"/>
            </w:r>
            <w:r w:rsidR="006D7143">
              <w:rPr>
                <w:webHidden/>
              </w:rPr>
              <w:instrText xml:space="preserve"> PAGEREF _Toc2861018 \h </w:instrText>
            </w:r>
            <w:r w:rsidR="006D7143">
              <w:rPr>
                <w:webHidden/>
              </w:rPr>
            </w:r>
            <w:r w:rsidR="006D7143">
              <w:rPr>
                <w:webHidden/>
              </w:rPr>
              <w:fldChar w:fldCharType="separate"/>
            </w:r>
            <w:r>
              <w:rPr>
                <w:webHidden/>
              </w:rPr>
              <w:t>204</w:t>
            </w:r>
            <w:r w:rsidR="006D7143">
              <w:rPr>
                <w:webHidden/>
              </w:rPr>
              <w:fldChar w:fldCharType="end"/>
            </w:r>
          </w:hyperlink>
        </w:p>
        <w:p w14:paraId="6888C60D" w14:textId="5666AFD4" w:rsidR="006D7143" w:rsidRDefault="00CC09A6">
          <w:pPr>
            <w:pStyle w:val="TOC2"/>
            <w:rPr>
              <w:rFonts w:asciiTheme="minorHAnsi" w:eastAsiaTheme="minorEastAsia" w:hAnsiTheme="minorHAnsi" w:cstheme="minorBidi"/>
              <w:sz w:val="22"/>
              <w:szCs w:val="22"/>
              <w:lang w:val="en-GB" w:eastAsia="en-GB" w:bidi="ar-SA"/>
            </w:rPr>
          </w:pPr>
          <w:hyperlink w:anchor="_Toc2861019" w:history="1">
            <w:r w:rsidR="006D7143" w:rsidRPr="006B072F">
              <w:rPr>
                <w:rStyle w:val="Hyperlink"/>
              </w:rPr>
              <w:t>8.4 Contrat et mise en œuvre</w:t>
            </w:r>
            <w:r w:rsidR="006D7143">
              <w:rPr>
                <w:webHidden/>
              </w:rPr>
              <w:tab/>
            </w:r>
            <w:r w:rsidR="006D7143">
              <w:rPr>
                <w:webHidden/>
              </w:rPr>
              <w:fldChar w:fldCharType="begin"/>
            </w:r>
            <w:r w:rsidR="006D7143">
              <w:rPr>
                <w:webHidden/>
              </w:rPr>
              <w:instrText xml:space="preserve"> PAGEREF _Toc2861019 \h </w:instrText>
            </w:r>
            <w:r w:rsidR="006D7143">
              <w:rPr>
                <w:webHidden/>
              </w:rPr>
            </w:r>
            <w:r w:rsidR="006D7143">
              <w:rPr>
                <w:webHidden/>
              </w:rPr>
              <w:fldChar w:fldCharType="separate"/>
            </w:r>
            <w:r>
              <w:rPr>
                <w:webHidden/>
              </w:rPr>
              <w:t>205</w:t>
            </w:r>
            <w:r w:rsidR="006D7143">
              <w:rPr>
                <w:webHidden/>
              </w:rPr>
              <w:fldChar w:fldCharType="end"/>
            </w:r>
          </w:hyperlink>
        </w:p>
        <w:p w14:paraId="6222CB32" w14:textId="53A8EDB3" w:rsidR="006D7143" w:rsidRDefault="00CC09A6">
          <w:pPr>
            <w:pStyle w:val="TOC2"/>
            <w:rPr>
              <w:rFonts w:asciiTheme="minorHAnsi" w:eastAsiaTheme="minorEastAsia" w:hAnsiTheme="minorHAnsi" w:cstheme="minorBidi"/>
              <w:sz w:val="22"/>
              <w:szCs w:val="22"/>
              <w:lang w:val="en-GB" w:eastAsia="en-GB" w:bidi="ar-SA"/>
            </w:rPr>
          </w:pPr>
          <w:hyperlink w:anchor="_Toc2861020" w:history="1">
            <w:r w:rsidR="006D7143" w:rsidRPr="006B072F">
              <w:rPr>
                <w:rStyle w:val="Hyperlink"/>
              </w:rPr>
              <w:t>8.5 Établissement de rapports et paiements</w:t>
            </w:r>
            <w:r w:rsidR="006D7143">
              <w:rPr>
                <w:webHidden/>
              </w:rPr>
              <w:tab/>
            </w:r>
            <w:r w:rsidR="006D7143">
              <w:rPr>
                <w:webHidden/>
              </w:rPr>
              <w:fldChar w:fldCharType="begin"/>
            </w:r>
            <w:r w:rsidR="006D7143">
              <w:rPr>
                <w:webHidden/>
              </w:rPr>
              <w:instrText xml:space="preserve"> PAGEREF _Toc2861020 \h </w:instrText>
            </w:r>
            <w:r w:rsidR="006D7143">
              <w:rPr>
                <w:webHidden/>
              </w:rPr>
            </w:r>
            <w:r w:rsidR="006D7143">
              <w:rPr>
                <w:webHidden/>
              </w:rPr>
              <w:fldChar w:fldCharType="separate"/>
            </w:r>
            <w:r>
              <w:rPr>
                <w:webHidden/>
              </w:rPr>
              <w:t>205</w:t>
            </w:r>
            <w:r w:rsidR="006D7143">
              <w:rPr>
                <w:webHidden/>
              </w:rPr>
              <w:fldChar w:fldCharType="end"/>
            </w:r>
          </w:hyperlink>
        </w:p>
        <w:p w14:paraId="6BDA1B46" w14:textId="177DF305" w:rsidR="006D7143" w:rsidRDefault="00CC09A6">
          <w:pPr>
            <w:pStyle w:val="TOC2"/>
            <w:rPr>
              <w:rFonts w:asciiTheme="minorHAnsi" w:eastAsiaTheme="minorEastAsia" w:hAnsiTheme="minorHAnsi" w:cstheme="minorBidi"/>
              <w:sz w:val="22"/>
              <w:szCs w:val="22"/>
              <w:lang w:val="en-GB" w:eastAsia="en-GB" w:bidi="ar-SA"/>
            </w:rPr>
          </w:pPr>
          <w:hyperlink w:anchor="_Toc2861021" w:history="1">
            <w:r w:rsidR="006D7143" w:rsidRPr="006B072F">
              <w:rPr>
                <w:rStyle w:val="Hyperlink"/>
              </w:rPr>
              <w:t>8.6 Modification du plan de travail du jumelage léger</w:t>
            </w:r>
            <w:r w:rsidR="006D7143">
              <w:rPr>
                <w:webHidden/>
              </w:rPr>
              <w:tab/>
            </w:r>
            <w:r w:rsidR="006D7143">
              <w:rPr>
                <w:webHidden/>
              </w:rPr>
              <w:fldChar w:fldCharType="begin"/>
            </w:r>
            <w:r w:rsidR="006D7143">
              <w:rPr>
                <w:webHidden/>
              </w:rPr>
              <w:instrText xml:space="preserve"> PAGEREF _Toc2861021 \h </w:instrText>
            </w:r>
            <w:r w:rsidR="006D7143">
              <w:rPr>
                <w:webHidden/>
              </w:rPr>
            </w:r>
            <w:r w:rsidR="006D7143">
              <w:rPr>
                <w:webHidden/>
              </w:rPr>
              <w:fldChar w:fldCharType="separate"/>
            </w:r>
            <w:r>
              <w:rPr>
                <w:webHidden/>
              </w:rPr>
              <w:t>206</w:t>
            </w:r>
            <w:r w:rsidR="006D7143">
              <w:rPr>
                <w:webHidden/>
              </w:rPr>
              <w:fldChar w:fldCharType="end"/>
            </w:r>
          </w:hyperlink>
        </w:p>
        <w:p w14:paraId="29552BAA" w14:textId="2A0CB8C6" w:rsidR="006D7143" w:rsidRDefault="00CC09A6">
          <w:pPr>
            <w:pStyle w:val="TOC1"/>
            <w:rPr>
              <w:rFonts w:asciiTheme="minorHAnsi" w:eastAsiaTheme="minorEastAsia" w:hAnsiTheme="minorHAnsi" w:cstheme="minorBidi"/>
              <w:b w:val="0"/>
              <w:bCs w:val="0"/>
              <w:caps w:val="0"/>
              <w:sz w:val="22"/>
              <w:szCs w:val="22"/>
              <w:lang w:val="en-GB" w:eastAsia="en-GB" w:bidi="ar-SA"/>
            </w:rPr>
          </w:pPr>
          <w:hyperlink w:anchor="_Toc2861022" w:history="1">
            <w:r w:rsidR="006D7143" w:rsidRPr="006B072F">
              <w:rPr>
                <w:rStyle w:val="Hyperlink"/>
              </w:rPr>
              <w:t>ANNEXES A: Annexes au contrat de subvention de jumelage</w:t>
            </w:r>
            <w:r w:rsidR="006D7143">
              <w:rPr>
                <w:webHidden/>
              </w:rPr>
              <w:tab/>
            </w:r>
            <w:r w:rsidR="006D7143">
              <w:rPr>
                <w:webHidden/>
              </w:rPr>
              <w:fldChar w:fldCharType="begin"/>
            </w:r>
            <w:r w:rsidR="006D7143">
              <w:rPr>
                <w:webHidden/>
              </w:rPr>
              <w:instrText xml:space="preserve"> PAGEREF _Toc2861022 \h </w:instrText>
            </w:r>
            <w:r w:rsidR="006D7143">
              <w:rPr>
                <w:webHidden/>
              </w:rPr>
            </w:r>
            <w:r w:rsidR="006D7143">
              <w:rPr>
                <w:webHidden/>
              </w:rPr>
              <w:fldChar w:fldCharType="separate"/>
            </w:r>
            <w:r>
              <w:rPr>
                <w:webHidden/>
              </w:rPr>
              <w:t>207</w:t>
            </w:r>
            <w:r w:rsidR="006D7143">
              <w:rPr>
                <w:webHidden/>
              </w:rPr>
              <w:fldChar w:fldCharType="end"/>
            </w:r>
          </w:hyperlink>
        </w:p>
        <w:p w14:paraId="4378ED80" w14:textId="74B433D6" w:rsidR="006D7143" w:rsidRDefault="00CC09A6">
          <w:pPr>
            <w:pStyle w:val="TOC2"/>
            <w:rPr>
              <w:rFonts w:asciiTheme="minorHAnsi" w:eastAsiaTheme="minorEastAsia" w:hAnsiTheme="minorHAnsi" w:cstheme="minorBidi"/>
              <w:sz w:val="22"/>
              <w:szCs w:val="22"/>
              <w:lang w:val="en-GB" w:eastAsia="en-GB" w:bidi="ar-SA"/>
            </w:rPr>
          </w:pPr>
          <w:hyperlink w:anchor="_Toc2861023" w:history="1">
            <w:r w:rsidR="006D7143" w:rsidRPr="006B072F">
              <w:rPr>
                <w:rStyle w:val="Hyperlink"/>
              </w:rPr>
              <w:t>ANNEXE A: Contrat de subvention de jumelage - Conditions particulières</w:t>
            </w:r>
            <w:r w:rsidR="006D7143">
              <w:rPr>
                <w:webHidden/>
              </w:rPr>
              <w:tab/>
            </w:r>
            <w:r w:rsidR="006D7143">
              <w:rPr>
                <w:webHidden/>
              </w:rPr>
              <w:fldChar w:fldCharType="begin"/>
            </w:r>
            <w:r w:rsidR="006D7143">
              <w:rPr>
                <w:webHidden/>
              </w:rPr>
              <w:instrText xml:space="preserve"> PAGEREF _Toc2861023 \h </w:instrText>
            </w:r>
            <w:r w:rsidR="006D7143">
              <w:rPr>
                <w:webHidden/>
              </w:rPr>
            </w:r>
            <w:r w:rsidR="006D7143">
              <w:rPr>
                <w:webHidden/>
              </w:rPr>
              <w:fldChar w:fldCharType="separate"/>
            </w:r>
            <w:r>
              <w:rPr>
                <w:webHidden/>
              </w:rPr>
              <w:t>208</w:t>
            </w:r>
            <w:r w:rsidR="006D7143">
              <w:rPr>
                <w:webHidden/>
              </w:rPr>
              <w:fldChar w:fldCharType="end"/>
            </w:r>
          </w:hyperlink>
        </w:p>
        <w:p w14:paraId="113C320D" w14:textId="625BF7B1" w:rsidR="006D7143" w:rsidRDefault="00CC09A6">
          <w:pPr>
            <w:pStyle w:val="TOC2"/>
            <w:rPr>
              <w:rFonts w:asciiTheme="minorHAnsi" w:eastAsiaTheme="minorEastAsia" w:hAnsiTheme="minorHAnsi" w:cstheme="minorBidi"/>
              <w:sz w:val="22"/>
              <w:szCs w:val="22"/>
              <w:lang w:val="en-GB" w:eastAsia="en-GB" w:bidi="ar-SA"/>
            </w:rPr>
          </w:pPr>
          <w:hyperlink w:anchor="_Toc2861024" w:history="1">
            <w:r w:rsidR="006D7143" w:rsidRPr="006B072F">
              <w:rPr>
                <w:rStyle w:val="Hyperlink"/>
              </w:rPr>
              <w:t>ANNEXE A1: Description de l’action</w:t>
            </w:r>
            <w:r w:rsidR="006D7143">
              <w:rPr>
                <w:webHidden/>
              </w:rPr>
              <w:tab/>
            </w:r>
            <w:r w:rsidR="006D7143">
              <w:rPr>
                <w:webHidden/>
              </w:rPr>
              <w:fldChar w:fldCharType="begin"/>
            </w:r>
            <w:r w:rsidR="006D7143">
              <w:rPr>
                <w:webHidden/>
              </w:rPr>
              <w:instrText xml:space="preserve"> PAGEREF _Toc2861024 \h </w:instrText>
            </w:r>
            <w:r w:rsidR="006D7143">
              <w:rPr>
                <w:webHidden/>
              </w:rPr>
            </w:r>
            <w:r w:rsidR="006D7143">
              <w:rPr>
                <w:webHidden/>
              </w:rPr>
              <w:fldChar w:fldCharType="separate"/>
            </w:r>
            <w:r>
              <w:rPr>
                <w:webHidden/>
              </w:rPr>
              <w:t>216</w:t>
            </w:r>
            <w:r w:rsidR="006D7143">
              <w:rPr>
                <w:webHidden/>
              </w:rPr>
              <w:fldChar w:fldCharType="end"/>
            </w:r>
          </w:hyperlink>
        </w:p>
        <w:p w14:paraId="4D58DB70" w14:textId="3CC4FC7F" w:rsidR="006D7143" w:rsidRDefault="00CC09A6">
          <w:pPr>
            <w:pStyle w:val="TOC2"/>
            <w:rPr>
              <w:rFonts w:asciiTheme="minorHAnsi" w:eastAsiaTheme="minorEastAsia" w:hAnsiTheme="minorHAnsi" w:cstheme="minorBidi"/>
              <w:sz w:val="22"/>
              <w:szCs w:val="22"/>
              <w:lang w:val="en-GB" w:eastAsia="en-GB" w:bidi="ar-SA"/>
            </w:rPr>
          </w:pPr>
          <w:hyperlink w:anchor="_Toc2861025" w:history="1">
            <w:r w:rsidR="006D7143" w:rsidRPr="006B072F">
              <w:rPr>
                <w:rStyle w:val="Hyperlink"/>
              </w:rPr>
              <w:t>ANNEXE A2: Conditions générales applicables aux contrats de subvention conclus dans le cadre des actions extérieures de l’Union européenne</w:t>
            </w:r>
            <w:r w:rsidR="006D7143">
              <w:rPr>
                <w:webHidden/>
              </w:rPr>
              <w:tab/>
            </w:r>
            <w:r w:rsidR="006D7143">
              <w:rPr>
                <w:webHidden/>
              </w:rPr>
              <w:fldChar w:fldCharType="begin"/>
            </w:r>
            <w:r w:rsidR="006D7143">
              <w:rPr>
                <w:webHidden/>
              </w:rPr>
              <w:instrText xml:space="preserve"> PAGEREF _Toc2861025 \h </w:instrText>
            </w:r>
            <w:r w:rsidR="006D7143">
              <w:rPr>
                <w:webHidden/>
              </w:rPr>
            </w:r>
            <w:r w:rsidR="006D7143">
              <w:rPr>
                <w:webHidden/>
              </w:rPr>
              <w:fldChar w:fldCharType="separate"/>
            </w:r>
            <w:r>
              <w:rPr>
                <w:webHidden/>
              </w:rPr>
              <w:t>217</w:t>
            </w:r>
            <w:r w:rsidR="006D7143">
              <w:rPr>
                <w:webHidden/>
              </w:rPr>
              <w:fldChar w:fldCharType="end"/>
            </w:r>
          </w:hyperlink>
        </w:p>
        <w:p w14:paraId="64E732CC" w14:textId="584AB3DB" w:rsidR="006D7143" w:rsidRDefault="00CC09A6">
          <w:pPr>
            <w:pStyle w:val="TOC2"/>
            <w:rPr>
              <w:rFonts w:asciiTheme="minorHAnsi" w:eastAsiaTheme="minorEastAsia" w:hAnsiTheme="minorHAnsi" w:cstheme="minorBidi"/>
              <w:sz w:val="22"/>
              <w:szCs w:val="22"/>
              <w:lang w:val="en-GB" w:eastAsia="en-GB" w:bidi="ar-SA"/>
            </w:rPr>
          </w:pPr>
          <w:hyperlink w:anchor="_Toc2861026" w:history="1">
            <w:r w:rsidR="006D7143" w:rsidRPr="006B072F">
              <w:rPr>
                <w:rStyle w:val="Hyperlink"/>
              </w:rPr>
              <w:t>ANNEXE A3: Budget de l’action</w:t>
            </w:r>
            <w:r w:rsidR="006D7143">
              <w:rPr>
                <w:webHidden/>
              </w:rPr>
              <w:tab/>
            </w:r>
            <w:r w:rsidR="006D7143">
              <w:rPr>
                <w:webHidden/>
              </w:rPr>
              <w:fldChar w:fldCharType="begin"/>
            </w:r>
            <w:r w:rsidR="006D7143">
              <w:rPr>
                <w:webHidden/>
              </w:rPr>
              <w:instrText xml:space="preserve"> PAGEREF _Toc2861026 \h </w:instrText>
            </w:r>
            <w:r w:rsidR="006D7143">
              <w:rPr>
                <w:webHidden/>
              </w:rPr>
            </w:r>
            <w:r w:rsidR="006D7143">
              <w:rPr>
                <w:webHidden/>
              </w:rPr>
              <w:fldChar w:fldCharType="separate"/>
            </w:r>
            <w:r>
              <w:rPr>
                <w:webHidden/>
              </w:rPr>
              <w:t>251</w:t>
            </w:r>
            <w:r w:rsidR="006D7143">
              <w:rPr>
                <w:webHidden/>
              </w:rPr>
              <w:fldChar w:fldCharType="end"/>
            </w:r>
          </w:hyperlink>
        </w:p>
        <w:p w14:paraId="5A28510E" w14:textId="494734B1" w:rsidR="006D7143" w:rsidRPr="00E668DA" w:rsidRDefault="00CC09A6">
          <w:pPr>
            <w:pStyle w:val="TOC2"/>
            <w:rPr>
              <w:rFonts w:asciiTheme="minorHAnsi" w:eastAsiaTheme="minorEastAsia" w:hAnsiTheme="minorHAnsi" w:cstheme="minorBidi"/>
              <w:b/>
              <w:bCs/>
              <w:caps/>
              <w:sz w:val="22"/>
              <w:szCs w:val="22"/>
              <w:lang w:val="en-GB" w:eastAsia="en-GB" w:bidi="ar-SA"/>
            </w:rPr>
          </w:pPr>
          <w:hyperlink w:anchor="_Toc2861027" w:history="1">
            <w:r w:rsidR="006D7143" w:rsidRPr="006B072F">
              <w:rPr>
                <w:rStyle w:val="Hyperlink"/>
              </w:rPr>
              <w:t>ANNEXE A4: Passation de marchés par les bénéficiaires de subventions</w:t>
            </w:r>
            <w:r w:rsidR="006D7143">
              <w:rPr>
                <w:webHidden/>
              </w:rPr>
              <w:tab/>
            </w:r>
            <w:r w:rsidR="006D7143">
              <w:rPr>
                <w:webHidden/>
              </w:rPr>
              <w:fldChar w:fldCharType="begin"/>
            </w:r>
            <w:r w:rsidR="006D7143">
              <w:rPr>
                <w:webHidden/>
              </w:rPr>
              <w:instrText xml:space="preserve"> PAGEREF _Toc2861027 \h </w:instrText>
            </w:r>
            <w:r w:rsidR="006D7143">
              <w:rPr>
                <w:webHidden/>
              </w:rPr>
            </w:r>
            <w:r w:rsidR="006D7143">
              <w:rPr>
                <w:webHidden/>
              </w:rPr>
              <w:fldChar w:fldCharType="separate"/>
            </w:r>
            <w:r>
              <w:rPr>
                <w:webHidden/>
              </w:rPr>
              <w:t>255</w:t>
            </w:r>
            <w:r w:rsidR="006D7143">
              <w:rPr>
                <w:webHidden/>
              </w:rPr>
              <w:fldChar w:fldCharType="end"/>
            </w:r>
          </w:hyperlink>
        </w:p>
        <w:p w14:paraId="57BA622C" w14:textId="350340BD" w:rsidR="006D7143" w:rsidRDefault="00CC09A6">
          <w:pPr>
            <w:pStyle w:val="TOC2"/>
            <w:rPr>
              <w:rFonts w:asciiTheme="minorHAnsi" w:eastAsiaTheme="minorEastAsia" w:hAnsiTheme="minorHAnsi" w:cstheme="minorBidi"/>
              <w:sz w:val="22"/>
              <w:szCs w:val="22"/>
              <w:lang w:val="en-GB" w:eastAsia="en-GB" w:bidi="ar-SA"/>
            </w:rPr>
          </w:pPr>
          <w:hyperlink w:anchor="_Toc2861033" w:history="1">
            <w:r w:rsidR="006D7143" w:rsidRPr="006B072F">
              <w:rPr>
                <w:rStyle w:val="Hyperlink"/>
              </w:rPr>
              <w:t>ANNEXE A5: Demande de paiement pour le contrat de subvention de jumelage, y compris le signalétique financier et la fiche «signalétique entité légale»</w:t>
            </w:r>
            <w:r w:rsidR="006D7143">
              <w:rPr>
                <w:webHidden/>
              </w:rPr>
              <w:tab/>
            </w:r>
            <w:r w:rsidR="006D7143">
              <w:rPr>
                <w:webHidden/>
              </w:rPr>
              <w:fldChar w:fldCharType="begin"/>
            </w:r>
            <w:r w:rsidR="006D7143">
              <w:rPr>
                <w:webHidden/>
              </w:rPr>
              <w:instrText xml:space="preserve"> PAGEREF _Toc2861033 \h </w:instrText>
            </w:r>
            <w:r w:rsidR="006D7143">
              <w:rPr>
                <w:webHidden/>
              </w:rPr>
            </w:r>
            <w:r w:rsidR="006D7143">
              <w:rPr>
                <w:webHidden/>
              </w:rPr>
              <w:fldChar w:fldCharType="separate"/>
            </w:r>
            <w:r>
              <w:rPr>
                <w:webHidden/>
              </w:rPr>
              <w:t>257</w:t>
            </w:r>
            <w:r w:rsidR="006D7143">
              <w:rPr>
                <w:webHidden/>
              </w:rPr>
              <w:fldChar w:fldCharType="end"/>
            </w:r>
          </w:hyperlink>
        </w:p>
        <w:p w14:paraId="245514E4" w14:textId="571A6DD5" w:rsidR="006D7143" w:rsidRDefault="00CC09A6">
          <w:pPr>
            <w:pStyle w:val="TOC2"/>
            <w:rPr>
              <w:rFonts w:asciiTheme="minorHAnsi" w:eastAsiaTheme="minorEastAsia" w:hAnsiTheme="minorHAnsi" w:cstheme="minorBidi"/>
              <w:sz w:val="22"/>
              <w:szCs w:val="22"/>
              <w:lang w:val="en-GB" w:eastAsia="en-GB" w:bidi="ar-SA"/>
            </w:rPr>
          </w:pPr>
          <w:hyperlink w:anchor="_Toc2861034" w:history="1">
            <w:r w:rsidR="006D7143" w:rsidRPr="006B072F">
              <w:rPr>
                <w:rStyle w:val="Hyperlink"/>
              </w:rPr>
              <w:t>ANNEXE A6: Termes de référence pour une vérification des dépenses dans le cadre d’un contrat de subvention de jumelage</w:t>
            </w:r>
            <w:r w:rsidR="006D7143">
              <w:rPr>
                <w:webHidden/>
              </w:rPr>
              <w:tab/>
            </w:r>
            <w:r w:rsidR="006D7143">
              <w:rPr>
                <w:webHidden/>
              </w:rPr>
              <w:fldChar w:fldCharType="begin"/>
            </w:r>
            <w:r w:rsidR="006D7143">
              <w:rPr>
                <w:webHidden/>
              </w:rPr>
              <w:instrText xml:space="preserve"> PAGEREF _Toc2861034 \h </w:instrText>
            </w:r>
            <w:r w:rsidR="006D7143">
              <w:rPr>
                <w:webHidden/>
              </w:rPr>
            </w:r>
            <w:r w:rsidR="006D7143">
              <w:rPr>
                <w:webHidden/>
              </w:rPr>
              <w:fldChar w:fldCharType="separate"/>
            </w:r>
            <w:r>
              <w:rPr>
                <w:webHidden/>
              </w:rPr>
              <w:t>259</w:t>
            </w:r>
            <w:r w:rsidR="006D7143">
              <w:rPr>
                <w:webHidden/>
              </w:rPr>
              <w:fldChar w:fldCharType="end"/>
            </w:r>
          </w:hyperlink>
        </w:p>
        <w:p w14:paraId="6F0F3FAC" w14:textId="5A2E0C3D" w:rsidR="006D7143" w:rsidRDefault="00CC09A6">
          <w:pPr>
            <w:pStyle w:val="TOC2"/>
            <w:rPr>
              <w:rFonts w:asciiTheme="minorHAnsi" w:eastAsiaTheme="minorEastAsia" w:hAnsiTheme="minorHAnsi" w:cstheme="minorBidi"/>
              <w:sz w:val="22"/>
              <w:szCs w:val="22"/>
              <w:lang w:val="en-GB" w:eastAsia="en-GB" w:bidi="ar-SA"/>
            </w:rPr>
          </w:pPr>
          <w:hyperlink w:anchor="_Toc2861035" w:history="1">
            <w:r w:rsidR="006D7143" w:rsidRPr="006B072F">
              <w:rPr>
                <w:rStyle w:val="Hyperlink"/>
              </w:rPr>
              <w:t>ANNEXE A7: Annexe financière</w:t>
            </w:r>
            <w:r w:rsidR="006D7143">
              <w:rPr>
                <w:webHidden/>
              </w:rPr>
              <w:tab/>
            </w:r>
            <w:r w:rsidR="006D7143">
              <w:rPr>
                <w:webHidden/>
              </w:rPr>
              <w:fldChar w:fldCharType="begin"/>
            </w:r>
            <w:r w:rsidR="006D7143">
              <w:rPr>
                <w:webHidden/>
              </w:rPr>
              <w:instrText xml:space="preserve"> PAGEREF _Toc2861035 \h </w:instrText>
            </w:r>
            <w:r w:rsidR="006D7143">
              <w:rPr>
                <w:webHidden/>
              </w:rPr>
            </w:r>
            <w:r w:rsidR="006D7143">
              <w:rPr>
                <w:webHidden/>
              </w:rPr>
              <w:fldChar w:fldCharType="separate"/>
            </w:r>
            <w:r>
              <w:rPr>
                <w:webHidden/>
              </w:rPr>
              <w:t>282</w:t>
            </w:r>
            <w:r w:rsidR="006D7143">
              <w:rPr>
                <w:webHidden/>
              </w:rPr>
              <w:fldChar w:fldCharType="end"/>
            </w:r>
          </w:hyperlink>
        </w:p>
        <w:p w14:paraId="370AA950" w14:textId="76150B6E" w:rsidR="006D7143" w:rsidRDefault="00CC09A6">
          <w:pPr>
            <w:pStyle w:val="TOC2"/>
            <w:rPr>
              <w:rFonts w:asciiTheme="minorHAnsi" w:eastAsiaTheme="minorEastAsia" w:hAnsiTheme="minorHAnsi" w:cstheme="minorBidi"/>
              <w:sz w:val="22"/>
              <w:szCs w:val="22"/>
              <w:lang w:val="en-GB" w:eastAsia="en-GB" w:bidi="ar-SA"/>
            </w:rPr>
          </w:pPr>
          <w:hyperlink w:anchor="_Toc2861036" w:history="1">
            <w:r w:rsidR="006D7143" w:rsidRPr="006B072F">
              <w:rPr>
                <w:rStyle w:val="Hyperlink"/>
              </w:rPr>
              <w:t>ANNEXE A8: Mandats (en cas de constitution d’un consortium d’États membres)</w:t>
            </w:r>
            <w:r w:rsidR="006D7143">
              <w:rPr>
                <w:webHidden/>
              </w:rPr>
              <w:tab/>
            </w:r>
            <w:r w:rsidR="006D7143">
              <w:rPr>
                <w:webHidden/>
              </w:rPr>
              <w:fldChar w:fldCharType="begin"/>
            </w:r>
            <w:r w:rsidR="006D7143">
              <w:rPr>
                <w:webHidden/>
              </w:rPr>
              <w:instrText xml:space="preserve"> PAGEREF _Toc2861036 \h </w:instrText>
            </w:r>
            <w:r w:rsidR="006D7143">
              <w:rPr>
                <w:webHidden/>
              </w:rPr>
            </w:r>
            <w:r w:rsidR="006D7143">
              <w:rPr>
                <w:webHidden/>
              </w:rPr>
              <w:fldChar w:fldCharType="separate"/>
            </w:r>
            <w:r>
              <w:rPr>
                <w:webHidden/>
              </w:rPr>
              <w:t>305</w:t>
            </w:r>
            <w:r w:rsidR="006D7143">
              <w:rPr>
                <w:webHidden/>
              </w:rPr>
              <w:fldChar w:fldCharType="end"/>
            </w:r>
          </w:hyperlink>
        </w:p>
        <w:p w14:paraId="2F0E3768" w14:textId="46943182" w:rsidR="006D7143" w:rsidRDefault="00CC09A6">
          <w:pPr>
            <w:pStyle w:val="TOC2"/>
            <w:rPr>
              <w:rFonts w:asciiTheme="minorHAnsi" w:eastAsiaTheme="minorEastAsia" w:hAnsiTheme="minorHAnsi" w:cstheme="minorBidi"/>
              <w:sz w:val="22"/>
              <w:szCs w:val="22"/>
              <w:lang w:val="en-GB" w:eastAsia="en-GB" w:bidi="ar-SA"/>
            </w:rPr>
          </w:pPr>
          <w:hyperlink w:anchor="_Toc2861037" w:history="1">
            <w:r w:rsidR="006D7143" w:rsidRPr="006B072F">
              <w:rPr>
                <w:rStyle w:val="Hyperlink"/>
              </w:rPr>
              <w:t>ANNEXE A9: Curriculum vitæ et déclaration de disponibilité du CRJ</w:t>
            </w:r>
            <w:r w:rsidR="006D7143">
              <w:rPr>
                <w:webHidden/>
              </w:rPr>
              <w:tab/>
            </w:r>
            <w:r w:rsidR="006D7143">
              <w:rPr>
                <w:webHidden/>
              </w:rPr>
              <w:fldChar w:fldCharType="begin"/>
            </w:r>
            <w:r w:rsidR="006D7143">
              <w:rPr>
                <w:webHidden/>
              </w:rPr>
              <w:instrText xml:space="preserve"> PAGEREF _Toc2861037 \h </w:instrText>
            </w:r>
            <w:r w:rsidR="006D7143">
              <w:rPr>
                <w:webHidden/>
              </w:rPr>
            </w:r>
            <w:r w:rsidR="006D7143">
              <w:rPr>
                <w:webHidden/>
              </w:rPr>
              <w:fldChar w:fldCharType="separate"/>
            </w:r>
            <w:r>
              <w:rPr>
                <w:webHidden/>
              </w:rPr>
              <w:t>306</w:t>
            </w:r>
            <w:r w:rsidR="006D7143">
              <w:rPr>
                <w:webHidden/>
              </w:rPr>
              <w:fldChar w:fldCharType="end"/>
            </w:r>
          </w:hyperlink>
        </w:p>
        <w:p w14:paraId="4F706659" w14:textId="25CE0283" w:rsidR="006D7143" w:rsidRDefault="00CC09A6">
          <w:pPr>
            <w:pStyle w:val="TOC1"/>
            <w:rPr>
              <w:rFonts w:asciiTheme="minorHAnsi" w:eastAsiaTheme="minorEastAsia" w:hAnsiTheme="minorHAnsi" w:cstheme="minorBidi"/>
              <w:b w:val="0"/>
              <w:bCs w:val="0"/>
              <w:caps w:val="0"/>
              <w:sz w:val="22"/>
              <w:szCs w:val="22"/>
              <w:lang w:val="en-GB" w:eastAsia="en-GB" w:bidi="ar-SA"/>
            </w:rPr>
          </w:pPr>
          <w:hyperlink w:anchor="_Toc2861038" w:history="1">
            <w:r w:rsidR="006D7143" w:rsidRPr="006B072F">
              <w:rPr>
                <w:rStyle w:val="Hyperlink"/>
              </w:rPr>
              <w:t>ANNEXE B: COÛTS UNITAIRES ET TAUX FORFAITAIRES</w:t>
            </w:r>
            <w:r w:rsidR="006D7143">
              <w:rPr>
                <w:webHidden/>
              </w:rPr>
              <w:tab/>
            </w:r>
            <w:r w:rsidR="006D7143">
              <w:rPr>
                <w:webHidden/>
              </w:rPr>
              <w:fldChar w:fldCharType="begin"/>
            </w:r>
            <w:r w:rsidR="006D7143">
              <w:rPr>
                <w:webHidden/>
              </w:rPr>
              <w:instrText xml:space="preserve"> PAGEREF _Toc2861038 \h </w:instrText>
            </w:r>
            <w:r w:rsidR="006D7143">
              <w:rPr>
                <w:webHidden/>
              </w:rPr>
            </w:r>
            <w:r w:rsidR="006D7143">
              <w:rPr>
                <w:webHidden/>
              </w:rPr>
              <w:fldChar w:fldCharType="separate"/>
            </w:r>
            <w:r>
              <w:rPr>
                <w:webHidden/>
              </w:rPr>
              <w:t>307</w:t>
            </w:r>
            <w:r w:rsidR="006D7143">
              <w:rPr>
                <w:webHidden/>
              </w:rPr>
              <w:fldChar w:fldCharType="end"/>
            </w:r>
          </w:hyperlink>
        </w:p>
        <w:p w14:paraId="26134ECF" w14:textId="0829DF64" w:rsidR="006D7143" w:rsidRDefault="00CC09A6">
          <w:pPr>
            <w:pStyle w:val="TOC1"/>
            <w:rPr>
              <w:rFonts w:asciiTheme="minorHAnsi" w:eastAsiaTheme="minorEastAsia" w:hAnsiTheme="minorHAnsi" w:cstheme="minorBidi"/>
              <w:b w:val="0"/>
              <w:bCs w:val="0"/>
              <w:caps w:val="0"/>
              <w:sz w:val="22"/>
              <w:szCs w:val="22"/>
              <w:lang w:val="en-GB" w:eastAsia="en-GB" w:bidi="ar-SA"/>
            </w:rPr>
          </w:pPr>
          <w:hyperlink w:anchor="_Toc2861039" w:history="1">
            <w:r w:rsidR="006D7143" w:rsidRPr="006B072F">
              <w:rPr>
                <w:rStyle w:val="Hyperlink"/>
              </w:rPr>
              <w:t>ANNEXE C: MODÈLES</w:t>
            </w:r>
            <w:r w:rsidR="006D7143">
              <w:rPr>
                <w:webHidden/>
              </w:rPr>
              <w:tab/>
            </w:r>
            <w:r w:rsidR="006D7143">
              <w:rPr>
                <w:webHidden/>
              </w:rPr>
              <w:fldChar w:fldCharType="begin"/>
            </w:r>
            <w:r w:rsidR="006D7143">
              <w:rPr>
                <w:webHidden/>
              </w:rPr>
              <w:instrText xml:space="preserve"> PAGEREF _Toc2861039 \h </w:instrText>
            </w:r>
            <w:r w:rsidR="006D7143">
              <w:rPr>
                <w:webHidden/>
              </w:rPr>
            </w:r>
            <w:r w:rsidR="006D7143">
              <w:rPr>
                <w:webHidden/>
              </w:rPr>
              <w:fldChar w:fldCharType="separate"/>
            </w:r>
            <w:r>
              <w:rPr>
                <w:webHidden/>
              </w:rPr>
              <w:t>312</w:t>
            </w:r>
            <w:r w:rsidR="006D7143">
              <w:rPr>
                <w:webHidden/>
              </w:rPr>
              <w:fldChar w:fldCharType="end"/>
            </w:r>
          </w:hyperlink>
        </w:p>
        <w:p w14:paraId="4DC312F2" w14:textId="4685FA2D" w:rsidR="006D7143" w:rsidRDefault="00CC09A6">
          <w:pPr>
            <w:pStyle w:val="TOC2"/>
            <w:rPr>
              <w:rFonts w:asciiTheme="minorHAnsi" w:eastAsiaTheme="minorEastAsia" w:hAnsiTheme="minorHAnsi" w:cstheme="minorBidi"/>
              <w:sz w:val="22"/>
              <w:szCs w:val="22"/>
              <w:lang w:val="en-GB" w:eastAsia="en-GB" w:bidi="ar-SA"/>
            </w:rPr>
          </w:pPr>
          <w:hyperlink w:anchor="_Toc2861040" w:history="1">
            <w:r w:rsidR="006D7143" w:rsidRPr="006B072F">
              <w:rPr>
                <w:rStyle w:val="Hyperlink"/>
              </w:rPr>
              <w:t>ANNEXE C1: Fiche de jumelage</w:t>
            </w:r>
            <w:r w:rsidR="006D7143">
              <w:rPr>
                <w:webHidden/>
              </w:rPr>
              <w:tab/>
            </w:r>
            <w:r w:rsidR="006D7143">
              <w:rPr>
                <w:webHidden/>
              </w:rPr>
              <w:fldChar w:fldCharType="begin"/>
            </w:r>
            <w:r w:rsidR="006D7143">
              <w:rPr>
                <w:webHidden/>
              </w:rPr>
              <w:instrText xml:space="preserve"> PAGEREF _Toc2861040 \h </w:instrText>
            </w:r>
            <w:r w:rsidR="006D7143">
              <w:rPr>
                <w:webHidden/>
              </w:rPr>
            </w:r>
            <w:r w:rsidR="006D7143">
              <w:rPr>
                <w:webHidden/>
              </w:rPr>
              <w:fldChar w:fldCharType="separate"/>
            </w:r>
            <w:r>
              <w:rPr>
                <w:webHidden/>
              </w:rPr>
              <w:t>313</w:t>
            </w:r>
            <w:r w:rsidR="006D7143">
              <w:rPr>
                <w:webHidden/>
              </w:rPr>
              <w:fldChar w:fldCharType="end"/>
            </w:r>
          </w:hyperlink>
        </w:p>
        <w:p w14:paraId="4FBAAD26" w14:textId="2948FC51" w:rsidR="006D7143" w:rsidRDefault="00CC09A6">
          <w:pPr>
            <w:pStyle w:val="TOC2"/>
            <w:rPr>
              <w:rFonts w:asciiTheme="minorHAnsi" w:eastAsiaTheme="minorEastAsia" w:hAnsiTheme="minorHAnsi" w:cstheme="minorBidi"/>
              <w:sz w:val="22"/>
              <w:szCs w:val="22"/>
              <w:lang w:val="en-GB" w:eastAsia="en-GB" w:bidi="ar-SA"/>
            </w:rPr>
          </w:pPr>
          <w:hyperlink w:anchor="_Toc2861041" w:history="1">
            <w:r w:rsidR="006D7143" w:rsidRPr="006B072F">
              <w:rPr>
                <w:rStyle w:val="Hyperlink"/>
              </w:rPr>
              <w:t>ANNEXE C1a: Niveaux d’une logique d’intervention</w:t>
            </w:r>
            <w:r w:rsidR="006D7143">
              <w:rPr>
                <w:webHidden/>
              </w:rPr>
              <w:tab/>
            </w:r>
            <w:r w:rsidR="006D7143">
              <w:rPr>
                <w:webHidden/>
              </w:rPr>
              <w:fldChar w:fldCharType="begin"/>
            </w:r>
            <w:r w:rsidR="006D7143">
              <w:rPr>
                <w:webHidden/>
              </w:rPr>
              <w:instrText xml:space="preserve"> PAGEREF _Toc2861041 \h </w:instrText>
            </w:r>
            <w:r w:rsidR="006D7143">
              <w:rPr>
                <w:webHidden/>
              </w:rPr>
            </w:r>
            <w:r w:rsidR="006D7143">
              <w:rPr>
                <w:webHidden/>
              </w:rPr>
              <w:fldChar w:fldCharType="separate"/>
            </w:r>
            <w:r>
              <w:rPr>
                <w:webHidden/>
              </w:rPr>
              <w:t>321</w:t>
            </w:r>
            <w:r w:rsidR="006D7143">
              <w:rPr>
                <w:webHidden/>
              </w:rPr>
              <w:fldChar w:fldCharType="end"/>
            </w:r>
          </w:hyperlink>
        </w:p>
        <w:p w14:paraId="47915F79" w14:textId="77411C53" w:rsidR="006D7143" w:rsidRDefault="00CC09A6">
          <w:pPr>
            <w:pStyle w:val="TOC2"/>
            <w:rPr>
              <w:rFonts w:asciiTheme="minorHAnsi" w:eastAsiaTheme="minorEastAsia" w:hAnsiTheme="minorHAnsi" w:cstheme="minorBidi"/>
              <w:sz w:val="22"/>
              <w:szCs w:val="22"/>
              <w:lang w:val="en-GB" w:eastAsia="en-GB" w:bidi="ar-SA"/>
            </w:rPr>
          </w:pPr>
          <w:hyperlink w:anchor="_Toc2861042" w:history="1">
            <w:r w:rsidR="006D7143" w:rsidRPr="006B072F">
              <w:rPr>
                <w:rStyle w:val="Hyperlink"/>
              </w:rPr>
              <w:t xml:space="preserve">ANNEXE C1bis: Fiche de jumelage léger </w:t>
            </w:r>
            <w:r w:rsidR="006D7143">
              <w:rPr>
                <w:webHidden/>
              </w:rPr>
              <w:tab/>
            </w:r>
            <w:r w:rsidR="006D7143">
              <w:rPr>
                <w:webHidden/>
              </w:rPr>
              <w:fldChar w:fldCharType="begin"/>
            </w:r>
            <w:r w:rsidR="006D7143">
              <w:rPr>
                <w:webHidden/>
              </w:rPr>
              <w:instrText xml:space="preserve"> PAGEREF _Toc2861042 \h </w:instrText>
            </w:r>
            <w:r w:rsidR="006D7143">
              <w:rPr>
                <w:webHidden/>
              </w:rPr>
            </w:r>
            <w:r w:rsidR="006D7143">
              <w:rPr>
                <w:webHidden/>
              </w:rPr>
              <w:fldChar w:fldCharType="separate"/>
            </w:r>
            <w:r>
              <w:rPr>
                <w:webHidden/>
              </w:rPr>
              <w:t>324</w:t>
            </w:r>
            <w:r w:rsidR="006D7143">
              <w:rPr>
                <w:webHidden/>
              </w:rPr>
              <w:fldChar w:fldCharType="end"/>
            </w:r>
          </w:hyperlink>
        </w:p>
        <w:p w14:paraId="2F08888A" w14:textId="4E424928" w:rsidR="006D7143" w:rsidRDefault="00CC09A6">
          <w:pPr>
            <w:pStyle w:val="TOC2"/>
            <w:rPr>
              <w:rFonts w:asciiTheme="minorHAnsi" w:eastAsiaTheme="minorEastAsia" w:hAnsiTheme="minorHAnsi" w:cstheme="minorBidi"/>
              <w:sz w:val="22"/>
              <w:szCs w:val="22"/>
              <w:lang w:val="en-GB" w:eastAsia="en-GB" w:bidi="ar-SA"/>
            </w:rPr>
          </w:pPr>
          <w:hyperlink w:anchor="_Toc2861043" w:history="1">
            <w:r w:rsidR="006D7143" w:rsidRPr="006B072F">
              <w:rPr>
                <w:rStyle w:val="Hyperlink"/>
              </w:rPr>
              <w:t>ANNEXE C1b: Niveaux d’une logique d’intervention - Jumelage léger</w:t>
            </w:r>
            <w:r w:rsidR="006D7143">
              <w:rPr>
                <w:webHidden/>
              </w:rPr>
              <w:tab/>
            </w:r>
            <w:r w:rsidR="006D7143">
              <w:rPr>
                <w:webHidden/>
              </w:rPr>
              <w:fldChar w:fldCharType="begin"/>
            </w:r>
            <w:r w:rsidR="006D7143">
              <w:rPr>
                <w:webHidden/>
              </w:rPr>
              <w:instrText xml:space="preserve"> PAGEREF _Toc2861043 \h </w:instrText>
            </w:r>
            <w:r w:rsidR="006D7143">
              <w:rPr>
                <w:webHidden/>
              </w:rPr>
            </w:r>
            <w:r w:rsidR="006D7143">
              <w:rPr>
                <w:webHidden/>
              </w:rPr>
              <w:fldChar w:fldCharType="separate"/>
            </w:r>
            <w:r>
              <w:rPr>
                <w:webHidden/>
              </w:rPr>
              <w:t>331</w:t>
            </w:r>
            <w:r w:rsidR="006D7143">
              <w:rPr>
                <w:webHidden/>
              </w:rPr>
              <w:fldChar w:fldCharType="end"/>
            </w:r>
          </w:hyperlink>
        </w:p>
        <w:p w14:paraId="756AD8F7" w14:textId="14250C02" w:rsidR="006D7143" w:rsidRDefault="00CC09A6">
          <w:pPr>
            <w:pStyle w:val="TOC2"/>
            <w:rPr>
              <w:rFonts w:asciiTheme="minorHAnsi" w:eastAsiaTheme="minorEastAsia" w:hAnsiTheme="minorHAnsi" w:cstheme="minorBidi"/>
              <w:sz w:val="22"/>
              <w:szCs w:val="22"/>
              <w:lang w:val="en-GB" w:eastAsia="en-GB" w:bidi="ar-SA"/>
            </w:rPr>
          </w:pPr>
          <w:hyperlink w:anchor="_Toc2861044" w:history="1">
            <w:r w:rsidR="006D7143" w:rsidRPr="006B072F">
              <w:rPr>
                <w:rStyle w:val="Hyperlink"/>
              </w:rPr>
              <w:t>ANNEXE C2: Proposition de jumelage</w:t>
            </w:r>
            <w:r w:rsidR="006D7143">
              <w:rPr>
                <w:webHidden/>
              </w:rPr>
              <w:tab/>
            </w:r>
            <w:r w:rsidR="006D7143">
              <w:rPr>
                <w:webHidden/>
              </w:rPr>
              <w:fldChar w:fldCharType="begin"/>
            </w:r>
            <w:r w:rsidR="006D7143">
              <w:rPr>
                <w:webHidden/>
              </w:rPr>
              <w:instrText xml:space="preserve"> PAGEREF _Toc2861044 \h </w:instrText>
            </w:r>
            <w:r w:rsidR="006D7143">
              <w:rPr>
                <w:webHidden/>
              </w:rPr>
            </w:r>
            <w:r w:rsidR="006D7143">
              <w:rPr>
                <w:webHidden/>
              </w:rPr>
              <w:fldChar w:fldCharType="separate"/>
            </w:r>
            <w:r>
              <w:rPr>
                <w:webHidden/>
              </w:rPr>
              <w:t>334</w:t>
            </w:r>
            <w:r w:rsidR="006D7143">
              <w:rPr>
                <w:webHidden/>
              </w:rPr>
              <w:fldChar w:fldCharType="end"/>
            </w:r>
          </w:hyperlink>
        </w:p>
        <w:p w14:paraId="1F127CD6" w14:textId="7D60D5CF" w:rsidR="006D7143" w:rsidRDefault="00CC09A6">
          <w:pPr>
            <w:pStyle w:val="TOC2"/>
            <w:rPr>
              <w:rFonts w:asciiTheme="minorHAnsi" w:eastAsiaTheme="minorEastAsia" w:hAnsiTheme="minorHAnsi" w:cstheme="minorBidi"/>
              <w:sz w:val="22"/>
              <w:szCs w:val="22"/>
              <w:lang w:val="en-GB" w:eastAsia="en-GB" w:bidi="ar-SA"/>
            </w:rPr>
          </w:pPr>
          <w:hyperlink w:anchor="_Toc2861045" w:history="1">
            <w:r w:rsidR="006D7143" w:rsidRPr="006B072F">
              <w:rPr>
                <w:rStyle w:val="Hyperlink"/>
              </w:rPr>
              <w:t>ANNEXE C2bis: Proposition de jumelage léger</w:t>
            </w:r>
            <w:r w:rsidR="006D7143">
              <w:rPr>
                <w:webHidden/>
              </w:rPr>
              <w:tab/>
            </w:r>
            <w:r w:rsidR="006D7143">
              <w:rPr>
                <w:webHidden/>
              </w:rPr>
              <w:fldChar w:fldCharType="begin"/>
            </w:r>
            <w:r w:rsidR="006D7143">
              <w:rPr>
                <w:webHidden/>
              </w:rPr>
              <w:instrText xml:space="preserve"> PAGEREF _Toc2861045 \h </w:instrText>
            </w:r>
            <w:r w:rsidR="006D7143">
              <w:rPr>
                <w:webHidden/>
              </w:rPr>
            </w:r>
            <w:r w:rsidR="006D7143">
              <w:rPr>
                <w:webHidden/>
              </w:rPr>
              <w:fldChar w:fldCharType="separate"/>
            </w:r>
            <w:r>
              <w:rPr>
                <w:webHidden/>
              </w:rPr>
              <w:t>339</w:t>
            </w:r>
            <w:r w:rsidR="006D7143">
              <w:rPr>
                <w:webHidden/>
              </w:rPr>
              <w:fldChar w:fldCharType="end"/>
            </w:r>
          </w:hyperlink>
        </w:p>
        <w:p w14:paraId="234BD005" w14:textId="58C1F5F6" w:rsidR="006D7143" w:rsidRDefault="00CC09A6">
          <w:pPr>
            <w:pStyle w:val="TOC2"/>
            <w:rPr>
              <w:rFonts w:asciiTheme="minorHAnsi" w:eastAsiaTheme="minorEastAsia" w:hAnsiTheme="minorHAnsi" w:cstheme="minorBidi"/>
              <w:sz w:val="22"/>
              <w:szCs w:val="22"/>
              <w:lang w:val="en-GB" w:eastAsia="en-GB" w:bidi="ar-SA"/>
            </w:rPr>
          </w:pPr>
          <w:hyperlink w:anchor="_Toc2861046" w:history="1">
            <w:r w:rsidR="006D7143" w:rsidRPr="006B072F">
              <w:rPr>
                <w:rStyle w:val="Hyperlink"/>
              </w:rPr>
              <w:t>ANNEXE C3: Présentation orale lors de la réunion de sélection dans le pays bénéficiaire</w:t>
            </w:r>
            <w:r w:rsidR="006D7143">
              <w:rPr>
                <w:webHidden/>
              </w:rPr>
              <w:tab/>
            </w:r>
            <w:r w:rsidR="006D7143">
              <w:rPr>
                <w:webHidden/>
              </w:rPr>
              <w:fldChar w:fldCharType="begin"/>
            </w:r>
            <w:r w:rsidR="006D7143">
              <w:rPr>
                <w:webHidden/>
              </w:rPr>
              <w:instrText xml:space="preserve"> PAGEREF _Toc2861046 \h </w:instrText>
            </w:r>
            <w:r w:rsidR="006D7143">
              <w:rPr>
                <w:webHidden/>
              </w:rPr>
            </w:r>
            <w:r w:rsidR="006D7143">
              <w:rPr>
                <w:webHidden/>
              </w:rPr>
              <w:fldChar w:fldCharType="separate"/>
            </w:r>
            <w:r>
              <w:rPr>
                <w:webHidden/>
              </w:rPr>
              <w:t>343</w:t>
            </w:r>
            <w:r w:rsidR="006D7143">
              <w:rPr>
                <w:webHidden/>
              </w:rPr>
              <w:fldChar w:fldCharType="end"/>
            </w:r>
          </w:hyperlink>
        </w:p>
        <w:p w14:paraId="2E782516" w14:textId="0CC020AD" w:rsidR="006D7143" w:rsidRDefault="00CC09A6">
          <w:pPr>
            <w:pStyle w:val="TOC2"/>
            <w:rPr>
              <w:rFonts w:asciiTheme="minorHAnsi" w:eastAsiaTheme="minorEastAsia" w:hAnsiTheme="minorHAnsi" w:cstheme="minorBidi"/>
              <w:sz w:val="22"/>
              <w:szCs w:val="22"/>
              <w:lang w:val="en-GB" w:eastAsia="en-GB" w:bidi="ar-SA"/>
            </w:rPr>
          </w:pPr>
          <w:hyperlink w:anchor="_Toc2861047" w:history="1">
            <w:r w:rsidR="006D7143" w:rsidRPr="006B072F">
              <w:rPr>
                <w:rStyle w:val="Hyperlink"/>
              </w:rPr>
              <w:t>ANNEXE C4: Rapport de jumelage intermédiaire trimestriel</w:t>
            </w:r>
            <w:r w:rsidR="006D7143">
              <w:rPr>
                <w:webHidden/>
              </w:rPr>
              <w:tab/>
            </w:r>
            <w:r w:rsidR="006D7143">
              <w:rPr>
                <w:webHidden/>
              </w:rPr>
              <w:fldChar w:fldCharType="begin"/>
            </w:r>
            <w:r w:rsidR="006D7143">
              <w:rPr>
                <w:webHidden/>
              </w:rPr>
              <w:instrText xml:space="preserve"> PAGEREF _Toc2861047 \h </w:instrText>
            </w:r>
            <w:r w:rsidR="006D7143">
              <w:rPr>
                <w:webHidden/>
              </w:rPr>
            </w:r>
            <w:r w:rsidR="006D7143">
              <w:rPr>
                <w:webHidden/>
              </w:rPr>
              <w:fldChar w:fldCharType="separate"/>
            </w:r>
            <w:r>
              <w:rPr>
                <w:webHidden/>
              </w:rPr>
              <w:t>344</w:t>
            </w:r>
            <w:r w:rsidR="006D7143">
              <w:rPr>
                <w:webHidden/>
              </w:rPr>
              <w:fldChar w:fldCharType="end"/>
            </w:r>
          </w:hyperlink>
        </w:p>
        <w:p w14:paraId="52338B97" w14:textId="6F65D5CB" w:rsidR="006D7143" w:rsidRDefault="00CC09A6">
          <w:pPr>
            <w:pStyle w:val="TOC2"/>
            <w:rPr>
              <w:rFonts w:asciiTheme="minorHAnsi" w:eastAsiaTheme="minorEastAsia" w:hAnsiTheme="minorHAnsi" w:cstheme="minorBidi"/>
              <w:sz w:val="22"/>
              <w:szCs w:val="22"/>
              <w:lang w:val="en-GB" w:eastAsia="en-GB" w:bidi="ar-SA"/>
            </w:rPr>
          </w:pPr>
          <w:hyperlink w:anchor="_Toc2861048" w:history="1">
            <w:r w:rsidR="006D7143" w:rsidRPr="006B072F">
              <w:rPr>
                <w:rStyle w:val="Hyperlink"/>
              </w:rPr>
              <w:t>ANNEXE C5: Rapport de jumelage final</w:t>
            </w:r>
            <w:r w:rsidR="006D7143">
              <w:rPr>
                <w:webHidden/>
              </w:rPr>
              <w:tab/>
            </w:r>
            <w:r w:rsidR="006D7143">
              <w:rPr>
                <w:webHidden/>
              </w:rPr>
              <w:fldChar w:fldCharType="begin"/>
            </w:r>
            <w:r w:rsidR="006D7143">
              <w:rPr>
                <w:webHidden/>
              </w:rPr>
              <w:instrText xml:space="preserve"> PAGEREF _Toc2861048 \h </w:instrText>
            </w:r>
            <w:r w:rsidR="006D7143">
              <w:rPr>
                <w:webHidden/>
              </w:rPr>
            </w:r>
            <w:r w:rsidR="006D7143">
              <w:rPr>
                <w:webHidden/>
              </w:rPr>
              <w:fldChar w:fldCharType="separate"/>
            </w:r>
            <w:r>
              <w:rPr>
                <w:webHidden/>
              </w:rPr>
              <w:t>350</w:t>
            </w:r>
            <w:r w:rsidR="006D7143">
              <w:rPr>
                <w:webHidden/>
              </w:rPr>
              <w:fldChar w:fldCharType="end"/>
            </w:r>
          </w:hyperlink>
        </w:p>
        <w:p w14:paraId="1E7F0E74" w14:textId="7C0B783A" w:rsidR="006D7143" w:rsidRDefault="00CC09A6">
          <w:pPr>
            <w:pStyle w:val="TOC2"/>
            <w:rPr>
              <w:rFonts w:asciiTheme="minorHAnsi" w:eastAsiaTheme="minorEastAsia" w:hAnsiTheme="minorHAnsi" w:cstheme="minorBidi"/>
              <w:sz w:val="22"/>
              <w:szCs w:val="22"/>
              <w:lang w:val="en-GB" w:eastAsia="en-GB" w:bidi="ar-SA"/>
            </w:rPr>
          </w:pPr>
          <w:hyperlink w:anchor="_Toc2861049" w:history="1">
            <w:r w:rsidR="006D7143" w:rsidRPr="006B072F">
              <w:rPr>
                <w:rStyle w:val="Hyperlink"/>
              </w:rPr>
              <w:t>ANNEXE C6: Grille de conformité administrative et d’éligibilité pour jumelage standard</w:t>
            </w:r>
            <w:r w:rsidR="006D7143">
              <w:rPr>
                <w:webHidden/>
              </w:rPr>
              <w:tab/>
            </w:r>
            <w:r w:rsidR="006D7143">
              <w:rPr>
                <w:webHidden/>
              </w:rPr>
              <w:fldChar w:fldCharType="begin"/>
            </w:r>
            <w:r w:rsidR="006D7143">
              <w:rPr>
                <w:webHidden/>
              </w:rPr>
              <w:instrText xml:space="preserve"> PAGEREF _Toc2861049 \h </w:instrText>
            </w:r>
            <w:r w:rsidR="006D7143">
              <w:rPr>
                <w:webHidden/>
              </w:rPr>
            </w:r>
            <w:r w:rsidR="006D7143">
              <w:rPr>
                <w:webHidden/>
              </w:rPr>
              <w:fldChar w:fldCharType="separate"/>
            </w:r>
            <w:r>
              <w:rPr>
                <w:webHidden/>
              </w:rPr>
              <w:t>358</w:t>
            </w:r>
            <w:r w:rsidR="006D7143">
              <w:rPr>
                <w:webHidden/>
              </w:rPr>
              <w:fldChar w:fldCharType="end"/>
            </w:r>
          </w:hyperlink>
        </w:p>
        <w:p w14:paraId="0B5A2F84" w14:textId="0BBB9814" w:rsidR="006D7143" w:rsidRDefault="00CC09A6">
          <w:pPr>
            <w:pStyle w:val="TOC2"/>
            <w:rPr>
              <w:rFonts w:asciiTheme="minorHAnsi" w:eastAsiaTheme="minorEastAsia" w:hAnsiTheme="minorHAnsi" w:cstheme="minorBidi"/>
              <w:sz w:val="22"/>
              <w:szCs w:val="22"/>
              <w:lang w:val="en-GB" w:eastAsia="en-GB" w:bidi="ar-SA"/>
            </w:rPr>
          </w:pPr>
          <w:hyperlink w:anchor="_Toc2861050" w:history="1">
            <w:r w:rsidR="006D7143" w:rsidRPr="006B072F">
              <w:rPr>
                <w:rStyle w:val="Hyperlink"/>
              </w:rPr>
              <w:t>ANNEXE C6bis: Grille de conformité administrative et d’éligibilité pour jumelage léger</w:t>
            </w:r>
            <w:r w:rsidR="006D7143">
              <w:rPr>
                <w:webHidden/>
              </w:rPr>
              <w:tab/>
            </w:r>
            <w:r w:rsidR="006D7143">
              <w:rPr>
                <w:webHidden/>
              </w:rPr>
              <w:fldChar w:fldCharType="begin"/>
            </w:r>
            <w:r w:rsidR="006D7143">
              <w:rPr>
                <w:webHidden/>
              </w:rPr>
              <w:instrText xml:space="preserve"> PAGEREF _Toc2861050 \h </w:instrText>
            </w:r>
            <w:r w:rsidR="006D7143">
              <w:rPr>
                <w:webHidden/>
              </w:rPr>
            </w:r>
            <w:r w:rsidR="006D7143">
              <w:rPr>
                <w:webHidden/>
              </w:rPr>
              <w:fldChar w:fldCharType="separate"/>
            </w:r>
            <w:r>
              <w:rPr>
                <w:webHidden/>
              </w:rPr>
              <w:t>238</w:t>
            </w:r>
            <w:r w:rsidR="006D7143">
              <w:rPr>
                <w:webHidden/>
              </w:rPr>
              <w:fldChar w:fldCharType="end"/>
            </w:r>
          </w:hyperlink>
        </w:p>
        <w:p w14:paraId="1DDD9759" w14:textId="62696595" w:rsidR="006D7143" w:rsidRDefault="00CC09A6">
          <w:pPr>
            <w:pStyle w:val="TOC2"/>
            <w:rPr>
              <w:rFonts w:asciiTheme="minorHAnsi" w:eastAsiaTheme="minorEastAsia" w:hAnsiTheme="minorHAnsi" w:cstheme="minorBidi"/>
              <w:sz w:val="22"/>
              <w:szCs w:val="22"/>
              <w:lang w:val="en-GB" w:eastAsia="en-GB" w:bidi="ar-SA"/>
            </w:rPr>
          </w:pPr>
          <w:hyperlink w:anchor="_Toc2861051" w:history="1">
            <w:r w:rsidR="006D7143" w:rsidRPr="006B072F">
              <w:rPr>
                <w:rStyle w:val="Hyperlink"/>
              </w:rPr>
              <w:t>ANNEXE C7: Grille d’évaluation pour la sélection des propositions de jumelage</w:t>
            </w:r>
            <w:r w:rsidR="006D7143">
              <w:rPr>
                <w:webHidden/>
              </w:rPr>
              <w:tab/>
            </w:r>
            <w:r w:rsidR="006D7143">
              <w:rPr>
                <w:webHidden/>
              </w:rPr>
              <w:fldChar w:fldCharType="begin"/>
            </w:r>
            <w:r w:rsidR="006D7143">
              <w:rPr>
                <w:webHidden/>
              </w:rPr>
              <w:instrText xml:space="preserve"> PAGEREF _Toc2861051 \h </w:instrText>
            </w:r>
            <w:r w:rsidR="006D7143">
              <w:rPr>
                <w:webHidden/>
              </w:rPr>
            </w:r>
            <w:r w:rsidR="006D7143">
              <w:rPr>
                <w:webHidden/>
              </w:rPr>
              <w:fldChar w:fldCharType="separate"/>
            </w:r>
            <w:r>
              <w:rPr>
                <w:webHidden/>
              </w:rPr>
              <w:t>239</w:t>
            </w:r>
            <w:r w:rsidR="006D7143">
              <w:rPr>
                <w:webHidden/>
              </w:rPr>
              <w:fldChar w:fldCharType="end"/>
            </w:r>
          </w:hyperlink>
        </w:p>
        <w:p w14:paraId="5903F43E" w14:textId="1F6E7C77" w:rsidR="006D7143" w:rsidRDefault="00CC09A6">
          <w:pPr>
            <w:pStyle w:val="TOC2"/>
            <w:rPr>
              <w:rFonts w:asciiTheme="minorHAnsi" w:eastAsiaTheme="minorEastAsia" w:hAnsiTheme="minorHAnsi" w:cstheme="minorBidi"/>
              <w:sz w:val="22"/>
              <w:szCs w:val="22"/>
              <w:lang w:val="en-GB" w:eastAsia="en-GB" w:bidi="ar-SA"/>
            </w:rPr>
          </w:pPr>
          <w:hyperlink w:anchor="_Toc2861052" w:history="1">
            <w:r w:rsidR="006D7143" w:rsidRPr="006B072F">
              <w:rPr>
                <w:rStyle w:val="Hyperlink"/>
              </w:rPr>
              <w:t>ANNEXE C8: Fiche d’information pour la sélection des propositions de jumelage léger</w:t>
            </w:r>
            <w:r w:rsidR="006D7143">
              <w:rPr>
                <w:webHidden/>
              </w:rPr>
              <w:tab/>
            </w:r>
            <w:r w:rsidR="006D7143">
              <w:rPr>
                <w:webHidden/>
              </w:rPr>
              <w:fldChar w:fldCharType="begin"/>
            </w:r>
            <w:r w:rsidR="006D7143">
              <w:rPr>
                <w:webHidden/>
              </w:rPr>
              <w:instrText xml:space="preserve"> PAGEREF _Toc2861052 \h </w:instrText>
            </w:r>
            <w:r w:rsidR="006D7143">
              <w:rPr>
                <w:webHidden/>
              </w:rPr>
            </w:r>
            <w:r w:rsidR="006D7143">
              <w:rPr>
                <w:webHidden/>
              </w:rPr>
              <w:fldChar w:fldCharType="separate"/>
            </w:r>
            <w:r>
              <w:rPr>
                <w:webHidden/>
              </w:rPr>
              <w:t>246</w:t>
            </w:r>
            <w:r w:rsidR="006D7143">
              <w:rPr>
                <w:webHidden/>
              </w:rPr>
              <w:fldChar w:fldCharType="end"/>
            </w:r>
          </w:hyperlink>
        </w:p>
        <w:p w14:paraId="17EA3BE1" w14:textId="44163A42" w:rsidR="006D7143" w:rsidRPr="006D7143" w:rsidRDefault="00CC09A6" w:rsidP="00E668DA">
          <w:pPr>
            <w:pStyle w:val="TOC2"/>
            <w:rPr>
              <w:rFonts w:asciiTheme="minorHAnsi" w:eastAsiaTheme="minorEastAsia" w:hAnsiTheme="minorHAnsi" w:cstheme="minorBidi"/>
              <w:b/>
              <w:bCs/>
              <w:caps/>
              <w:sz w:val="22"/>
              <w:szCs w:val="22"/>
              <w:lang w:val="en-GB" w:eastAsia="en-GB" w:bidi="ar-SA"/>
            </w:rPr>
          </w:pPr>
          <w:hyperlink w:anchor="_Toc2861053" w:history="1">
            <w:r w:rsidR="006D7143" w:rsidRPr="006B072F">
              <w:rPr>
                <w:rStyle w:val="Hyperlink"/>
              </w:rPr>
              <w:t>ANNEXE C9: Jumelage standard - Publication sur l’internet de l’appel à propositions</w:t>
            </w:r>
            <w:r w:rsidR="006D7143">
              <w:rPr>
                <w:webHidden/>
              </w:rPr>
              <w:tab/>
            </w:r>
            <w:r w:rsidR="006D7143">
              <w:rPr>
                <w:webHidden/>
              </w:rPr>
              <w:fldChar w:fldCharType="begin"/>
            </w:r>
            <w:r w:rsidR="006D7143">
              <w:rPr>
                <w:webHidden/>
              </w:rPr>
              <w:instrText xml:space="preserve"> PAGEREF _Toc2861053 \h </w:instrText>
            </w:r>
            <w:r w:rsidR="006D7143">
              <w:rPr>
                <w:webHidden/>
              </w:rPr>
            </w:r>
            <w:r w:rsidR="006D7143">
              <w:rPr>
                <w:webHidden/>
              </w:rPr>
              <w:fldChar w:fldCharType="separate"/>
            </w:r>
            <w:r>
              <w:rPr>
                <w:webHidden/>
              </w:rPr>
              <w:t>251</w:t>
            </w:r>
            <w:r w:rsidR="006D7143">
              <w:rPr>
                <w:webHidden/>
              </w:rPr>
              <w:fldChar w:fldCharType="end"/>
            </w:r>
          </w:hyperlink>
        </w:p>
        <w:p w14:paraId="73ED2747" w14:textId="783805C8" w:rsidR="006D7143" w:rsidRPr="006D7143" w:rsidRDefault="00CC09A6" w:rsidP="00E668DA">
          <w:pPr>
            <w:pStyle w:val="TOC2"/>
            <w:rPr>
              <w:rFonts w:asciiTheme="minorHAnsi" w:eastAsiaTheme="minorEastAsia" w:hAnsiTheme="minorHAnsi" w:cstheme="minorBidi"/>
              <w:b/>
              <w:bCs/>
              <w:caps/>
              <w:sz w:val="22"/>
              <w:szCs w:val="22"/>
              <w:lang w:val="en-GB" w:eastAsia="en-GB" w:bidi="ar-SA"/>
            </w:rPr>
          </w:pPr>
          <w:hyperlink w:anchor="_Toc2861055" w:history="1">
            <w:r w:rsidR="006D7143" w:rsidRPr="006B072F">
              <w:rPr>
                <w:rStyle w:val="Hyperlink"/>
              </w:rPr>
              <w:t>ANNEXE C9bis: Jumelage léger - Publication sur l’internet de l’appel à propositions</w:t>
            </w:r>
            <w:r w:rsidR="006D7143">
              <w:rPr>
                <w:webHidden/>
              </w:rPr>
              <w:tab/>
            </w:r>
            <w:r w:rsidR="006D7143">
              <w:rPr>
                <w:webHidden/>
              </w:rPr>
              <w:fldChar w:fldCharType="begin"/>
            </w:r>
            <w:r w:rsidR="006D7143">
              <w:rPr>
                <w:webHidden/>
              </w:rPr>
              <w:instrText xml:space="preserve"> PAGEREF _Toc2861055 \h </w:instrText>
            </w:r>
            <w:r w:rsidR="006D7143">
              <w:rPr>
                <w:webHidden/>
              </w:rPr>
            </w:r>
            <w:r w:rsidR="006D7143">
              <w:rPr>
                <w:webHidden/>
              </w:rPr>
              <w:fldChar w:fldCharType="separate"/>
            </w:r>
            <w:r>
              <w:rPr>
                <w:webHidden/>
              </w:rPr>
              <w:t>254</w:t>
            </w:r>
            <w:r w:rsidR="006D7143">
              <w:rPr>
                <w:webHidden/>
              </w:rPr>
              <w:fldChar w:fldCharType="end"/>
            </w:r>
          </w:hyperlink>
        </w:p>
        <w:p w14:paraId="6C08D729" w14:textId="55694D1E" w:rsidR="006D7143" w:rsidRDefault="00CC09A6">
          <w:pPr>
            <w:pStyle w:val="TOC2"/>
            <w:rPr>
              <w:rFonts w:asciiTheme="minorHAnsi" w:eastAsiaTheme="minorEastAsia" w:hAnsiTheme="minorHAnsi" w:cstheme="minorBidi"/>
              <w:sz w:val="22"/>
              <w:szCs w:val="22"/>
              <w:lang w:val="en-GB" w:eastAsia="en-GB" w:bidi="ar-SA"/>
            </w:rPr>
          </w:pPr>
          <w:hyperlink w:anchor="_Toc2861067" w:history="1">
            <w:r w:rsidR="006D7143" w:rsidRPr="006B072F">
              <w:rPr>
                <w:rStyle w:val="Hyperlink"/>
              </w:rPr>
              <w:t>ANNEXE C10: Modèle de certificat de mission</w:t>
            </w:r>
            <w:r w:rsidR="006D7143">
              <w:rPr>
                <w:webHidden/>
              </w:rPr>
              <w:tab/>
            </w:r>
            <w:r w:rsidR="006D7143">
              <w:rPr>
                <w:webHidden/>
              </w:rPr>
              <w:fldChar w:fldCharType="begin"/>
            </w:r>
            <w:r w:rsidR="006D7143">
              <w:rPr>
                <w:webHidden/>
              </w:rPr>
              <w:instrText xml:space="preserve"> PAGEREF _Toc2861067 \h </w:instrText>
            </w:r>
            <w:r w:rsidR="006D7143">
              <w:rPr>
                <w:webHidden/>
              </w:rPr>
            </w:r>
            <w:r w:rsidR="006D7143">
              <w:rPr>
                <w:webHidden/>
              </w:rPr>
              <w:fldChar w:fldCharType="separate"/>
            </w:r>
            <w:r>
              <w:rPr>
                <w:webHidden/>
              </w:rPr>
              <w:t>257</w:t>
            </w:r>
            <w:r w:rsidR="006D7143">
              <w:rPr>
                <w:webHidden/>
              </w:rPr>
              <w:fldChar w:fldCharType="end"/>
            </w:r>
          </w:hyperlink>
        </w:p>
        <w:p w14:paraId="2A333037" w14:textId="435D3939" w:rsidR="006D7143" w:rsidRDefault="00CC09A6">
          <w:pPr>
            <w:pStyle w:val="TOC2"/>
            <w:rPr>
              <w:rFonts w:asciiTheme="minorHAnsi" w:eastAsiaTheme="minorEastAsia" w:hAnsiTheme="minorHAnsi" w:cstheme="minorBidi"/>
              <w:sz w:val="22"/>
              <w:szCs w:val="22"/>
              <w:lang w:val="en-GB" w:eastAsia="en-GB" w:bidi="ar-SA"/>
            </w:rPr>
          </w:pPr>
          <w:hyperlink w:anchor="_Toc2861068" w:history="1">
            <w:r w:rsidR="006D7143" w:rsidRPr="006B072F">
              <w:rPr>
                <w:rStyle w:val="Hyperlink"/>
              </w:rPr>
              <w:t>ANNEXE C11: Modèle pour les voyages d’étude et les indemnités journalières</w:t>
            </w:r>
            <w:r w:rsidR="006D7143">
              <w:rPr>
                <w:webHidden/>
              </w:rPr>
              <w:tab/>
            </w:r>
            <w:r w:rsidR="006D7143">
              <w:rPr>
                <w:webHidden/>
              </w:rPr>
              <w:fldChar w:fldCharType="begin"/>
            </w:r>
            <w:r w:rsidR="006D7143">
              <w:rPr>
                <w:webHidden/>
              </w:rPr>
              <w:instrText xml:space="preserve"> PAGEREF _Toc2861068 \h </w:instrText>
            </w:r>
            <w:r w:rsidR="006D7143">
              <w:rPr>
                <w:webHidden/>
              </w:rPr>
            </w:r>
            <w:r w:rsidR="006D7143">
              <w:rPr>
                <w:webHidden/>
              </w:rPr>
              <w:fldChar w:fldCharType="separate"/>
            </w:r>
            <w:r>
              <w:rPr>
                <w:webHidden/>
              </w:rPr>
              <w:t>259</w:t>
            </w:r>
            <w:r w:rsidR="006D7143">
              <w:rPr>
                <w:webHidden/>
              </w:rPr>
              <w:fldChar w:fldCharType="end"/>
            </w:r>
          </w:hyperlink>
        </w:p>
        <w:p w14:paraId="08CD6C40" w14:textId="5A625FEC" w:rsidR="006D7143" w:rsidRDefault="00CC09A6">
          <w:pPr>
            <w:pStyle w:val="TOC2"/>
            <w:rPr>
              <w:rFonts w:asciiTheme="minorHAnsi" w:eastAsiaTheme="minorEastAsia" w:hAnsiTheme="minorHAnsi" w:cstheme="minorBidi"/>
              <w:sz w:val="22"/>
              <w:szCs w:val="22"/>
              <w:lang w:val="en-GB" w:eastAsia="en-GB" w:bidi="ar-SA"/>
            </w:rPr>
          </w:pPr>
          <w:hyperlink w:anchor="_Toc2861069" w:history="1">
            <w:r w:rsidR="006D7143" w:rsidRPr="006B072F">
              <w:rPr>
                <w:rStyle w:val="Hyperlink"/>
              </w:rPr>
              <w:t>ANNEXE C12: Modèle pour les avenants</w:t>
            </w:r>
            <w:r w:rsidR="006D7143">
              <w:rPr>
                <w:webHidden/>
              </w:rPr>
              <w:tab/>
            </w:r>
            <w:r w:rsidR="006D7143">
              <w:rPr>
                <w:webHidden/>
              </w:rPr>
              <w:fldChar w:fldCharType="begin"/>
            </w:r>
            <w:r w:rsidR="006D7143">
              <w:rPr>
                <w:webHidden/>
              </w:rPr>
              <w:instrText xml:space="preserve"> PAGEREF _Toc2861069 \h </w:instrText>
            </w:r>
            <w:r w:rsidR="006D7143">
              <w:rPr>
                <w:webHidden/>
              </w:rPr>
            </w:r>
            <w:r w:rsidR="006D7143">
              <w:rPr>
                <w:webHidden/>
              </w:rPr>
              <w:fldChar w:fldCharType="separate"/>
            </w:r>
            <w:r>
              <w:rPr>
                <w:webHidden/>
              </w:rPr>
              <w:t>261</w:t>
            </w:r>
            <w:r w:rsidR="006D7143">
              <w:rPr>
                <w:webHidden/>
              </w:rPr>
              <w:fldChar w:fldCharType="end"/>
            </w:r>
          </w:hyperlink>
        </w:p>
        <w:p w14:paraId="4BBE848D" w14:textId="1D867BB0" w:rsidR="006D7143" w:rsidRDefault="00CC09A6">
          <w:pPr>
            <w:pStyle w:val="TOC2"/>
            <w:rPr>
              <w:rFonts w:asciiTheme="minorHAnsi" w:eastAsiaTheme="minorEastAsia" w:hAnsiTheme="minorHAnsi" w:cstheme="minorBidi"/>
              <w:sz w:val="22"/>
              <w:szCs w:val="22"/>
              <w:lang w:val="en-GB" w:eastAsia="en-GB" w:bidi="ar-SA"/>
            </w:rPr>
          </w:pPr>
          <w:hyperlink w:anchor="_Toc2861070" w:history="1">
            <w:r w:rsidR="006D7143" w:rsidRPr="006B072F">
              <w:rPr>
                <w:rStyle w:val="Hyperlink"/>
              </w:rPr>
              <w:t>ANNEXE C13: Modèle pour les lettres d’accompagnement</w:t>
            </w:r>
            <w:r w:rsidR="006D7143">
              <w:rPr>
                <w:webHidden/>
              </w:rPr>
              <w:tab/>
            </w:r>
            <w:r w:rsidR="006D7143">
              <w:rPr>
                <w:webHidden/>
              </w:rPr>
              <w:fldChar w:fldCharType="begin"/>
            </w:r>
            <w:r w:rsidR="006D7143">
              <w:rPr>
                <w:webHidden/>
              </w:rPr>
              <w:instrText xml:space="preserve"> PAGEREF _Toc2861070 \h </w:instrText>
            </w:r>
            <w:r w:rsidR="006D7143">
              <w:rPr>
                <w:webHidden/>
              </w:rPr>
            </w:r>
            <w:r w:rsidR="006D7143">
              <w:rPr>
                <w:webHidden/>
              </w:rPr>
              <w:fldChar w:fldCharType="separate"/>
            </w:r>
            <w:r>
              <w:rPr>
                <w:webHidden/>
              </w:rPr>
              <w:t>263</w:t>
            </w:r>
            <w:r w:rsidR="006D7143">
              <w:rPr>
                <w:webHidden/>
              </w:rPr>
              <w:fldChar w:fldCharType="end"/>
            </w:r>
          </w:hyperlink>
        </w:p>
        <w:p w14:paraId="66F002FE" w14:textId="02B4009B" w:rsidR="006D7143" w:rsidRDefault="00CC09A6">
          <w:pPr>
            <w:pStyle w:val="TOC2"/>
            <w:rPr>
              <w:rFonts w:asciiTheme="minorHAnsi" w:eastAsiaTheme="minorEastAsia" w:hAnsiTheme="minorHAnsi" w:cstheme="minorBidi"/>
              <w:sz w:val="22"/>
              <w:szCs w:val="22"/>
              <w:lang w:val="en-GB" w:eastAsia="en-GB" w:bidi="ar-SA"/>
            </w:rPr>
          </w:pPr>
          <w:hyperlink w:anchor="_Toc2861071" w:history="1">
            <w:r w:rsidR="006D7143" w:rsidRPr="006B072F">
              <w:rPr>
                <w:rStyle w:val="Hyperlink"/>
              </w:rPr>
              <w:t>ANNEXE C14: Instructions pour la préparation des avenants, des modifications du plan de travail et des lettres d’accompagnement</w:t>
            </w:r>
            <w:r w:rsidR="006D7143">
              <w:rPr>
                <w:webHidden/>
              </w:rPr>
              <w:tab/>
            </w:r>
            <w:r w:rsidR="006D7143">
              <w:rPr>
                <w:webHidden/>
              </w:rPr>
              <w:fldChar w:fldCharType="begin"/>
            </w:r>
            <w:r w:rsidR="006D7143">
              <w:rPr>
                <w:webHidden/>
              </w:rPr>
              <w:instrText xml:space="preserve"> PAGEREF _Toc2861071 \h </w:instrText>
            </w:r>
            <w:r w:rsidR="006D7143">
              <w:rPr>
                <w:webHidden/>
              </w:rPr>
            </w:r>
            <w:r w:rsidR="006D7143">
              <w:rPr>
                <w:webHidden/>
              </w:rPr>
              <w:fldChar w:fldCharType="separate"/>
            </w:r>
            <w:r>
              <w:rPr>
                <w:webHidden/>
              </w:rPr>
              <w:t>264</w:t>
            </w:r>
            <w:r w:rsidR="006D7143">
              <w:rPr>
                <w:webHidden/>
              </w:rPr>
              <w:fldChar w:fldCharType="end"/>
            </w:r>
          </w:hyperlink>
        </w:p>
        <w:p w14:paraId="20AFA816" w14:textId="4E0DBCF6" w:rsidR="006D7143" w:rsidRDefault="00CC09A6">
          <w:pPr>
            <w:pStyle w:val="TOC2"/>
            <w:rPr>
              <w:rFonts w:asciiTheme="minorHAnsi" w:eastAsiaTheme="minorEastAsia" w:hAnsiTheme="minorHAnsi" w:cstheme="minorBidi"/>
              <w:sz w:val="22"/>
              <w:szCs w:val="22"/>
              <w:lang w:val="en-GB" w:eastAsia="en-GB" w:bidi="ar-SA"/>
            </w:rPr>
          </w:pPr>
          <w:hyperlink w:anchor="_Toc2861072" w:history="1">
            <w:r w:rsidR="006D7143" w:rsidRPr="006B072F">
              <w:rPr>
                <w:rStyle w:val="Hyperlink"/>
              </w:rPr>
              <w:t>ANNEXE C15: Modèle de plan de travail évolutif</w:t>
            </w:r>
            <w:r w:rsidR="006D7143">
              <w:rPr>
                <w:webHidden/>
              </w:rPr>
              <w:tab/>
            </w:r>
            <w:r w:rsidR="006D7143">
              <w:rPr>
                <w:webHidden/>
              </w:rPr>
              <w:fldChar w:fldCharType="begin"/>
            </w:r>
            <w:r w:rsidR="006D7143">
              <w:rPr>
                <w:webHidden/>
              </w:rPr>
              <w:instrText xml:space="preserve"> PAGEREF _Toc2861072 \h </w:instrText>
            </w:r>
            <w:r w:rsidR="006D7143">
              <w:rPr>
                <w:webHidden/>
              </w:rPr>
            </w:r>
            <w:r w:rsidR="006D7143">
              <w:rPr>
                <w:webHidden/>
              </w:rPr>
              <w:fldChar w:fldCharType="separate"/>
            </w:r>
            <w:r>
              <w:rPr>
                <w:webHidden/>
              </w:rPr>
              <w:t>266</w:t>
            </w:r>
            <w:r w:rsidR="006D7143">
              <w:rPr>
                <w:webHidden/>
              </w:rPr>
              <w:fldChar w:fldCharType="end"/>
            </w:r>
          </w:hyperlink>
        </w:p>
        <w:p w14:paraId="0DD0175B" w14:textId="114CB29D" w:rsidR="006D7143" w:rsidRDefault="00CC09A6">
          <w:pPr>
            <w:pStyle w:val="TOC2"/>
            <w:rPr>
              <w:rFonts w:asciiTheme="minorHAnsi" w:eastAsiaTheme="minorEastAsia" w:hAnsiTheme="minorHAnsi" w:cstheme="minorBidi"/>
              <w:sz w:val="22"/>
              <w:szCs w:val="22"/>
              <w:lang w:val="en-GB" w:eastAsia="en-GB" w:bidi="ar-SA"/>
            </w:rPr>
          </w:pPr>
          <w:hyperlink w:anchor="_Toc2861073" w:history="1">
            <w:r w:rsidR="006D7143" w:rsidRPr="006B072F">
              <w:rPr>
                <w:rStyle w:val="Hyperlink"/>
              </w:rPr>
              <w:t>ANNEXE C16: Lignes directrices relatives aux missions d’information</w:t>
            </w:r>
            <w:r w:rsidR="006D7143">
              <w:rPr>
                <w:webHidden/>
              </w:rPr>
              <w:tab/>
            </w:r>
            <w:r w:rsidR="006D7143">
              <w:rPr>
                <w:webHidden/>
              </w:rPr>
              <w:fldChar w:fldCharType="begin"/>
            </w:r>
            <w:r w:rsidR="006D7143">
              <w:rPr>
                <w:webHidden/>
              </w:rPr>
              <w:instrText xml:space="preserve"> PAGEREF _Toc2861073 \h </w:instrText>
            </w:r>
            <w:r w:rsidR="006D7143">
              <w:rPr>
                <w:webHidden/>
              </w:rPr>
            </w:r>
            <w:r w:rsidR="006D7143">
              <w:rPr>
                <w:webHidden/>
              </w:rPr>
              <w:fldChar w:fldCharType="separate"/>
            </w:r>
            <w:r>
              <w:rPr>
                <w:webHidden/>
              </w:rPr>
              <w:t>270</w:t>
            </w:r>
            <w:r w:rsidR="006D7143">
              <w:rPr>
                <w:webHidden/>
              </w:rPr>
              <w:fldChar w:fldCharType="end"/>
            </w:r>
          </w:hyperlink>
        </w:p>
        <w:p w14:paraId="031CBCDA" w14:textId="5C6FFEEE" w:rsidR="006D7143" w:rsidRDefault="00CC09A6">
          <w:pPr>
            <w:pStyle w:val="TOC2"/>
            <w:rPr>
              <w:rFonts w:asciiTheme="minorHAnsi" w:eastAsiaTheme="minorEastAsia" w:hAnsiTheme="minorHAnsi" w:cstheme="minorBidi"/>
              <w:sz w:val="22"/>
              <w:szCs w:val="22"/>
              <w:lang w:val="en-GB" w:eastAsia="en-GB" w:bidi="ar-SA"/>
            </w:rPr>
          </w:pPr>
          <w:hyperlink w:anchor="_Toc2861074" w:history="1">
            <w:r w:rsidR="006D7143" w:rsidRPr="006B072F">
              <w:rPr>
                <w:rStyle w:val="Hyperlink"/>
              </w:rPr>
              <w:t>ANNEXE C17: Modèle pour l’autocertification du statut d’organisme mandaté</w:t>
            </w:r>
            <w:r w:rsidR="006D7143">
              <w:rPr>
                <w:webHidden/>
              </w:rPr>
              <w:tab/>
            </w:r>
            <w:r w:rsidR="006D7143">
              <w:rPr>
                <w:webHidden/>
              </w:rPr>
              <w:fldChar w:fldCharType="begin"/>
            </w:r>
            <w:r w:rsidR="006D7143">
              <w:rPr>
                <w:webHidden/>
              </w:rPr>
              <w:instrText xml:space="preserve"> PAGEREF _Toc2861074 \h </w:instrText>
            </w:r>
            <w:r w:rsidR="006D7143">
              <w:rPr>
                <w:webHidden/>
              </w:rPr>
            </w:r>
            <w:r w:rsidR="006D7143">
              <w:rPr>
                <w:webHidden/>
              </w:rPr>
              <w:fldChar w:fldCharType="separate"/>
            </w:r>
            <w:r>
              <w:rPr>
                <w:webHidden/>
              </w:rPr>
              <w:t>272</w:t>
            </w:r>
            <w:r w:rsidR="006D7143">
              <w:rPr>
                <w:webHidden/>
              </w:rPr>
              <w:fldChar w:fldCharType="end"/>
            </w:r>
          </w:hyperlink>
        </w:p>
        <w:p w14:paraId="0085B2EB" w14:textId="771A773B" w:rsidR="006D7143" w:rsidRDefault="00CC09A6">
          <w:pPr>
            <w:pStyle w:val="TOC2"/>
            <w:rPr>
              <w:rFonts w:asciiTheme="minorHAnsi" w:eastAsiaTheme="minorEastAsia" w:hAnsiTheme="minorHAnsi" w:cstheme="minorBidi"/>
              <w:sz w:val="22"/>
              <w:szCs w:val="22"/>
              <w:lang w:val="en-GB" w:eastAsia="en-GB" w:bidi="ar-SA"/>
            </w:rPr>
          </w:pPr>
          <w:hyperlink w:anchor="_Toc2861075" w:history="1">
            <w:r w:rsidR="006D7143" w:rsidRPr="006B072F">
              <w:rPr>
                <w:rStyle w:val="Hyperlink"/>
              </w:rPr>
              <w:t>ANNEXE C19: Modèle de plan de communication et de visibilité</w:t>
            </w:r>
            <w:r w:rsidR="006D7143">
              <w:rPr>
                <w:webHidden/>
              </w:rPr>
              <w:tab/>
            </w:r>
            <w:r w:rsidR="006D7143">
              <w:rPr>
                <w:webHidden/>
              </w:rPr>
              <w:fldChar w:fldCharType="begin"/>
            </w:r>
            <w:r w:rsidR="006D7143">
              <w:rPr>
                <w:webHidden/>
              </w:rPr>
              <w:instrText xml:space="preserve"> PAGEREF _Toc2861075 \h </w:instrText>
            </w:r>
            <w:r w:rsidR="006D7143">
              <w:rPr>
                <w:webHidden/>
              </w:rPr>
            </w:r>
            <w:r w:rsidR="006D7143">
              <w:rPr>
                <w:webHidden/>
              </w:rPr>
              <w:fldChar w:fldCharType="separate"/>
            </w:r>
            <w:r>
              <w:rPr>
                <w:webHidden/>
              </w:rPr>
              <w:t>277</w:t>
            </w:r>
            <w:r w:rsidR="006D7143">
              <w:rPr>
                <w:webHidden/>
              </w:rPr>
              <w:fldChar w:fldCharType="end"/>
            </w:r>
          </w:hyperlink>
        </w:p>
        <w:p w14:paraId="5C04F0F4" w14:textId="3696AAD3" w:rsidR="00E668DA" w:rsidRDefault="00755861" w:rsidP="00AB264C">
          <w:pPr>
            <w:pStyle w:val="TOC1"/>
            <w:spacing w:before="0" w:after="0"/>
            <w:rPr>
              <w:rFonts w:ascii="Times New Roman" w:hAnsi="Times New Roman"/>
              <w:caps w:val="0"/>
            </w:rPr>
          </w:pPr>
          <w:r>
            <w:rPr>
              <w:rFonts w:ascii="Times New Roman" w:hAnsi="Times New Roman" w:cs="Times New Roman"/>
              <w:b w:val="0"/>
              <w:bCs w:val="0"/>
              <w:sz w:val="20"/>
              <w:szCs w:val="20"/>
            </w:rPr>
            <w:fldChar w:fldCharType="end"/>
          </w:r>
        </w:p>
      </w:sdtContent>
    </w:sdt>
    <w:bookmarkStart w:id="0" w:name="_Toc2860908" w:displacedByCustomXml="prev"/>
    <w:p w14:paraId="2CFF6F35" w14:textId="514048C8" w:rsidR="001F7F17" w:rsidRPr="005107DF" w:rsidRDefault="001F7F17" w:rsidP="00AB264C">
      <w:pPr>
        <w:pStyle w:val="TOC1"/>
        <w:tabs>
          <w:tab w:val="clear" w:pos="1680"/>
          <w:tab w:val="clear" w:pos="7972"/>
          <w:tab w:val="left" w:pos="2108"/>
        </w:tabs>
      </w:pPr>
      <w:r w:rsidRPr="00AB264C">
        <w:br w:type="page"/>
      </w:r>
      <w:bookmarkStart w:id="1" w:name="_Toc517434345"/>
      <w:r>
        <w:lastRenderedPageBreak/>
        <w:t>GLOSSAIRE</w:t>
      </w:r>
      <w:bookmarkEnd w:id="1"/>
      <w:bookmarkEnd w:id="0"/>
    </w:p>
    <w:p w14:paraId="11F83AD8" w14:textId="77777777" w:rsidR="001F7F17" w:rsidRPr="005107DF" w:rsidRDefault="001F7F17" w:rsidP="001F7F17">
      <w:pPr>
        <w:spacing w:after="0" w:line="240" w:lineRule="auto"/>
        <w:rPr>
          <w:rFonts w:ascii="Times New Roman" w:eastAsia="Calibri" w:hAnsi="Times New Roman" w:cs="Times New Roman"/>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375"/>
      </w:tblGrid>
      <w:tr w:rsidR="001F7F17" w:rsidRPr="005107DF" w14:paraId="017D099A" w14:textId="77777777" w:rsidTr="007338F0">
        <w:tc>
          <w:tcPr>
            <w:tcW w:w="1805" w:type="dxa"/>
            <w:shd w:val="clear" w:color="auto" w:fill="auto"/>
          </w:tcPr>
          <w:p w14:paraId="7AF62DD5"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Bénéficiaire</w:t>
            </w:r>
          </w:p>
        </w:tc>
        <w:tc>
          <w:tcPr>
            <w:tcW w:w="7375" w:type="dxa"/>
            <w:shd w:val="clear" w:color="auto" w:fill="auto"/>
          </w:tcPr>
          <w:p w14:paraId="51493B84" w14:textId="77777777" w:rsidR="001F7F17" w:rsidRPr="005107DF" w:rsidRDefault="001F7F17" w:rsidP="001F7F17">
            <w:pPr>
              <w:spacing w:after="0" w:line="240" w:lineRule="auto"/>
              <w:jc w:val="both"/>
              <w:rPr>
                <w:rFonts w:ascii="Times New Roman" w:eastAsia="Calibri" w:hAnsi="Times New Roman" w:cs="Times New Roman"/>
              </w:rPr>
            </w:pPr>
            <w:r>
              <w:rPr>
                <w:rFonts w:ascii="Times New Roman" w:hAnsi="Times New Roman"/>
              </w:rPr>
              <w:t>Ce terme est utilisé pour désigner l’ensemble des pays et des territoires avec lesquels l’UE coopère dans le cadre de l’IAP et de l’IEV.</w:t>
            </w:r>
          </w:p>
        </w:tc>
      </w:tr>
      <w:tr w:rsidR="001F7F17" w:rsidRPr="005107DF" w14:paraId="31701F9A" w14:textId="77777777" w:rsidTr="007338F0">
        <w:tc>
          <w:tcPr>
            <w:tcW w:w="1805" w:type="dxa"/>
            <w:shd w:val="clear" w:color="auto" w:fill="auto"/>
          </w:tcPr>
          <w:p w14:paraId="34E619D6"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Administration bénéficiaire</w:t>
            </w:r>
          </w:p>
        </w:tc>
        <w:tc>
          <w:tcPr>
            <w:tcW w:w="7375" w:type="dxa"/>
            <w:shd w:val="clear" w:color="auto" w:fill="auto"/>
          </w:tcPr>
          <w:p w14:paraId="7A79E5C1" w14:textId="77777777" w:rsidR="001F7F17" w:rsidRPr="005107DF" w:rsidRDefault="001F7F17" w:rsidP="001628B5">
            <w:pPr>
              <w:spacing w:after="0" w:line="240" w:lineRule="auto"/>
              <w:jc w:val="both"/>
              <w:rPr>
                <w:rFonts w:ascii="Times New Roman" w:eastAsia="Calibri" w:hAnsi="Times New Roman" w:cs="Times New Roman"/>
              </w:rPr>
            </w:pPr>
            <w:r>
              <w:rPr>
                <w:rFonts w:ascii="Times New Roman" w:hAnsi="Times New Roman"/>
              </w:rPr>
              <w:t>L’administration bénéficiaire responsable de la mise en œuvre technique du projet dans le pays bénéficiaire.</w:t>
            </w:r>
          </w:p>
        </w:tc>
      </w:tr>
      <w:tr w:rsidR="001F7F17" w:rsidRPr="005107DF" w14:paraId="35C2D950" w14:textId="77777777" w:rsidTr="007338F0">
        <w:tc>
          <w:tcPr>
            <w:tcW w:w="1805" w:type="dxa"/>
            <w:shd w:val="clear" w:color="auto" w:fill="auto"/>
          </w:tcPr>
          <w:p w14:paraId="35792A31"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AC</w:t>
            </w:r>
          </w:p>
        </w:tc>
        <w:tc>
          <w:tcPr>
            <w:tcW w:w="7375" w:type="dxa"/>
            <w:shd w:val="clear" w:color="auto" w:fill="auto"/>
          </w:tcPr>
          <w:p w14:paraId="04546C13" w14:textId="77777777" w:rsidR="001F7F17" w:rsidRPr="005107DF" w:rsidRDefault="001F7F17" w:rsidP="00135E99">
            <w:pPr>
              <w:spacing w:after="0" w:line="240" w:lineRule="auto"/>
              <w:jc w:val="both"/>
              <w:rPr>
                <w:rFonts w:ascii="Times New Roman" w:eastAsia="Calibri" w:hAnsi="Times New Roman" w:cs="Times New Roman"/>
              </w:rPr>
            </w:pPr>
            <w:r>
              <w:rPr>
                <w:rFonts w:ascii="Times New Roman" w:hAnsi="Times New Roman"/>
                <w:color w:val="000000"/>
              </w:rPr>
              <w:t>Administration contractante</w:t>
            </w:r>
          </w:p>
        </w:tc>
      </w:tr>
      <w:tr w:rsidR="001F7F17" w:rsidRPr="005107DF" w14:paraId="2CD8BB52" w14:textId="77777777" w:rsidTr="007338F0">
        <w:tc>
          <w:tcPr>
            <w:tcW w:w="1805" w:type="dxa"/>
            <w:shd w:val="clear" w:color="auto" w:fill="auto"/>
          </w:tcPr>
          <w:p w14:paraId="0F17A5B0"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 xml:space="preserve">ECFC  </w:t>
            </w:r>
          </w:p>
        </w:tc>
        <w:tc>
          <w:tcPr>
            <w:tcW w:w="7375" w:type="dxa"/>
            <w:shd w:val="clear" w:color="auto" w:fill="auto"/>
          </w:tcPr>
          <w:p w14:paraId="193BF954" w14:textId="5EF28EF0" w:rsidR="001F7F17" w:rsidRPr="005107DF" w:rsidRDefault="001F7F17" w:rsidP="00B64058">
            <w:pPr>
              <w:spacing w:after="0" w:line="240" w:lineRule="auto"/>
              <w:jc w:val="both"/>
              <w:rPr>
                <w:rFonts w:ascii="Times New Roman" w:eastAsia="Calibri" w:hAnsi="Times New Roman" w:cs="Times New Roman"/>
                <w:color w:val="000000"/>
              </w:rPr>
            </w:pPr>
            <w:r>
              <w:rPr>
                <w:rFonts w:ascii="Times New Roman" w:hAnsi="Times New Roman"/>
                <w:color w:val="000000"/>
              </w:rPr>
              <w:t>Entité centrale de financement et de contrats ou agence, unité, service dans les pays IAP. Dans le manuel, tous ces termes sont remplacés par l’abréviation «ECFC».</w:t>
            </w:r>
          </w:p>
        </w:tc>
      </w:tr>
      <w:tr w:rsidR="001F7F17" w:rsidRPr="005107DF" w14:paraId="3D5E0CA0" w14:textId="77777777" w:rsidTr="007338F0">
        <w:tc>
          <w:tcPr>
            <w:tcW w:w="1805" w:type="dxa"/>
            <w:shd w:val="clear" w:color="auto" w:fill="auto"/>
          </w:tcPr>
          <w:p w14:paraId="11970E49" w14:textId="77777777" w:rsidR="001F7F17" w:rsidRPr="005107DF" w:rsidRDefault="00CF7770" w:rsidP="001F7F17">
            <w:pPr>
              <w:spacing w:after="0" w:line="240" w:lineRule="auto"/>
              <w:rPr>
                <w:rFonts w:ascii="Times New Roman" w:eastAsia="Calibri" w:hAnsi="Times New Roman" w:cs="Times New Roman"/>
                <w:color w:val="000000"/>
              </w:rPr>
            </w:pPr>
            <w:r>
              <w:rPr>
                <w:rFonts w:ascii="Times New Roman" w:hAnsi="Times New Roman"/>
                <w:color w:val="000000"/>
              </w:rPr>
              <w:t>Responsable de volet</w:t>
            </w:r>
          </w:p>
        </w:tc>
        <w:tc>
          <w:tcPr>
            <w:tcW w:w="7375" w:type="dxa"/>
            <w:shd w:val="clear" w:color="auto" w:fill="auto"/>
          </w:tcPr>
          <w:p w14:paraId="6B0BC3A9" w14:textId="77777777" w:rsidR="001F7F17" w:rsidRPr="005107DF" w:rsidRDefault="001F7F17" w:rsidP="001628B5">
            <w:pPr>
              <w:spacing w:after="0" w:line="240" w:lineRule="auto"/>
              <w:jc w:val="both"/>
              <w:rPr>
                <w:rFonts w:ascii="Times New Roman" w:eastAsia="Calibri" w:hAnsi="Times New Roman" w:cs="Times New Roman"/>
                <w:color w:val="000000"/>
              </w:rPr>
            </w:pPr>
            <w:r>
              <w:rPr>
                <w:rFonts w:ascii="Times New Roman" w:hAnsi="Times New Roman"/>
                <w:color w:val="000000"/>
              </w:rPr>
              <w:t>Expert de l’État membre et du bénéficiaire responsable d’un volet ou d’un résultat/produit obligatoire spécifique dans un projet de jumelage.</w:t>
            </w:r>
          </w:p>
        </w:tc>
      </w:tr>
      <w:tr w:rsidR="002B73C9" w:rsidRPr="005107DF" w14:paraId="296FB160" w14:textId="77777777" w:rsidTr="007338F0">
        <w:tc>
          <w:tcPr>
            <w:tcW w:w="1805" w:type="dxa"/>
            <w:shd w:val="clear" w:color="auto" w:fill="auto"/>
          </w:tcPr>
          <w:p w14:paraId="5C17350F" w14:textId="77777777" w:rsidR="002B73C9" w:rsidRPr="005107DF" w:rsidRDefault="00065FA9" w:rsidP="00065FA9">
            <w:pPr>
              <w:spacing w:after="0" w:line="240" w:lineRule="auto"/>
              <w:rPr>
                <w:rFonts w:ascii="Times New Roman" w:eastAsia="Calibri" w:hAnsi="Times New Roman" w:cs="Times New Roman"/>
                <w:color w:val="000000"/>
              </w:rPr>
            </w:pPr>
            <w:r>
              <w:rPr>
                <w:rFonts w:ascii="Times New Roman" w:hAnsi="Times New Roman"/>
                <w:color w:val="000000"/>
              </w:rPr>
              <w:t>Homologue du responsable de volet</w:t>
            </w:r>
          </w:p>
        </w:tc>
        <w:tc>
          <w:tcPr>
            <w:tcW w:w="7375" w:type="dxa"/>
            <w:shd w:val="clear" w:color="auto" w:fill="auto"/>
          </w:tcPr>
          <w:p w14:paraId="015B5F9D" w14:textId="77777777" w:rsidR="002B73C9" w:rsidRPr="005107DF" w:rsidRDefault="00065FA9">
            <w:pPr>
              <w:spacing w:after="0" w:line="240" w:lineRule="auto"/>
              <w:jc w:val="both"/>
              <w:rPr>
                <w:rFonts w:ascii="Times New Roman" w:eastAsia="Calibri" w:hAnsi="Times New Roman" w:cs="Times New Roman"/>
                <w:color w:val="000000"/>
              </w:rPr>
            </w:pPr>
            <w:r>
              <w:rPr>
                <w:rFonts w:ascii="Times New Roman" w:hAnsi="Times New Roman"/>
                <w:color w:val="000000"/>
              </w:rPr>
              <w:t>L’homologue du responsable de volet est un membre du personnel de l’administration bénéficiaire qui est l’interlocuteur permanent du responsable de volet de l’État membre coordonnant les activités axées sur l’obtention d’un résultat/produit obligatoire.</w:t>
            </w:r>
          </w:p>
        </w:tc>
      </w:tr>
      <w:tr w:rsidR="001F7F17" w:rsidRPr="005107DF" w14:paraId="33D1C27F" w14:textId="77777777" w:rsidTr="007338F0">
        <w:tc>
          <w:tcPr>
            <w:tcW w:w="1805" w:type="dxa"/>
            <w:shd w:val="clear" w:color="auto" w:fill="auto"/>
          </w:tcPr>
          <w:p w14:paraId="3CF47137" w14:textId="77777777" w:rsidR="001F7F17" w:rsidRPr="005107DF" w:rsidRDefault="001F7F17" w:rsidP="001F7F17">
            <w:pPr>
              <w:spacing w:after="0" w:line="240" w:lineRule="auto"/>
              <w:rPr>
                <w:rFonts w:ascii="Times New Roman" w:eastAsia="Calibri" w:hAnsi="Times New Roman" w:cs="Times New Roman"/>
                <w:color w:val="000000"/>
              </w:rPr>
            </w:pPr>
            <w:r>
              <w:rPr>
                <w:rFonts w:ascii="Times New Roman" w:hAnsi="Times New Roman"/>
                <w:color w:val="000000"/>
              </w:rPr>
              <w:t>Pays</w:t>
            </w:r>
          </w:p>
        </w:tc>
        <w:tc>
          <w:tcPr>
            <w:tcW w:w="7375" w:type="dxa"/>
            <w:shd w:val="clear" w:color="auto" w:fill="auto"/>
          </w:tcPr>
          <w:p w14:paraId="08A818F2" w14:textId="77777777" w:rsidR="001F7F17" w:rsidRPr="005107DF" w:rsidRDefault="001F7F17">
            <w:pPr>
              <w:spacing w:after="0" w:line="240" w:lineRule="auto"/>
              <w:jc w:val="both"/>
              <w:rPr>
                <w:rFonts w:ascii="Times New Roman" w:eastAsia="Calibri" w:hAnsi="Times New Roman" w:cs="Times New Roman"/>
                <w:color w:val="000000"/>
              </w:rPr>
            </w:pPr>
            <w:r>
              <w:rPr>
                <w:rFonts w:ascii="Times New Roman" w:hAnsi="Times New Roman"/>
                <w:color w:val="000000"/>
              </w:rPr>
              <w:t>Aux fins du présent manuel de jumelage, le terme «pays» désigne également les territoires.</w:t>
            </w:r>
          </w:p>
        </w:tc>
      </w:tr>
      <w:tr w:rsidR="001F7F17" w:rsidRPr="005107DF" w14:paraId="32BBAC43" w14:textId="77777777" w:rsidTr="007338F0">
        <w:tc>
          <w:tcPr>
            <w:tcW w:w="1805" w:type="dxa"/>
            <w:shd w:val="clear" w:color="auto" w:fill="auto"/>
          </w:tcPr>
          <w:p w14:paraId="111F6006" w14:textId="77777777" w:rsidR="001F7F17" w:rsidRPr="005107DF" w:rsidRDefault="001F7F17" w:rsidP="001F7F17">
            <w:pPr>
              <w:spacing w:after="0" w:line="240" w:lineRule="auto"/>
              <w:rPr>
                <w:rFonts w:ascii="Times New Roman" w:eastAsia="Calibri" w:hAnsi="Times New Roman" w:cs="Times New Roman"/>
                <w:color w:val="000000"/>
              </w:rPr>
            </w:pPr>
            <w:r>
              <w:rPr>
                <w:rFonts w:ascii="Times New Roman" w:hAnsi="Times New Roman"/>
                <w:color w:val="000000"/>
              </w:rPr>
              <w:t>Kosovo*</w:t>
            </w:r>
          </w:p>
        </w:tc>
        <w:tc>
          <w:tcPr>
            <w:tcW w:w="7375" w:type="dxa"/>
            <w:shd w:val="clear" w:color="auto" w:fill="auto"/>
          </w:tcPr>
          <w:p w14:paraId="7BB39081" w14:textId="77777777" w:rsidR="001F7F17" w:rsidRPr="005107DF" w:rsidRDefault="001F7F17" w:rsidP="001F7F17">
            <w:pPr>
              <w:spacing w:after="0" w:line="240" w:lineRule="auto"/>
              <w:jc w:val="both"/>
              <w:rPr>
                <w:rFonts w:ascii="Times New Roman" w:eastAsia="Calibri" w:hAnsi="Times New Roman" w:cs="Times New Roman"/>
                <w:color w:val="000000"/>
              </w:rPr>
            </w:pPr>
            <w:r>
              <w:rPr>
                <w:rFonts w:ascii="Times New Roman" w:hAnsi="Times New Roman"/>
                <w:color w:val="000000"/>
              </w:rPr>
              <w:t>Cette désignation est sans préjudice des positions sur le statut et est conforme à la résolution 1244/1999 du Conseil de sécurité des Nations unies ainsi qu’à l’avis de la CIJ sur la déclaration d’indépendance du Kosovo.</w:t>
            </w:r>
          </w:p>
        </w:tc>
      </w:tr>
      <w:tr w:rsidR="001F7F17" w:rsidRPr="005107DF" w14:paraId="70B43A49" w14:textId="77777777" w:rsidTr="007338F0">
        <w:tc>
          <w:tcPr>
            <w:tcW w:w="1805" w:type="dxa"/>
            <w:shd w:val="clear" w:color="auto" w:fill="auto"/>
          </w:tcPr>
          <w:p w14:paraId="64CC4281" w14:textId="77777777" w:rsidR="001F7F17" w:rsidRPr="005107DF" w:rsidRDefault="001F7F17" w:rsidP="001628B5">
            <w:pPr>
              <w:spacing w:after="0" w:line="240" w:lineRule="auto"/>
              <w:jc w:val="both"/>
              <w:rPr>
                <w:rFonts w:ascii="Times New Roman" w:eastAsia="Calibri" w:hAnsi="Times New Roman" w:cs="Times New Roman"/>
                <w:color w:val="000000"/>
              </w:rPr>
            </w:pPr>
            <w:r>
              <w:rPr>
                <w:rFonts w:ascii="Times New Roman" w:hAnsi="Times New Roman"/>
                <w:color w:val="000000"/>
              </w:rPr>
              <w:t>Palestine*</w:t>
            </w:r>
          </w:p>
        </w:tc>
        <w:tc>
          <w:tcPr>
            <w:tcW w:w="7375" w:type="dxa"/>
            <w:shd w:val="clear" w:color="auto" w:fill="auto"/>
          </w:tcPr>
          <w:p w14:paraId="0B204999" w14:textId="77777777" w:rsidR="001F7F17" w:rsidRPr="005107DF" w:rsidRDefault="001F7F17" w:rsidP="001F7F17">
            <w:pPr>
              <w:spacing w:after="0" w:line="240" w:lineRule="auto"/>
              <w:jc w:val="both"/>
              <w:rPr>
                <w:rFonts w:ascii="Times New Roman" w:eastAsia="Calibri" w:hAnsi="Times New Roman" w:cs="Times New Roman"/>
                <w:color w:val="000000"/>
              </w:rPr>
            </w:pPr>
            <w:r>
              <w:rPr>
                <w:rFonts w:ascii="Times New Roman" w:hAnsi="Times New Roman"/>
                <w:color w:val="000000"/>
              </w:rPr>
              <w:t>Cette dénomination ne saurait être interprétée comme une reconnaissance d’un État de Palestine et est sans préjudice de la position de chaque État membre sur cette question.</w:t>
            </w:r>
          </w:p>
        </w:tc>
      </w:tr>
      <w:tr w:rsidR="001F7F17" w:rsidRPr="005107DF" w14:paraId="544748A4" w14:textId="77777777" w:rsidTr="007338F0">
        <w:tc>
          <w:tcPr>
            <w:tcW w:w="1805" w:type="dxa"/>
            <w:shd w:val="clear" w:color="auto" w:fill="auto"/>
          </w:tcPr>
          <w:p w14:paraId="4D2CFC34" w14:textId="77777777" w:rsidR="001F7F17" w:rsidRPr="005107DF" w:rsidRDefault="001F7F17" w:rsidP="001F7F17">
            <w:pPr>
              <w:spacing w:after="0" w:line="240" w:lineRule="auto"/>
              <w:rPr>
                <w:rFonts w:ascii="Times New Roman" w:eastAsia="Calibri" w:hAnsi="Times New Roman" w:cs="Times New Roman"/>
                <w:color w:val="000000"/>
              </w:rPr>
            </w:pPr>
            <w:r>
              <w:rPr>
                <w:rFonts w:ascii="Times New Roman" w:hAnsi="Times New Roman"/>
                <w:color w:val="000000"/>
              </w:rPr>
              <w:t>DG DEVCO</w:t>
            </w:r>
          </w:p>
        </w:tc>
        <w:tc>
          <w:tcPr>
            <w:tcW w:w="7375" w:type="dxa"/>
            <w:shd w:val="clear" w:color="auto" w:fill="auto"/>
          </w:tcPr>
          <w:p w14:paraId="51D43021" w14:textId="77777777" w:rsidR="001F7F17" w:rsidRPr="005107DF" w:rsidRDefault="001F7F17" w:rsidP="001F7F17">
            <w:pPr>
              <w:spacing w:after="0" w:line="240" w:lineRule="auto"/>
              <w:jc w:val="both"/>
              <w:rPr>
                <w:rFonts w:ascii="Times New Roman" w:eastAsia="Calibri" w:hAnsi="Times New Roman" w:cs="Times New Roman"/>
                <w:color w:val="000000"/>
              </w:rPr>
            </w:pPr>
            <w:r>
              <w:rPr>
                <w:rFonts w:ascii="Times New Roman" w:hAnsi="Times New Roman"/>
                <w:color w:val="000000"/>
              </w:rPr>
              <w:t>Direction générale de la coopération internationale et du développement</w:t>
            </w:r>
          </w:p>
        </w:tc>
      </w:tr>
      <w:tr w:rsidR="001F7F17" w:rsidRPr="005107DF" w14:paraId="1604996B" w14:textId="77777777" w:rsidTr="007338F0">
        <w:tc>
          <w:tcPr>
            <w:tcW w:w="1805" w:type="dxa"/>
            <w:shd w:val="clear" w:color="auto" w:fill="auto"/>
          </w:tcPr>
          <w:p w14:paraId="4DBA8F92" w14:textId="77777777" w:rsidR="001F7F17" w:rsidRPr="005107DF" w:rsidRDefault="001F7F17" w:rsidP="001F7F17">
            <w:pPr>
              <w:spacing w:after="0" w:line="240" w:lineRule="auto"/>
              <w:rPr>
                <w:rFonts w:ascii="Times New Roman" w:eastAsia="Calibri" w:hAnsi="Times New Roman" w:cs="Times New Roman"/>
                <w:color w:val="000000"/>
              </w:rPr>
            </w:pPr>
            <w:r>
              <w:rPr>
                <w:rFonts w:ascii="Times New Roman" w:hAnsi="Times New Roman"/>
                <w:color w:val="000000"/>
              </w:rPr>
              <w:t>DG NEAR</w:t>
            </w:r>
          </w:p>
        </w:tc>
        <w:tc>
          <w:tcPr>
            <w:tcW w:w="7375" w:type="dxa"/>
            <w:shd w:val="clear" w:color="auto" w:fill="auto"/>
          </w:tcPr>
          <w:p w14:paraId="0922C5A2" w14:textId="77777777" w:rsidR="001F7F17" w:rsidRPr="005107DF" w:rsidRDefault="001F7F17" w:rsidP="001628B5">
            <w:pPr>
              <w:spacing w:after="0" w:line="240" w:lineRule="auto"/>
              <w:jc w:val="both"/>
              <w:rPr>
                <w:rFonts w:ascii="Times New Roman" w:eastAsia="Calibri" w:hAnsi="Times New Roman" w:cs="Times New Roman"/>
                <w:color w:val="000000"/>
              </w:rPr>
            </w:pPr>
            <w:r>
              <w:rPr>
                <w:rFonts w:ascii="Times New Roman" w:hAnsi="Times New Roman"/>
                <w:color w:val="000000"/>
              </w:rPr>
              <w:t>Direction générale du voisinage et des négociations d’élargissement</w:t>
            </w:r>
          </w:p>
        </w:tc>
      </w:tr>
      <w:tr w:rsidR="001F7F17" w:rsidRPr="005107DF" w14:paraId="03647A5D" w14:textId="77777777" w:rsidTr="007338F0">
        <w:tc>
          <w:tcPr>
            <w:tcW w:w="1805" w:type="dxa"/>
            <w:shd w:val="clear" w:color="auto" w:fill="auto"/>
          </w:tcPr>
          <w:p w14:paraId="497E4EE0"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color w:val="000000"/>
              </w:rPr>
              <w:t>IEV</w:t>
            </w:r>
          </w:p>
        </w:tc>
        <w:tc>
          <w:tcPr>
            <w:tcW w:w="7375" w:type="dxa"/>
            <w:shd w:val="clear" w:color="auto" w:fill="auto"/>
          </w:tcPr>
          <w:p w14:paraId="0DA4B946" w14:textId="77777777" w:rsidR="001F7F17" w:rsidRPr="005107DF" w:rsidRDefault="001F7F17" w:rsidP="001628B5">
            <w:pPr>
              <w:spacing w:after="0" w:line="240" w:lineRule="auto"/>
              <w:jc w:val="both"/>
              <w:rPr>
                <w:rFonts w:ascii="Times New Roman" w:eastAsia="Calibri" w:hAnsi="Times New Roman" w:cs="Times New Roman"/>
              </w:rPr>
            </w:pPr>
            <w:r>
              <w:rPr>
                <w:rFonts w:ascii="Times New Roman" w:hAnsi="Times New Roman"/>
                <w:color w:val="000000"/>
              </w:rPr>
              <w:t xml:space="preserve">L’instrument européen de voisinage (IEV) est l’instrument utilisé par l’Union européenne (UE) pour mettre en œuvre la </w:t>
            </w:r>
            <w:hyperlink r:id="rId10">
              <w:r>
                <w:rPr>
                  <w:rFonts w:ascii="Times New Roman" w:hAnsi="Times New Roman"/>
                  <w:color w:val="000000"/>
                </w:rPr>
                <w:t>politique européenne de voisinage (PEV)</w:t>
              </w:r>
            </w:hyperlink>
            <w:r>
              <w:rPr>
                <w:rFonts w:ascii="Times New Roman" w:hAnsi="Times New Roman"/>
                <w:color w:val="000000"/>
              </w:rPr>
              <w:t xml:space="preserve"> qui gouverne les relations qu’entretient l’UE avec seize de ses plus proches voisins orientaux et méridionaux. Au Sud: </w:t>
            </w:r>
            <w:hyperlink r:id="rId11">
              <w:r>
                <w:rPr>
                  <w:rFonts w:ascii="Times New Roman" w:hAnsi="Times New Roman"/>
                  <w:color w:val="000000"/>
                </w:rPr>
                <w:t>Algérie</w:t>
              </w:r>
            </w:hyperlink>
            <w:r>
              <w:t xml:space="preserve">, </w:t>
            </w:r>
            <w:hyperlink r:id="rId12">
              <w:r>
                <w:rPr>
                  <w:rFonts w:ascii="Times New Roman" w:hAnsi="Times New Roman"/>
                  <w:color w:val="000000"/>
                </w:rPr>
                <w:t>Égypte</w:t>
              </w:r>
            </w:hyperlink>
            <w:r>
              <w:t xml:space="preserve">, </w:t>
            </w:r>
            <w:hyperlink r:id="rId13">
              <w:r>
                <w:rPr>
                  <w:rFonts w:ascii="Times New Roman" w:hAnsi="Times New Roman"/>
                  <w:color w:val="000000"/>
                </w:rPr>
                <w:t>Israël</w:t>
              </w:r>
            </w:hyperlink>
            <w:r>
              <w:t xml:space="preserve">, </w:t>
            </w:r>
            <w:hyperlink r:id="rId14">
              <w:r>
                <w:rPr>
                  <w:rFonts w:ascii="Times New Roman" w:hAnsi="Times New Roman"/>
                  <w:color w:val="000000"/>
                </w:rPr>
                <w:t>Jordanie</w:t>
              </w:r>
            </w:hyperlink>
            <w:r>
              <w:t xml:space="preserve">, </w:t>
            </w:r>
            <w:hyperlink r:id="rId15">
              <w:r>
                <w:rPr>
                  <w:rFonts w:ascii="Times New Roman" w:hAnsi="Times New Roman"/>
                  <w:color w:val="000000"/>
                </w:rPr>
                <w:t>Liban</w:t>
              </w:r>
            </w:hyperlink>
            <w:r>
              <w:t xml:space="preserve">, </w:t>
            </w:r>
            <w:hyperlink r:id="rId16">
              <w:r>
                <w:rPr>
                  <w:rFonts w:ascii="Times New Roman" w:hAnsi="Times New Roman"/>
                  <w:color w:val="000000"/>
                </w:rPr>
                <w:t>Libye</w:t>
              </w:r>
            </w:hyperlink>
            <w:r>
              <w:t xml:space="preserve">, </w:t>
            </w:r>
            <w:hyperlink r:id="rId17">
              <w:r>
                <w:rPr>
                  <w:rFonts w:ascii="Times New Roman" w:hAnsi="Times New Roman"/>
                  <w:color w:val="000000"/>
                </w:rPr>
                <w:t>Maroc</w:t>
              </w:r>
            </w:hyperlink>
            <w:r>
              <w:t xml:space="preserve">, </w:t>
            </w:r>
            <w:hyperlink r:id="rId18">
              <w:r>
                <w:rPr>
                  <w:rFonts w:ascii="Times New Roman" w:hAnsi="Times New Roman"/>
                  <w:color w:val="000000"/>
                </w:rPr>
                <w:t>Palestine</w:t>
              </w:r>
            </w:hyperlink>
            <w:r>
              <w:t xml:space="preserve">*, </w:t>
            </w:r>
            <w:hyperlink r:id="rId19">
              <w:r>
                <w:rPr>
                  <w:rFonts w:ascii="Times New Roman" w:hAnsi="Times New Roman"/>
                  <w:color w:val="000000"/>
                </w:rPr>
                <w:t>Syrie</w:t>
              </w:r>
            </w:hyperlink>
            <w:r>
              <w:t xml:space="preserve"> et </w:t>
            </w:r>
            <w:hyperlink r:id="rId20">
              <w:r>
                <w:rPr>
                  <w:rFonts w:ascii="Times New Roman" w:hAnsi="Times New Roman"/>
                  <w:color w:val="000000"/>
                </w:rPr>
                <w:t>Tunisie</w:t>
              </w:r>
            </w:hyperlink>
            <w:r>
              <w:rPr>
                <w:rFonts w:ascii="Times New Roman" w:hAnsi="Times New Roman"/>
                <w:color w:val="000000"/>
              </w:rPr>
              <w:t xml:space="preserve"> et à l’Est: </w:t>
            </w:r>
            <w:hyperlink r:id="rId21">
              <w:r>
                <w:rPr>
                  <w:rFonts w:ascii="Times New Roman" w:hAnsi="Times New Roman"/>
                  <w:color w:val="000000"/>
                </w:rPr>
                <w:t>Arménie</w:t>
              </w:r>
            </w:hyperlink>
            <w:r>
              <w:t xml:space="preserve">, </w:t>
            </w:r>
            <w:hyperlink r:id="rId22">
              <w:r>
                <w:rPr>
                  <w:rFonts w:ascii="Times New Roman" w:hAnsi="Times New Roman"/>
                  <w:color w:val="000000"/>
                </w:rPr>
                <w:t>Azerbaïdjan</w:t>
              </w:r>
            </w:hyperlink>
            <w:r>
              <w:t xml:space="preserve">, </w:t>
            </w:r>
            <w:hyperlink r:id="rId23">
              <w:r>
                <w:rPr>
                  <w:rFonts w:ascii="Times New Roman" w:hAnsi="Times New Roman"/>
                  <w:color w:val="000000"/>
                </w:rPr>
                <w:t>Biélorussie</w:t>
              </w:r>
            </w:hyperlink>
            <w:r>
              <w:t xml:space="preserve">, </w:t>
            </w:r>
            <w:hyperlink r:id="rId24">
              <w:r>
                <w:rPr>
                  <w:rFonts w:ascii="Times New Roman" w:hAnsi="Times New Roman"/>
                  <w:color w:val="000000"/>
                </w:rPr>
                <w:t>Géorgie</w:t>
              </w:r>
            </w:hyperlink>
            <w:r>
              <w:t xml:space="preserve">, </w:t>
            </w:r>
            <w:hyperlink r:id="rId25">
              <w:r>
                <w:rPr>
                  <w:rFonts w:ascii="Times New Roman" w:hAnsi="Times New Roman"/>
                  <w:color w:val="000000"/>
                </w:rPr>
                <w:t>Moldavie</w:t>
              </w:r>
            </w:hyperlink>
            <w:r>
              <w:t xml:space="preserve"> </w:t>
            </w:r>
            <w:r>
              <w:rPr>
                <w:rFonts w:ascii="Times New Roman" w:hAnsi="Times New Roman"/>
                <w:color w:val="000000"/>
              </w:rPr>
              <w:t>et</w:t>
            </w:r>
            <w:r>
              <w:t xml:space="preserve"> </w:t>
            </w:r>
            <w:hyperlink r:id="rId26">
              <w:r>
                <w:rPr>
                  <w:rFonts w:ascii="Times New Roman" w:hAnsi="Times New Roman"/>
                  <w:color w:val="000000"/>
                </w:rPr>
                <w:t>Ukraine</w:t>
              </w:r>
            </w:hyperlink>
            <w:r>
              <w:rPr>
                <w:rFonts w:ascii="Times New Roman" w:hAnsi="Times New Roman"/>
                <w:color w:val="000000"/>
              </w:rPr>
              <w:t>.</w:t>
            </w:r>
          </w:p>
        </w:tc>
      </w:tr>
      <w:tr w:rsidR="001F7F17" w:rsidRPr="005107DF" w14:paraId="395A007D" w14:textId="77777777" w:rsidTr="007338F0">
        <w:tc>
          <w:tcPr>
            <w:tcW w:w="1805" w:type="dxa"/>
            <w:shd w:val="clear" w:color="auto" w:fill="auto"/>
          </w:tcPr>
          <w:p w14:paraId="40B703A6"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DUE</w:t>
            </w:r>
          </w:p>
        </w:tc>
        <w:tc>
          <w:tcPr>
            <w:tcW w:w="7375" w:type="dxa"/>
            <w:shd w:val="clear" w:color="auto" w:fill="auto"/>
          </w:tcPr>
          <w:p w14:paraId="4813C42E" w14:textId="77777777" w:rsidR="001F7F17" w:rsidRPr="005107DF" w:rsidRDefault="001F7F17" w:rsidP="001628B5">
            <w:pPr>
              <w:spacing w:after="0" w:line="240" w:lineRule="auto"/>
              <w:jc w:val="both"/>
              <w:rPr>
                <w:rFonts w:ascii="Times New Roman" w:eastAsia="Calibri" w:hAnsi="Times New Roman" w:cs="Times New Roman"/>
              </w:rPr>
            </w:pPr>
            <w:r>
              <w:rPr>
                <w:rFonts w:ascii="Times New Roman" w:hAnsi="Times New Roman"/>
              </w:rPr>
              <w:t xml:space="preserve">Délégation de l’UE: lorsque le manuel de jumelage utilise l’abréviation «DUE», il est considéré que celle-ci couvre les délégations de l’UE et les bureaux de l’UE (dans les territoires où il n’y a pas de délégation). </w:t>
            </w:r>
          </w:p>
        </w:tc>
      </w:tr>
      <w:tr w:rsidR="001F7F17" w:rsidRPr="005107DF" w14:paraId="26166612" w14:textId="77777777" w:rsidTr="007338F0">
        <w:tc>
          <w:tcPr>
            <w:tcW w:w="1805" w:type="dxa"/>
            <w:shd w:val="clear" w:color="auto" w:fill="auto"/>
          </w:tcPr>
          <w:p w14:paraId="4CD184D7" w14:textId="77777777" w:rsidR="001F7F17" w:rsidRPr="005107DF" w:rsidRDefault="001F7F17" w:rsidP="001F7F17">
            <w:pPr>
              <w:spacing w:after="0" w:line="240" w:lineRule="auto"/>
              <w:rPr>
                <w:rFonts w:ascii="Times New Roman" w:eastAsia="Calibri" w:hAnsi="Times New Roman" w:cs="Times New Roman"/>
                <w:color w:val="000000"/>
              </w:rPr>
            </w:pPr>
            <w:r>
              <w:rPr>
                <w:rFonts w:ascii="Times New Roman" w:hAnsi="Times New Roman"/>
                <w:color w:val="000000"/>
              </w:rPr>
              <w:t>IBU</w:t>
            </w:r>
          </w:p>
        </w:tc>
        <w:tc>
          <w:tcPr>
            <w:tcW w:w="7375" w:type="dxa"/>
            <w:shd w:val="clear" w:color="auto" w:fill="auto"/>
          </w:tcPr>
          <w:p w14:paraId="1CE2063F" w14:textId="77777777" w:rsidR="001F7F17" w:rsidRPr="005107DF" w:rsidRDefault="001F7F17" w:rsidP="001628B5">
            <w:pPr>
              <w:spacing w:after="0" w:line="240" w:lineRule="auto"/>
              <w:jc w:val="both"/>
              <w:rPr>
                <w:rFonts w:ascii="Times New Roman" w:eastAsia="Calibri" w:hAnsi="Times New Roman" w:cs="Times New Roman"/>
                <w:color w:val="000000"/>
              </w:rPr>
            </w:pPr>
            <w:r>
              <w:rPr>
                <w:rFonts w:ascii="Times New Roman" w:hAnsi="Times New Roman"/>
                <w:color w:val="000000"/>
              </w:rPr>
              <w:t>Unité «Renforcement des institutions» (DG NEAR/C.3)</w:t>
            </w:r>
          </w:p>
        </w:tc>
      </w:tr>
      <w:tr w:rsidR="001F7F17" w:rsidRPr="005107DF" w14:paraId="2702E4BF" w14:textId="77777777" w:rsidTr="007338F0">
        <w:tc>
          <w:tcPr>
            <w:tcW w:w="1805" w:type="dxa"/>
            <w:shd w:val="clear" w:color="auto" w:fill="auto"/>
          </w:tcPr>
          <w:p w14:paraId="44568972"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color w:val="000000"/>
              </w:rPr>
              <w:t xml:space="preserve">IAP </w:t>
            </w:r>
          </w:p>
        </w:tc>
        <w:tc>
          <w:tcPr>
            <w:tcW w:w="7375" w:type="dxa"/>
            <w:shd w:val="clear" w:color="auto" w:fill="auto"/>
          </w:tcPr>
          <w:p w14:paraId="46E3AA23" w14:textId="561075A8" w:rsidR="001F7F17" w:rsidRPr="005107DF" w:rsidRDefault="001F7F17" w:rsidP="00B71AEC">
            <w:pPr>
              <w:spacing w:after="0" w:line="240" w:lineRule="auto"/>
              <w:jc w:val="both"/>
              <w:rPr>
                <w:rFonts w:ascii="Times New Roman" w:eastAsia="Calibri" w:hAnsi="Times New Roman" w:cs="Times New Roman"/>
              </w:rPr>
            </w:pPr>
            <w:r>
              <w:rPr>
                <w:rFonts w:ascii="Times New Roman" w:hAnsi="Times New Roman"/>
                <w:color w:val="000000"/>
              </w:rPr>
              <w:t xml:space="preserve">L’instrument d’aide de préadhésion (IAP) est l’instrument utilisé par l’UE pour soutenir les réformes en offrant une assistance financière et technique. Les </w:t>
            </w:r>
            <w:r w:rsidRPr="00AB264C">
              <w:rPr>
                <w:rFonts w:ascii="Times New Roman" w:hAnsi="Times New Roman"/>
              </w:rPr>
              <w:t xml:space="preserve">bénéficiaires actuels sont: </w:t>
            </w:r>
            <w:hyperlink r:id="rId27">
              <w:r w:rsidRPr="00AB264C">
                <w:rPr>
                  <w:rFonts w:ascii="Times New Roman" w:hAnsi="Times New Roman"/>
                </w:rPr>
                <w:t>l’Albanie</w:t>
              </w:r>
            </w:hyperlink>
            <w:r w:rsidRPr="00AB264C">
              <w:rPr>
                <w:rFonts w:ascii="Times New Roman" w:hAnsi="Times New Roman"/>
              </w:rPr>
              <w:t xml:space="preserve">, </w:t>
            </w:r>
            <w:hyperlink r:id="rId28">
              <w:r w:rsidRPr="00AB264C">
                <w:rPr>
                  <w:rFonts w:ascii="Times New Roman" w:hAnsi="Times New Roman"/>
                </w:rPr>
                <w:t>la Bosnie-Herzégovine</w:t>
              </w:r>
            </w:hyperlink>
            <w:r w:rsidRPr="00AB264C">
              <w:rPr>
                <w:rFonts w:ascii="Times New Roman" w:hAnsi="Times New Roman"/>
              </w:rPr>
              <w:t>, </w:t>
            </w:r>
            <w:r w:rsidR="00B00D37" w:rsidRPr="00AB264C">
              <w:rPr>
                <w:rFonts w:ascii="Times New Roman" w:hAnsi="Times New Roman"/>
              </w:rPr>
              <w:t xml:space="preserve">la </w:t>
            </w:r>
            <w:r w:rsidR="00B71AEC" w:rsidRPr="00AB264C">
              <w:rPr>
                <w:rFonts w:ascii="Times New Roman" w:hAnsi="Times New Roman"/>
              </w:rPr>
              <w:t>Macé</w:t>
            </w:r>
            <w:r w:rsidR="00AB264C" w:rsidRPr="00AB264C">
              <w:rPr>
                <w:rFonts w:ascii="Times New Roman" w:hAnsi="Times New Roman"/>
              </w:rPr>
              <w:t>doine du Nord</w:t>
            </w:r>
            <w:r w:rsidRPr="00AB264C">
              <w:rPr>
                <w:rFonts w:ascii="Times New Roman" w:hAnsi="Times New Roman"/>
              </w:rPr>
              <w:t xml:space="preserve">, </w:t>
            </w:r>
            <w:hyperlink r:id="rId29" w:tooltip="*Cette désignation est sans préjudice des positions sur le statut et est conforme à la résolution 1244/99 du Conseil de sécurité des Nations unies ainsi qu’à l’avis de la CIJ sur la déclaration d’indépendance du Kosovo.">
              <w:r w:rsidRPr="00AB264C">
                <w:rPr>
                  <w:rFonts w:ascii="Times New Roman" w:hAnsi="Times New Roman"/>
                </w:rPr>
                <w:t>le Kosovo*</w:t>
              </w:r>
            </w:hyperlink>
            <w:r w:rsidRPr="00AB264C">
              <w:rPr>
                <w:rFonts w:ascii="Times New Roman" w:hAnsi="Times New Roman"/>
              </w:rPr>
              <w:t xml:space="preserve">, </w:t>
            </w:r>
            <w:hyperlink r:id="rId30">
              <w:r w:rsidRPr="00AB264C">
                <w:rPr>
                  <w:rFonts w:ascii="Times New Roman" w:hAnsi="Times New Roman"/>
                </w:rPr>
                <w:t>le Monténégro</w:t>
              </w:r>
            </w:hyperlink>
            <w:r w:rsidRPr="00AB264C">
              <w:rPr>
                <w:rFonts w:ascii="Times New Roman" w:hAnsi="Times New Roman"/>
              </w:rPr>
              <w:t xml:space="preserve">, </w:t>
            </w:r>
            <w:hyperlink r:id="rId31">
              <w:r w:rsidRPr="00AB264C">
                <w:rPr>
                  <w:rFonts w:ascii="Times New Roman" w:hAnsi="Times New Roman"/>
                </w:rPr>
                <w:t>la Serbie</w:t>
              </w:r>
            </w:hyperlink>
            <w:r w:rsidRPr="00AB264C">
              <w:rPr>
                <w:rFonts w:ascii="Times New Roman" w:hAnsi="Times New Roman"/>
              </w:rPr>
              <w:t xml:space="preserve"> et</w:t>
            </w:r>
            <w:hyperlink r:id="rId32">
              <w:r w:rsidRPr="00AB264C">
                <w:rPr>
                  <w:rFonts w:ascii="Times New Roman" w:hAnsi="Times New Roman"/>
                </w:rPr>
                <w:t xml:space="preserve"> la Turquie.</w:t>
              </w:r>
            </w:hyperlink>
          </w:p>
        </w:tc>
      </w:tr>
      <w:tr w:rsidR="001F7F17" w:rsidRPr="005107DF" w14:paraId="5F8F0BF3" w14:textId="77777777" w:rsidTr="007338F0">
        <w:tc>
          <w:tcPr>
            <w:tcW w:w="1805" w:type="dxa"/>
            <w:shd w:val="clear" w:color="auto" w:fill="auto"/>
          </w:tcPr>
          <w:p w14:paraId="350E39AC"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État(s) membre(s)</w:t>
            </w:r>
          </w:p>
        </w:tc>
        <w:tc>
          <w:tcPr>
            <w:tcW w:w="7375" w:type="dxa"/>
            <w:shd w:val="clear" w:color="auto" w:fill="auto"/>
          </w:tcPr>
          <w:p w14:paraId="7DC73D7E" w14:textId="77777777" w:rsidR="001F7F17" w:rsidRPr="005107DF" w:rsidRDefault="001F7F17" w:rsidP="001628B5">
            <w:pPr>
              <w:spacing w:after="0" w:line="240" w:lineRule="auto"/>
              <w:jc w:val="both"/>
              <w:rPr>
                <w:rFonts w:ascii="Times New Roman" w:eastAsia="Calibri" w:hAnsi="Times New Roman" w:cs="Times New Roman"/>
              </w:rPr>
            </w:pPr>
            <w:r>
              <w:rPr>
                <w:rFonts w:ascii="Times New Roman" w:hAnsi="Times New Roman"/>
              </w:rPr>
              <w:t>État(s) membre(s) de l’Union européenne</w:t>
            </w:r>
          </w:p>
        </w:tc>
      </w:tr>
      <w:tr w:rsidR="001F7F17" w:rsidRPr="005107DF" w14:paraId="6379D51E" w14:textId="77777777" w:rsidTr="007338F0">
        <w:tc>
          <w:tcPr>
            <w:tcW w:w="1805" w:type="dxa"/>
            <w:shd w:val="clear" w:color="auto" w:fill="auto"/>
          </w:tcPr>
          <w:p w14:paraId="0DCA48D0"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PCN</w:t>
            </w:r>
          </w:p>
        </w:tc>
        <w:tc>
          <w:tcPr>
            <w:tcW w:w="7375" w:type="dxa"/>
            <w:shd w:val="clear" w:color="auto" w:fill="auto"/>
          </w:tcPr>
          <w:p w14:paraId="24581DBE" w14:textId="77777777" w:rsidR="001F7F17" w:rsidRPr="005107DF" w:rsidRDefault="001F7F17" w:rsidP="001628B5">
            <w:pPr>
              <w:spacing w:after="0" w:line="240" w:lineRule="auto"/>
              <w:jc w:val="both"/>
              <w:rPr>
                <w:rFonts w:ascii="Times New Roman" w:eastAsia="Calibri" w:hAnsi="Times New Roman" w:cs="Times New Roman"/>
                <w:color w:val="000000"/>
              </w:rPr>
            </w:pPr>
            <w:r>
              <w:rPr>
                <w:rFonts w:ascii="Times New Roman" w:hAnsi="Times New Roman"/>
              </w:rPr>
              <w:t>Point de contact national</w:t>
            </w:r>
          </w:p>
        </w:tc>
      </w:tr>
      <w:tr w:rsidR="001F7F17" w:rsidRPr="005107DF" w14:paraId="65A5FCAA" w14:textId="77777777" w:rsidTr="007338F0">
        <w:tc>
          <w:tcPr>
            <w:tcW w:w="1805" w:type="dxa"/>
            <w:shd w:val="clear" w:color="auto" w:fill="FFFFFF"/>
          </w:tcPr>
          <w:p w14:paraId="53F1CA98"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Fonctionnaires ou agents assimilés</w:t>
            </w:r>
          </w:p>
        </w:tc>
        <w:tc>
          <w:tcPr>
            <w:tcW w:w="7375" w:type="dxa"/>
            <w:shd w:val="clear" w:color="auto" w:fill="FFFFFF"/>
          </w:tcPr>
          <w:p w14:paraId="7DF61C3B" w14:textId="77777777" w:rsidR="001F7F17" w:rsidRPr="005107DF" w:rsidRDefault="001F7F17" w:rsidP="001F7F17">
            <w:pPr>
              <w:spacing w:after="0" w:line="240" w:lineRule="auto"/>
              <w:jc w:val="both"/>
              <w:rPr>
                <w:rFonts w:ascii="Times New Roman" w:eastAsia="Calibri" w:hAnsi="Times New Roman" w:cs="Times New Roman"/>
              </w:rPr>
            </w:pPr>
            <w:r>
              <w:rPr>
                <w:rFonts w:ascii="Times New Roman" w:hAnsi="Times New Roman"/>
                <w:color w:val="000000"/>
              </w:rPr>
              <w:t>Agents de la fonction publique ou autres agents contractuels d’une administration, d’un organisme ou d’une entité semi-publique d’un État membre (dont le principal objectif est la fourniture des services publics et/ou qui se trouve sous la supervision structurelle permanente d’une administration publique et/ou est dirigé par un conseil d’administrateurs nommés par les pouvoirs publics) mobilisés en tant qu’experts de courte durée dans le cadre de la mise en œuvre d’un projet de jumelage ou d’une activité TAIEX.</w:t>
            </w:r>
          </w:p>
        </w:tc>
      </w:tr>
      <w:tr w:rsidR="001F7F17" w:rsidRPr="005107DF" w14:paraId="526F56B5" w14:textId="77777777" w:rsidTr="007338F0">
        <w:tc>
          <w:tcPr>
            <w:tcW w:w="1805" w:type="dxa"/>
            <w:shd w:val="clear" w:color="auto" w:fill="FFFFFF"/>
          </w:tcPr>
          <w:p w14:paraId="2BDB0211"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UGP</w:t>
            </w:r>
          </w:p>
        </w:tc>
        <w:tc>
          <w:tcPr>
            <w:tcW w:w="7375" w:type="dxa"/>
            <w:shd w:val="clear" w:color="auto" w:fill="FFFFFF"/>
          </w:tcPr>
          <w:p w14:paraId="0BEB06C4" w14:textId="77777777" w:rsidR="001F7F17" w:rsidRPr="005107DF" w:rsidRDefault="001F7F17" w:rsidP="001628B5">
            <w:pPr>
              <w:spacing w:after="0" w:line="240" w:lineRule="auto"/>
              <w:jc w:val="both"/>
              <w:rPr>
                <w:rFonts w:ascii="Times New Roman" w:eastAsia="Calibri" w:hAnsi="Times New Roman" w:cs="Times New Roman"/>
              </w:rPr>
            </w:pPr>
            <w:r>
              <w:rPr>
                <w:rFonts w:ascii="Times New Roman" w:hAnsi="Times New Roman"/>
              </w:rPr>
              <w:t>Unité gestionnaire du programme dans les pays de l’IEV.</w:t>
            </w:r>
          </w:p>
        </w:tc>
      </w:tr>
      <w:tr w:rsidR="001F7F17" w:rsidRPr="005107DF" w14:paraId="1DEF8A9D" w14:textId="77777777" w:rsidTr="007338F0">
        <w:tc>
          <w:tcPr>
            <w:tcW w:w="1805" w:type="dxa"/>
            <w:shd w:val="clear" w:color="auto" w:fill="auto"/>
          </w:tcPr>
          <w:p w14:paraId="145E3EDD" w14:textId="77777777" w:rsidR="001F7F17" w:rsidRPr="005107DF" w:rsidRDefault="00AB7264" w:rsidP="001F7F17">
            <w:pPr>
              <w:spacing w:after="0" w:line="240" w:lineRule="auto"/>
              <w:rPr>
                <w:rFonts w:ascii="Times New Roman" w:eastAsia="Calibri" w:hAnsi="Times New Roman" w:cs="Times New Roman"/>
              </w:rPr>
            </w:pPr>
            <w:r>
              <w:rPr>
                <w:rFonts w:ascii="Times New Roman" w:hAnsi="Times New Roman"/>
              </w:rPr>
              <w:t>CP de l’État membre</w:t>
            </w:r>
          </w:p>
        </w:tc>
        <w:tc>
          <w:tcPr>
            <w:tcW w:w="7375" w:type="dxa"/>
            <w:shd w:val="clear" w:color="auto" w:fill="auto"/>
          </w:tcPr>
          <w:p w14:paraId="7E9E6758" w14:textId="77777777" w:rsidR="001F7F17" w:rsidRPr="005107DF" w:rsidRDefault="00AB7264" w:rsidP="001628B5">
            <w:pPr>
              <w:spacing w:after="0" w:line="240" w:lineRule="auto"/>
              <w:jc w:val="both"/>
              <w:rPr>
                <w:rFonts w:ascii="Times New Roman" w:eastAsia="Calibri" w:hAnsi="Times New Roman" w:cs="Times New Roman"/>
              </w:rPr>
            </w:pPr>
            <w:r>
              <w:rPr>
                <w:rFonts w:ascii="Times New Roman" w:hAnsi="Times New Roman"/>
              </w:rPr>
              <w:t xml:space="preserve">Chef de projet (CP) de l’État membre: fonctionnaire de haut rang ou agent assimilé d’un État membre qui dirige la mise en œuvre du projet de jumelage et signe officiellement tous les plans de travail et/ou toute mise à jour de ces </w:t>
            </w:r>
            <w:r>
              <w:rPr>
                <w:rFonts w:ascii="Times New Roman" w:hAnsi="Times New Roman"/>
              </w:rPr>
              <w:lastRenderedPageBreak/>
              <w:t xml:space="preserve">derniers. </w:t>
            </w:r>
          </w:p>
        </w:tc>
      </w:tr>
      <w:tr w:rsidR="00AB7264" w:rsidRPr="005107DF" w14:paraId="16053A6F" w14:textId="77777777" w:rsidTr="007338F0">
        <w:tc>
          <w:tcPr>
            <w:tcW w:w="1805" w:type="dxa"/>
            <w:shd w:val="clear" w:color="auto" w:fill="auto"/>
          </w:tcPr>
          <w:p w14:paraId="09A57564" w14:textId="77777777" w:rsidR="00AB7264" w:rsidRPr="005107DF" w:rsidRDefault="00AB7264" w:rsidP="001F7F17">
            <w:pPr>
              <w:spacing w:after="0" w:line="240" w:lineRule="auto"/>
              <w:rPr>
                <w:rFonts w:ascii="Times New Roman" w:eastAsia="Calibri" w:hAnsi="Times New Roman" w:cs="Times New Roman"/>
              </w:rPr>
            </w:pPr>
            <w:r>
              <w:rPr>
                <w:rFonts w:ascii="Times New Roman" w:hAnsi="Times New Roman"/>
              </w:rPr>
              <w:lastRenderedPageBreak/>
              <w:t>CP du bénéficiaire</w:t>
            </w:r>
          </w:p>
        </w:tc>
        <w:tc>
          <w:tcPr>
            <w:tcW w:w="7375" w:type="dxa"/>
            <w:shd w:val="clear" w:color="auto" w:fill="auto"/>
          </w:tcPr>
          <w:p w14:paraId="2B953454" w14:textId="77777777" w:rsidR="00AB7264" w:rsidRPr="005107DF" w:rsidRDefault="00AB7264" w:rsidP="00AB7264">
            <w:pPr>
              <w:spacing w:after="0" w:line="240" w:lineRule="auto"/>
              <w:jc w:val="both"/>
              <w:rPr>
                <w:rFonts w:ascii="Times New Roman" w:eastAsia="Calibri" w:hAnsi="Times New Roman" w:cs="Times New Roman"/>
              </w:rPr>
            </w:pPr>
            <w:r>
              <w:rPr>
                <w:rFonts w:ascii="Times New Roman" w:hAnsi="Times New Roman"/>
              </w:rPr>
              <w:t>Le chef de projet (CP) du bénéficiaire est désigné par l’administration bénéficiaire et doit opérer au niveau politique approprié. Il dirige la mise en œuvre du projet de jumelage du côté du bénéficiaire et signe officiellement tous les plans de travail et/ou toute mise à jour de ces derniers.</w:t>
            </w:r>
          </w:p>
        </w:tc>
      </w:tr>
      <w:tr w:rsidR="001F7F17" w:rsidRPr="005107DF" w14:paraId="241D7FB1" w14:textId="77777777" w:rsidTr="007338F0">
        <w:tc>
          <w:tcPr>
            <w:tcW w:w="1805" w:type="dxa"/>
            <w:shd w:val="clear" w:color="auto" w:fill="auto"/>
          </w:tcPr>
          <w:p w14:paraId="0B1BB452"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CRJ</w:t>
            </w:r>
          </w:p>
        </w:tc>
        <w:tc>
          <w:tcPr>
            <w:tcW w:w="7375" w:type="dxa"/>
            <w:shd w:val="clear" w:color="auto" w:fill="auto"/>
          </w:tcPr>
          <w:p w14:paraId="40E1739F" w14:textId="77777777" w:rsidR="001F7F17" w:rsidRPr="005107DF" w:rsidRDefault="001F7F17">
            <w:pPr>
              <w:spacing w:after="0" w:line="240" w:lineRule="auto"/>
              <w:jc w:val="both"/>
              <w:rPr>
                <w:rFonts w:ascii="Times New Roman" w:eastAsia="Calibri" w:hAnsi="Times New Roman" w:cs="Times New Roman"/>
              </w:rPr>
            </w:pPr>
            <w:r>
              <w:rPr>
                <w:rFonts w:ascii="Times New Roman" w:hAnsi="Times New Roman"/>
              </w:rPr>
              <w:t>Le conseiller résident de jumelage est un fonctionnaire ou un agent assimilé d’une administration publique ou semi-publique ou d’un organisme mandaté agréé d’un État membre qui est détaché à plein temps dans le pays bénéficiaire dans le cadre d’un projet de jumelage et est chargé de coordonner les activités quotidiennes du projet.</w:t>
            </w:r>
          </w:p>
        </w:tc>
      </w:tr>
      <w:tr w:rsidR="001F7F17" w:rsidRPr="005107DF" w14:paraId="48E5309E" w14:textId="77777777" w:rsidTr="007338F0">
        <w:trPr>
          <w:trHeight w:val="469"/>
        </w:trPr>
        <w:tc>
          <w:tcPr>
            <w:tcW w:w="1805" w:type="dxa"/>
            <w:shd w:val="clear" w:color="auto" w:fill="auto"/>
          </w:tcPr>
          <w:p w14:paraId="1AB8767B" w14:textId="77777777" w:rsidR="001F7F17" w:rsidRPr="005107DF" w:rsidRDefault="001F7F17" w:rsidP="002B73C9">
            <w:pPr>
              <w:spacing w:after="0" w:line="240" w:lineRule="auto"/>
              <w:rPr>
                <w:rFonts w:ascii="Times New Roman" w:eastAsia="Calibri" w:hAnsi="Times New Roman" w:cs="Times New Roman"/>
              </w:rPr>
            </w:pPr>
            <w:r>
              <w:rPr>
                <w:rFonts w:ascii="Times New Roman" w:hAnsi="Times New Roman"/>
              </w:rPr>
              <w:t>Homologue du CRJ</w:t>
            </w:r>
          </w:p>
        </w:tc>
        <w:tc>
          <w:tcPr>
            <w:tcW w:w="7375" w:type="dxa"/>
            <w:shd w:val="clear" w:color="auto" w:fill="auto"/>
          </w:tcPr>
          <w:p w14:paraId="31A6039B" w14:textId="77777777" w:rsidR="001F7F17" w:rsidRPr="005107DF" w:rsidRDefault="001F7F17" w:rsidP="002B73C9">
            <w:pPr>
              <w:spacing w:after="0" w:line="240" w:lineRule="auto"/>
              <w:jc w:val="both"/>
              <w:rPr>
                <w:rFonts w:ascii="Times New Roman" w:eastAsia="Calibri" w:hAnsi="Times New Roman" w:cs="Times New Roman"/>
              </w:rPr>
            </w:pPr>
            <w:r>
              <w:rPr>
                <w:rFonts w:ascii="Times New Roman" w:hAnsi="Times New Roman"/>
                <w:color w:val="000000"/>
              </w:rPr>
              <w:t>Un fonctionnaire de l’administration bénéficiaire désigné en tant qu’homologue du CRJ afin de faciliter la communication et l’échange d’informations entre les partenaires.</w:t>
            </w:r>
          </w:p>
        </w:tc>
      </w:tr>
      <w:tr w:rsidR="001F7F17" w:rsidRPr="005107DF" w14:paraId="1571A226" w14:textId="77777777" w:rsidTr="007338F0">
        <w:trPr>
          <w:trHeight w:val="248"/>
        </w:trPr>
        <w:tc>
          <w:tcPr>
            <w:tcW w:w="1805" w:type="dxa"/>
            <w:shd w:val="clear" w:color="auto" w:fill="auto"/>
          </w:tcPr>
          <w:p w14:paraId="1B86F90A" w14:textId="77777777" w:rsidR="001F7F17" w:rsidRPr="005107DF" w:rsidRDefault="001F7F17" w:rsidP="002B73C9">
            <w:pPr>
              <w:spacing w:after="0" w:line="240" w:lineRule="auto"/>
              <w:rPr>
                <w:rFonts w:ascii="Times New Roman" w:eastAsia="Calibri" w:hAnsi="Times New Roman" w:cs="Times New Roman"/>
              </w:rPr>
            </w:pPr>
            <w:r>
              <w:rPr>
                <w:rFonts w:ascii="Times New Roman" w:hAnsi="Times New Roman"/>
              </w:rPr>
              <w:t>Réunion de sélection</w:t>
            </w:r>
          </w:p>
        </w:tc>
        <w:tc>
          <w:tcPr>
            <w:tcW w:w="7375" w:type="dxa"/>
            <w:shd w:val="clear" w:color="auto" w:fill="auto"/>
          </w:tcPr>
          <w:p w14:paraId="240CADBB" w14:textId="77777777" w:rsidR="001F7F17" w:rsidRPr="005107DF" w:rsidRDefault="001F7F17" w:rsidP="002B73C9">
            <w:pPr>
              <w:tabs>
                <w:tab w:val="left" w:pos="720"/>
              </w:tabs>
              <w:spacing w:after="0" w:line="240" w:lineRule="auto"/>
              <w:ind w:firstLine="12"/>
              <w:jc w:val="both"/>
              <w:rPr>
                <w:rFonts w:ascii="Times New Roman" w:eastAsia="Calibri" w:hAnsi="Times New Roman" w:cs="Times New Roman"/>
              </w:rPr>
            </w:pPr>
            <w:r>
              <w:rPr>
                <w:rFonts w:ascii="Times New Roman" w:hAnsi="Times New Roman"/>
              </w:rPr>
              <w:t>Réunion du comité de sélection au cours de la procédure de sélection.</w:t>
            </w:r>
          </w:p>
        </w:tc>
      </w:tr>
      <w:tr w:rsidR="001F7F17" w:rsidRPr="005107DF" w14:paraId="48EBEA3B" w14:textId="77777777" w:rsidTr="007338F0">
        <w:trPr>
          <w:trHeight w:val="822"/>
        </w:trPr>
        <w:tc>
          <w:tcPr>
            <w:tcW w:w="1805" w:type="dxa"/>
            <w:shd w:val="clear" w:color="auto" w:fill="auto"/>
          </w:tcPr>
          <w:p w14:paraId="43663CA8"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 xml:space="preserve">Équipe de coordination du jumelage </w:t>
            </w:r>
          </w:p>
        </w:tc>
        <w:tc>
          <w:tcPr>
            <w:tcW w:w="7375" w:type="dxa"/>
            <w:shd w:val="clear" w:color="auto" w:fill="auto"/>
          </w:tcPr>
          <w:p w14:paraId="4431E35B" w14:textId="77777777" w:rsidR="001F7F17" w:rsidRPr="005107DF" w:rsidRDefault="001F7F17" w:rsidP="0019382C">
            <w:pPr>
              <w:tabs>
                <w:tab w:val="left" w:pos="720"/>
              </w:tabs>
              <w:spacing w:after="0" w:line="240" w:lineRule="auto"/>
              <w:ind w:firstLine="12"/>
              <w:jc w:val="both"/>
              <w:rPr>
                <w:rFonts w:ascii="Times New Roman" w:eastAsia="Calibri" w:hAnsi="Times New Roman" w:cs="Times New Roman"/>
              </w:rPr>
            </w:pPr>
            <w:r>
              <w:rPr>
                <w:rFonts w:ascii="Times New Roman" w:hAnsi="Times New Roman"/>
              </w:rPr>
              <w:t>Équipe de coordination du jumelage basée à Bruxelles, Commission européenne, DG NEAR, Unité C.3.</w:t>
            </w:r>
          </w:p>
        </w:tc>
      </w:tr>
      <w:tr w:rsidR="001F7F17" w:rsidRPr="005107DF" w14:paraId="3E7244F0" w14:textId="77777777" w:rsidTr="007338F0">
        <w:tc>
          <w:tcPr>
            <w:tcW w:w="1805" w:type="dxa"/>
            <w:shd w:val="clear" w:color="auto" w:fill="auto"/>
          </w:tcPr>
          <w:p w14:paraId="1D85C0E9"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Groupe interservices de jumelage</w:t>
            </w:r>
          </w:p>
        </w:tc>
        <w:tc>
          <w:tcPr>
            <w:tcW w:w="7375" w:type="dxa"/>
            <w:shd w:val="clear" w:color="auto" w:fill="auto"/>
          </w:tcPr>
          <w:p w14:paraId="2F467E91" w14:textId="66BEE9FC" w:rsidR="001F7F17" w:rsidRPr="005107DF" w:rsidRDefault="001F7F17" w:rsidP="0019382C">
            <w:pPr>
              <w:tabs>
                <w:tab w:val="left" w:pos="720"/>
              </w:tabs>
              <w:spacing w:after="0" w:line="240" w:lineRule="auto"/>
              <w:jc w:val="both"/>
              <w:rPr>
                <w:rFonts w:ascii="Times New Roman" w:eastAsia="Times New Roman" w:hAnsi="Times New Roman" w:cs="Times New Roman"/>
              </w:rPr>
            </w:pPr>
            <w:r>
              <w:rPr>
                <w:rFonts w:ascii="Times New Roman" w:hAnsi="Times New Roman"/>
              </w:rPr>
              <w:t>Le groupe interservices de jumelage est composé de représentants des services de l’UE concernés et est coordonné par l’équipe de coordination du jumelage.</w:t>
            </w:r>
          </w:p>
        </w:tc>
      </w:tr>
      <w:tr w:rsidR="001F7F17" w:rsidRPr="005107DF" w14:paraId="7A11E5C7" w14:textId="77777777" w:rsidTr="007338F0">
        <w:tc>
          <w:tcPr>
            <w:tcW w:w="1805" w:type="dxa"/>
            <w:shd w:val="clear" w:color="auto" w:fill="auto"/>
          </w:tcPr>
          <w:p w14:paraId="40CB70DF" w14:textId="77777777" w:rsidR="001F7F17" w:rsidRPr="005107DF" w:rsidRDefault="001F7F17" w:rsidP="001F7F17">
            <w:pPr>
              <w:spacing w:after="0" w:line="240" w:lineRule="auto"/>
              <w:rPr>
                <w:rFonts w:ascii="Times New Roman" w:eastAsia="Calibri" w:hAnsi="Times New Roman" w:cs="Times New Roman"/>
                <w:color w:val="000000"/>
              </w:rPr>
            </w:pPr>
            <w:r>
              <w:rPr>
                <w:rFonts w:ascii="Times New Roman" w:hAnsi="Times New Roman"/>
                <w:color w:val="000000"/>
              </w:rPr>
              <w:t>Types de modes de gestion</w:t>
            </w:r>
          </w:p>
        </w:tc>
        <w:tc>
          <w:tcPr>
            <w:tcW w:w="7375" w:type="dxa"/>
            <w:shd w:val="clear" w:color="auto" w:fill="auto"/>
          </w:tcPr>
          <w:p w14:paraId="57B5F201" w14:textId="45234ED3" w:rsidR="001F7F17" w:rsidRPr="005107DF" w:rsidRDefault="001F7F17" w:rsidP="00601DFE">
            <w:pPr>
              <w:spacing w:after="0" w:line="240" w:lineRule="auto"/>
              <w:jc w:val="both"/>
              <w:rPr>
                <w:rFonts w:ascii="Times New Roman" w:eastAsia="Calibri" w:hAnsi="Times New Roman" w:cs="Times New Roman"/>
                <w:color w:val="000000"/>
              </w:rPr>
            </w:pPr>
            <w:r>
              <w:rPr>
                <w:rFonts w:ascii="Times New Roman" w:hAnsi="Times New Roman"/>
                <w:color w:val="000000"/>
              </w:rPr>
              <w:t xml:space="preserve">La gestion directe signifie que la délégation de l’UE est l’administration contractante et est responsable de tous les aspects contractuels et réglementaires. La gestion indirecte est une forme de gestion dans laquelle une entité du pays bénéficiaire devient l’administration contractante. En gestion indirecte avec contrôles ex ante ou ex post, la délégation de l’UE exerce un contrôle sur les procédures et les processus mis en place par l’administration contractante conformément aux accords établis. </w:t>
            </w:r>
          </w:p>
        </w:tc>
      </w:tr>
    </w:tbl>
    <w:p w14:paraId="1BA90632" w14:textId="77777777" w:rsidR="001F7F17" w:rsidRPr="005107DF" w:rsidRDefault="001F7F17" w:rsidP="007338F0">
      <w:pPr>
        <w:pStyle w:val="Heading1"/>
        <w:pBdr>
          <w:bottom w:val="single" w:sz="4" w:space="1" w:color="auto"/>
        </w:pBdr>
      </w:pPr>
      <w:r>
        <w:br w:type="page"/>
      </w:r>
      <w:bookmarkStart w:id="2" w:name="_Toc517434346"/>
      <w:bookmarkStart w:id="3" w:name="_Toc2860909"/>
      <w:r>
        <w:lastRenderedPageBreak/>
        <w:t>PRÉFACE</w:t>
      </w:r>
      <w:bookmarkEnd w:id="2"/>
      <w:bookmarkEnd w:id="3"/>
    </w:p>
    <w:p w14:paraId="3E5F6C3A" w14:textId="77777777" w:rsidR="001F7F17" w:rsidRPr="005107DF" w:rsidRDefault="001F7F17" w:rsidP="001F7F17">
      <w:pPr>
        <w:rPr>
          <w:rFonts w:ascii="Times New Roman" w:eastAsia="Calibri" w:hAnsi="Times New Roman" w:cs="Times New Roman"/>
        </w:rPr>
      </w:pPr>
    </w:p>
    <w:p w14:paraId="6DC7D285" w14:textId="7693CC2A" w:rsidR="001F7F17" w:rsidRPr="005107DF" w:rsidRDefault="001F7F17" w:rsidP="001F7F17">
      <w:pPr>
        <w:spacing w:after="240" w:line="240" w:lineRule="auto"/>
        <w:jc w:val="both"/>
        <w:rPr>
          <w:rFonts w:ascii="Times New Roman" w:eastAsia="Calibri" w:hAnsi="Times New Roman" w:cs="Times New Roman"/>
          <w:sz w:val="24"/>
          <w:szCs w:val="24"/>
        </w:rPr>
      </w:pPr>
      <w:r>
        <w:rPr>
          <w:rFonts w:ascii="Times New Roman" w:hAnsi="Times New Roman"/>
          <w:sz w:val="24"/>
        </w:rPr>
        <w:t xml:space="preserve">La présente mise à jour du manuel de jumelage est le résultat d’intenses consultations avec les États membres, les délégations de l’UE et différents services de la Commission européenne au cours de la période 2014-2018, associées à des études externes et à une analyse approfondie des services de la DG NEAR. </w:t>
      </w:r>
    </w:p>
    <w:p w14:paraId="25E43646" w14:textId="3ACFE145" w:rsidR="001F7F17" w:rsidRPr="005107DF" w:rsidRDefault="001F7F17" w:rsidP="001F7F17">
      <w:pPr>
        <w:spacing w:after="240" w:line="240" w:lineRule="auto"/>
        <w:jc w:val="both"/>
        <w:rPr>
          <w:rFonts w:ascii="Times New Roman" w:eastAsia="Calibri" w:hAnsi="Times New Roman" w:cs="Times New Roman"/>
          <w:sz w:val="24"/>
          <w:szCs w:val="24"/>
        </w:rPr>
      </w:pPr>
      <w:r>
        <w:rPr>
          <w:rFonts w:ascii="Times New Roman" w:hAnsi="Times New Roman"/>
          <w:sz w:val="24"/>
        </w:rPr>
        <w:t xml:space="preserve">Elle répond aux exigences du règlement financier et à la nécessité d’harmoniser l’outil de jumelage conformément à la politique de la Commission européenne visant à promouvoir les réformes dans les pays bénéficiaires de la DG NEAR ainsi que les procédés d’utilisation de l’outil pour tous les pays et territoires bénéficiaires. </w:t>
      </w:r>
    </w:p>
    <w:p w14:paraId="3F02DBF1" w14:textId="66A0EB04" w:rsidR="001F7F17" w:rsidRPr="005107DF" w:rsidRDefault="001F7F17" w:rsidP="001F7F17">
      <w:pPr>
        <w:spacing w:after="240" w:line="240" w:lineRule="auto"/>
        <w:jc w:val="both"/>
        <w:rPr>
          <w:rFonts w:ascii="Times New Roman" w:eastAsia="Calibri" w:hAnsi="Times New Roman" w:cs="Times New Roman"/>
          <w:sz w:val="24"/>
          <w:szCs w:val="24"/>
        </w:rPr>
      </w:pPr>
      <w:r>
        <w:rPr>
          <w:rFonts w:ascii="Times New Roman" w:hAnsi="Times New Roman"/>
          <w:sz w:val="24"/>
        </w:rPr>
        <w:t xml:space="preserve">Le jumelage, en tant qu’outil offrant une assistance entre pairs aux bénéficiaires au moyen de la mobilisation de fonctionnaires et d’agents assimilés des États membres, aide depuis vingt ans des bénéficiaires situés dans les régions IAP et IEV à élaborer des normes européennes et à intégrer les principes administratifs européens dans leurs pratiques.  </w:t>
      </w:r>
    </w:p>
    <w:p w14:paraId="6BBC9573" w14:textId="102E8024" w:rsidR="001F7F17" w:rsidRPr="005107DF" w:rsidRDefault="00601DFE" w:rsidP="001F7F17">
      <w:pPr>
        <w:spacing w:after="240" w:line="240" w:lineRule="auto"/>
        <w:jc w:val="both"/>
        <w:rPr>
          <w:rFonts w:ascii="Times New Roman" w:eastAsia="Calibri" w:hAnsi="Times New Roman" w:cs="Times New Roman"/>
          <w:sz w:val="24"/>
          <w:szCs w:val="24"/>
        </w:rPr>
      </w:pPr>
      <w:r>
        <w:rPr>
          <w:rFonts w:ascii="Times New Roman" w:hAnsi="Times New Roman"/>
          <w:noProof/>
          <w:sz w:val="24"/>
        </w:rPr>
        <w:t xml:space="preserve">Les services de la Commission chargés de la coordination de la mise en œuvre des projets de jumelage sont autorisés à rédiger et à tenir à jour un manuel de jumelage détaillant de manière claire la bonne mise en œuvre des projets de jumelage. </w:t>
      </w:r>
    </w:p>
    <w:p w14:paraId="3CBE4202"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Pr>
          <w:rFonts w:ascii="Times New Roman" w:hAnsi="Times New Roman"/>
          <w:sz w:val="24"/>
        </w:rPr>
        <w:t xml:space="preserve">La présente version révisée du manuel de jumelage a principalement vu le jour pour tenir compte de la définition de l’utilisation de coûts unitaires et de taux forfaitaires ainsi que de la simplification des procédures utilisées dans le domaine du jumelage. </w:t>
      </w:r>
    </w:p>
    <w:p w14:paraId="69F7097C"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Pr>
          <w:rFonts w:ascii="Times New Roman" w:hAnsi="Times New Roman"/>
          <w:sz w:val="24"/>
        </w:rPr>
        <w:t xml:space="preserve">Afin d’assurer que le principe de l’égalité de traitement soit respecté en ce qui concerne l’ensemble des États membres et d’éviter le risque que la qualité de l’expertise fournie dans le cadre de la coopération administrative soit subordonnée aux normes et aux niveaux nationaux de rémunération dans le secteur public, les valeurs des coûts unitaires et des taux forfaitaires appliquées pour la mise en œuvre des projets de jumelage devraient être identiques pour tous les États membres. Le manuel de jumelage définit un taux unique pour l’indemnité journalière forfaitaire destinée à compenser l’absence dans leurs fonctions des fonctionnaires ou agents assimilés détachés en tant qu’experts de jumelage de courte durée.  </w:t>
      </w:r>
    </w:p>
    <w:p w14:paraId="4533D42E"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Pr>
          <w:rFonts w:ascii="Times New Roman" w:hAnsi="Times New Roman"/>
          <w:sz w:val="24"/>
        </w:rPr>
        <w:t xml:space="preserve">Il introduit en outre un certain nombre de nouveautés visant à diminuer la période écoulée entre le lancement d’une fiche de jumelage et le début des activités du projet, en simplifiant les procédures relatives à la passation de marchés. </w:t>
      </w:r>
    </w:p>
    <w:p w14:paraId="705FC565" w14:textId="269C2522" w:rsidR="001F7F17" w:rsidRPr="005107DF" w:rsidRDefault="001F7F17" w:rsidP="001F7F17">
      <w:pPr>
        <w:spacing w:after="240" w:line="240" w:lineRule="auto"/>
        <w:jc w:val="both"/>
        <w:rPr>
          <w:rFonts w:ascii="Times New Roman" w:eastAsia="Calibri" w:hAnsi="Times New Roman" w:cs="Times New Roman"/>
          <w:sz w:val="24"/>
          <w:szCs w:val="24"/>
        </w:rPr>
      </w:pPr>
      <w:r>
        <w:rPr>
          <w:rFonts w:ascii="Times New Roman" w:hAnsi="Times New Roman"/>
          <w:sz w:val="24"/>
        </w:rPr>
        <w:t xml:space="preserve">Le présent manuel de jumelage révisé s’applique aux subventions de jumelage octroyées à la suite d’appels à propositions publiés après le 30 juin 2017. Les modèles figurant dans les annexes incluses dans le présent manuel devraient être utilisés pour toutes les procédures de jumelage, sauf disposition contraire. </w:t>
      </w:r>
    </w:p>
    <w:p w14:paraId="2524A7FB"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Pr>
          <w:rFonts w:ascii="Times New Roman" w:hAnsi="Times New Roman"/>
          <w:sz w:val="24"/>
        </w:rPr>
        <w:t xml:space="preserve">La Commission européenne souhaiterait remercier sincèrement les États membres de l’UE pour leur détermination à faire des projets de jumelage un succès. </w:t>
      </w:r>
    </w:p>
    <w:p w14:paraId="0A4D1E6E" w14:textId="77777777" w:rsidR="00A34457" w:rsidRPr="005107DF" w:rsidRDefault="00A34457" w:rsidP="001F7F17">
      <w:pPr>
        <w:jc w:val="right"/>
        <w:rPr>
          <w:rFonts w:ascii="Times New Roman" w:eastAsia="Calibri" w:hAnsi="Times New Roman" w:cs="Times New Roman"/>
          <w:sz w:val="24"/>
          <w:szCs w:val="24"/>
        </w:rPr>
      </w:pPr>
    </w:p>
    <w:p w14:paraId="4B95180F" w14:textId="77777777" w:rsidR="001F7F17" w:rsidRPr="005107DF" w:rsidRDefault="00DD4385" w:rsidP="001F7F17">
      <w:pPr>
        <w:jc w:val="right"/>
        <w:rPr>
          <w:rFonts w:ascii="Times New Roman" w:eastAsia="Calibri" w:hAnsi="Times New Roman" w:cs="Times New Roman"/>
        </w:rPr>
      </w:pPr>
      <w:r>
        <w:rPr>
          <w:rFonts w:ascii="Times New Roman" w:hAnsi="Times New Roman"/>
          <w:sz w:val="24"/>
        </w:rPr>
        <w:t xml:space="preserve">– </w:t>
      </w:r>
      <w:r>
        <w:br w:type="page"/>
      </w:r>
    </w:p>
    <w:p w14:paraId="31C8D6D6" w14:textId="77777777" w:rsidR="001F7F17" w:rsidRPr="005107DF" w:rsidRDefault="001F7F17" w:rsidP="007338F0">
      <w:pPr>
        <w:pStyle w:val="Heading1"/>
        <w:pBdr>
          <w:bottom w:val="single" w:sz="4" w:space="1" w:color="auto"/>
        </w:pBdr>
      </w:pPr>
      <w:bookmarkStart w:id="4" w:name="_Toc30492274"/>
      <w:bookmarkStart w:id="5" w:name="_Toc30492748"/>
      <w:bookmarkStart w:id="6" w:name="_Toc30497971"/>
      <w:bookmarkStart w:id="7" w:name="_Toc47764845"/>
      <w:bookmarkStart w:id="8" w:name="_Toc48039198"/>
      <w:bookmarkStart w:id="9" w:name="_Toc49933010"/>
      <w:bookmarkStart w:id="10" w:name="_Toc86819217"/>
      <w:bookmarkStart w:id="11" w:name="_Toc86819248"/>
      <w:bookmarkStart w:id="12" w:name="_Toc442374628"/>
      <w:bookmarkStart w:id="13" w:name="_Toc464459835"/>
      <w:bookmarkStart w:id="14" w:name="_Toc476063219"/>
      <w:bookmarkStart w:id="15" w:name="_Toc476067701"/>
      <w:bookmarkStart w:id="16" w:name="_Toc517434347"/>
      <w:bookmarkStart w:id="17" w:name="_Toc2860910"/>
      <w:r>
        <w:lastRenderedPageBreak/>
        <w:t>Section 1: introduction</w:t>
      </w:r>
      <w:bookmarkEnd w:id="4"/>
      <w:bookmarkEnd w:id="5"/>
      <w:bookmarkEnd w:id="6"/>
      <w:bookmarkEnd w:id="7"/>
      <w:bookmarkEnd w:id="8"/>
      <w:bookmarkEnd w:id="9"/>
      <w:bookmarkEnd w:id="10"/>
      <w:bookmarkEnd w:id="11"/>
      <w:bookmarkEnd w:id="12"/>
      <w:bookmarkEnd w:id="13"/>
      <w:bookmarkEnd w:id="14"/>
      <w:bookmarkEnd w:id="15"/>
      <w:bookmarkEnd w:id="16"/>
      <w:bookmarkEnd w:id="17"/>
    </w:p>
    <w:p w14:paraId="00E68BFD" w14:textId="4F495208" w:rsidR="001F7F17" w:rsidRPr="005107DF" w:rsidRDefault="001F7F17" w:rsidP="007338F0">
      <w:pPr>
        <w:pStyle w:val="Heading2"/>
      </w:pPr>
      <w:bookmarkStart w:id="18" w:name="_Toc30492276"/>
      <w:bookmarkStart w:id="19" w:name="_Toc30492750"/>
      <w:bookmarkStart w:id="20" w:name="_Toc30497973"/>
      <w:bookmarkStart w:id="21" w:name="_Toc47764846"/>
      <w:bookmarkStart w:id="22" w:name="_Toc48039199"/>
      <w:bookmarkStart w:id="23" w:name="_Toc49933011"/>
      <w:bookmarkStart w:id="24" w:name="_Toc442374629"/>
      <w:bookmarkStart w:id="25" w:name="_Toc443320014"/>
      <w:bookmarkStart w:id="26" w:name="_Toc476063220"/>
      <w:bookmarkStart w:id="27" w:name="_Toc476067702"/>
      <w:bookmarkStart w:id="28" w:name="_Toc517434348"/>
      <w:bookmarkStart w:id="29" w:name="_Toc2860911"/>
      <w:bookmarkStart w:id="30" w:name="_Toc462416417"/>
      <w:bookmarkStart w:id="31" w:name="_Toc464459836"/>
      <w:r>
        <w:t xml:space="preserve">1.1 Le jumelage en tant qu’outil de renforcement des capacités </w:t>
      </w:r>
      <w:bookmarkEnd w:id="18"/>
      <w:bookmarkEnd w:id="19"/>
      <w:bookmarkEnd w:id="20"/>
      <w:bookmarkEnd w:id="21"/>
      <w:bookmarkEnd w:id="22"/>
      <w:bookmarkEnd w:id="23"/>
      <w:bookmarkEnd w:id="24"/>
      <w:bookmarkEnd w:id="25"/>
      <w:bookmarkEnd w:id="26"/>
      <w:bookmarkEnd w:id="27"/>
      <w:r>
        <w:t>institutionnelles</w:t>
      </w:r>
      <w:bookmarkEnd w:id="28"/>
      <w:bookmarkEnd w:id="29"/>
    </w:p>
    <w:p w14:paraId="27951DE3" w14:textId="1640E263"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jumelage est une initiative lancée par la Commission européenne (ci-après la «Commission») en 1998 dans le contexte de la préparation à l’élargissement de l’Union européenne. Il a été conçu comme un outil de coopération administrative ciblée pour aider les pays candidats à l’adhésion à renforcer leurs capacités administratives et judiciaires nécessaires à l’application de la législation de l’Union en tant que futurs États membres. En 2017, il constitue toujours un important outil de renforcement des capacités institutionnelles pouvant être utilisé par les bénéficiaires de l’instrument d’aide de préadhésion (IAP) et de l’instrument européen de voisinage (IEV). </w:t>
      </w:r>
    </w:p>
    <w:p w14:paraId="1EA8510E" w14:textId="5239B51F"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Le jumelage est un outil de renforcement des institutions qui repose sur une coopération en partenariat entre les administrations publiques et les organismes mandatés agréés des États membres et d’un bénéficiaire pour atteindre des résultats/produits obligatoires conjointement convenus avec la Commission. Ces résultats/produits obligatoires sont liés à des </w:t>
      </w:r>
      <w:r>
        <w:rPr>
          <w:rFonts w:ascii="Times New Roman" w:hAnsi="Times New Roman"/>
          <w:color w:val="000000"/>
          <w:sz w:val="24"/>
        </w:rPr>
        <w:t>objectifs stratégiques, tels que la préparation dans la perspective de l’élargissement de l’UE ou l’amélioration de la coopération conformément aux politiques de l’UE, comme cela est prévu dans les règlements et accords IAP et IEV correspondants.</w:t>
      </w:r>
    </w:p>
    <w:p w14:paraId="3A3A3EEB"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projets de jumelage impliquent une série d’actions et d’apports. Le détachement d’un expert d’un État membre travaillant à temps plein (conseiller résident de jumelage ou CRJ) auprès d’une administration bénéficiaire constitue l’«épine dorsale» des projets de jumelage. Mais pour atteindre ses objectifs, un projet de jumelage requiert aussi d’autres prestations réalisées par des experts de courte durée.</w:t>
      </w:r>
    </w:p>
    <w:p w14:paraId="678CA1BC"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projets de jumelage reposent sur </w:t>
      </w:r>
      <w:r>
        <w:rPr>
          <w:rFonts w:ascii="Times New Roman" w:hAnsi="Times New Roman"/>
          <w:b/>
          <w:sz w:val="24"/>
        </w:rPr>
        <w:t>un certain nombre de principes fondamentaux</w:t>
      </w:r>
      <w:r>
        <w:rPr>
          <w:rFonts w:ascii="Times New Roman" w:hAnsi="Times New Roman"/>
          <w:color w:val="000000"/>
          <w:sz w:val="24"/>
        </w:rPr>
        <w:t>:</w:t>
      </w:r>
    </w:p>
    <w:p w14:paraId="1925A215"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b/>
          <w:sz w:val="24"/>
        </w:rPr>
        <w:t>les projets sont articulés autour d’objectifs stratégiques convenus conjointement</w:t>
      </w:r>
      <w:r>
        <w:rPr>
          <w:rFonts w:ascii="Times New Roman" w:hAnsi="Times New Roman"/>
          <w:sz w:val="24"/>
        </w:rPr>
        <w:t xml:space="preserve"> découlant de l’agenda politique commun UE-pays bénéficiaire, c’est-à-dire conjuguant les orientations stratégiques de l’UE (telles que définies dans les documents stratégiques) et les efforts de l’administration bénéficiaire en vue d’introduire les réformes (telles que définies dans les documents stratégiques adoptés par le pays bénéficiaire concerné);</w:t>
      </w:r>
    </w:p>
    <w:p w14:paraId="53C7D1F9" w14:textId="77777777" w:rsidR="001F7F17" w:rsidRPr="005107DF" w:rsidRDefault="00904971"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Pr>
          <w:rFonts w:ascii="Times New Roman" w:hAnsi="Times New Roman"/>
          <w:sz w:val="24"/>
        </w:rPr>
        <w:t xml:space="preserve">le bénéficiaire </w:t>
      </w:r>
      <w:r>
        <w:rPr>
          <w:rFonts w:ascii="Times New Roman" w:hAnsi="Times New Roman"/>
          <w:b/>
          <w:sz w:val="24"/>
        </w:rPr>
        <w:t>conserve la propriété du projet</w:t>
      </w:r>
      <w:r>
        <w:rPr>
          <w:rFonts w:ascii="Times New Roman" w:hAnsi="Times New Roman"/>
          <w:sz w:val="24"/>
        </w:rPr>
        <w:t>, de la conception de la fiche de jumelage à la clôture du contrat de subvention de jumelage;</w:t>
      </w:r>
      <w:r>
        <w:rPr>
          <w:rFonts w:ascii="Times New Roman" w:hAnsi="Times New Roman"/>
          <w:b/>
          <w:sz w:val="24"/>
        </w:rPr>
        <w:t xml:space="preserve"> </w:t>
      </w:r>
    </w:p>
    <w:p w14:paraId="33CF2F33"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règle générale, le </w:t>
      </w:r>
      <w:r>
        <w:rPr>
          <w:rFonts w:ascii="Times New Roman" w:hAnsi="Times New Roman"/>
          <w:b/>
          <w:sz w:val="24"/>
        </w:rPr>
        <w:t>bénéficiaire</w:t>
      </w:r>
      <w:r>
        <w:rPr>
          <w:rFonts w:ascii="Times New Roman" w:hAnsi="Times New Roman"/>
          <w:b/>
          <w:color w:val="000000"/>
          <w:sz w:val="24"/>
        </w:rPr>
        <w:t xml:space="preserve"> choisit son ou ses États membres </w:t>
      </w:r>
      <w:r>
        <w:rPr>
          <w:rFonts w:ascii="Times New Roman" w:hAnsi="Times New Roman"/>
          <w:color w:val="000000"/>
          <w:sz w:val="24"/>
        </w:rPr>
        <w:t xml:space="preserve">partenaires, mais si l’administration contractante (et/ou la délégation de l’UE lorsque celle-ci n’est pas l’administration contractante) venait à déceler, à n’importe quel stade, une éventuelle irrégularité, notamment une violation des principes d’égalité de traitement et de traitement équitable dans le cadre d’un processus de sélection ou de passation de marchés de jumelage, celle-ci (et/ou la délégation de l’UE lorsque celle-ci n’est pas l’administration contractante) peut toujours agir sur la base de cette information et/ou interrompre le processus. L’administration contractante (et/ou la délégation de l’UE lorsque celle-ci n’est pas l’administration contractante) peut également interrompre le </w:t>
      </w:r>
      <w:r>
        <w:rPr>
          <w:rFonts w:ascii="Times New Roman" w:hAnsi="Times New Roman"/>
          <w:color w:val="000000"/>
          <w:sz w:val="24"/>
        </w:rPr>
        <w:lastRenderedPageBreak/>
        <w:t xml:space="preserve">processus s’il devient évident que les résultats prévus ont déjà été obtenus ou sont couverts par un autre projet ayant déjà fait l’objet d’un contrat;  </w:t>
      </w:r>
    </w:p>
    <w:p w14:paraId="2E528707" w14:textId="0AE65935"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ou les États membres sélectionnés s’engagent à transférer l’expertise du secteur public disponible dans son administration nationale. Cela inclut avant tout le détachement d’un </w:t>
      </w:r>
      <w:r>
        <w:rPr>
          <w:rFonts w:ascii="Times New Roman" w:hAnsi="Times New Roman"/>
          <w:b/>
          <w:color w:val="000000"/>
          <w:sz w:val="24"/>
        </w:rPr>
        <w:t>CRJ</w:t>
      </w:r>
      <w:r>
        <w:rPr>
          <w:rFonts w:ascii="Times New Roman" w:hAnsi="Times New Roman"/>
          <w:color w:val="000000"/>
          <w:sz w:val="24"/>
        </w:rPr>
        <w:t xml:space="preserve"> de l’État membre à temps plein pendant la durée prévue du projet.</w:t>
      </w:r>
    </w:p>
    <w:p w14:paraId="2F12E6AB" w14:textId="1A627185"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projets de jumelage doivent produire des </w:t>
      </w:r>
      <w:r>
        <w:rPr>
          <w:rFonts w:ascii="Times New Roman" w:hAnsi="Times New Roman"/>
          <w:b/>
          <w:color w:val="000000"/>
          <w:sz w:val="24"/>
        </w:rPr>
        <w:t>résultats opérationnels concrets</w:t>
      </w:r>
      <w:r>
        <w:rPr>
          <w:rFonts w:ascii="Times New Roman" w:hAnsi="Times New Roman"/>
          <w:color w:val="000000"/>
          <w:sz w:val="24"/>
        </w:rPr>
        <w:t xml:space="preserve"> pour le pays bénéficiaire (les résultats/produits, voir aussi l’annexe C1a) en rapport avec l’acquis de l’Union, les normes de l’UE ou d’autres politiques de l’UE ouvertes à la coopération généralement liées à un processus de réforme planifié et convenu dans le pays bénéficiaire; </w:t>
      </w:r>
    </w:p>
    <w:p w14:paraId="032800C5" w14:textId="77777777" w:rsidR="001F7F17" w:rsidRPr="005107DF" w:rsidRDefault="00310532"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partenaires mettant le projet en œuvre </w:t>
      </w:r>
      <w:r>
        <w:rPr>
          <w:rFonts w:ascii="Times New Roman" w:hAnsi="Times New Roman"/>
          <w:b/>
          <w:color w:val="000000"/>
          <w:sz w:val="24"/>
        </w:rPr>
        <w:t>s’engagent</w:t>
      </w:r>
      <w:r>
        <w:rPr>
          <w:rFonts w:ascii="Times New Roman" w:hAnsi="Times New Roman"/>
          <w:color w:val="000000"/>
          <w:sz w:val="24"/>
        </w:rPr>
        <w:t xml:space="preserve"> à atteindre les résultats/produits obligatoires et pas seulement à fournir les moyens pour y parvenir. À l’issue du projet, une structure nouvelle ou adaptée et/ou des processus nouveaux ou adaptés </w:t>
      </w:r>
      <w:r>
        <w:rPr>
          <w:rFonts w:ascii="Times New Roman" w:hAnsi="Times New Roman"/>
          <w:sz w:val="24"/>
        </w:rPr>
        <w:t>doivent</w:t>
      </w:r>
      <w:r>
        <w:rPr>
          <w:rFonts w:ascii="Times New Roman" w:hAnsi="Times New Roman"/>
          <w:color w:val="000000"/>
          <w:sz w:val="24"/>
        </w:rPr>
        <w:t xml:space="preserve"> fonctionner sous la seule responsabilité et propriété du bénéficiaire qui s’engage à maintenir les résultats du projet;</w:t>
      </w:r>
    </w:p>
    <w:p w14:paraId="30B24675"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jumelage est un </w:t>
      </w:r>
      <w:r>
        <w:rPr>
          <w:rFonts w:ascii="Times New Roman" w:hAnsi="Times New Roman"/>
          <w:b/>
          <w:color w:val="000000"/>
          <w:sz w:val="24"/>
        </w:rPr>
        <w:t>projet conjoint qui a la nature d’une subvention</w:t>
      </w:r>
      <w:r>
        <w:rPr>
          <w:rFonts w:ascii="Times New Roman" w:hAnsi="Times New Roman"/>
          <w:color w:val="000000"/>
          <w:sz w:val="24"/>
        </w:rPr>
        <w:t>. Il ne s’agit pas d’un apport d’assistance technique à sens unique d’un État membre à un pays bénéficiaire. C’est un processus conjoint, dans lequel chaque partenaire assume</w:t>
      </w:r>
      <w:r>
        <w:rPr>
          <w:rFonts w:ascii="Times New Roman" w:hAnsi="Times New Roman"/>
          <w:sz w:val="24"/>
        </w:rPr>
        <w:t xml:space="preserve"> ses responsabilités</w:t>
      </w:r>
      <w:r>
        <w:rPr>
          <w:rFonts w:ascii="Times New Roman" w:hAnsi="Times New Roman"/>
          <w:color w:val="000000"/>
          <w:sz w:val="24"/>
        </w:rPr>
        <w:t>. Le bénéficiaire s’engage à entreprendre et financer des réformes, tandis que l’État membre accompagne le processus pendant la durée du projet;</w:t>
      </w:r>
    </w:p>
    <w:p w14:paraId="4245B585"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pour </w:t>
      </w:r>
      <w:r>
        <w:rPr>
          <w:rFonts w:ascii="Times New Roman" w:hAnsi="Times New Roman"/>
          <w:sz w:val="24"/>
        </w:rPr>
        <w:t>soutenir</w:t>
      </w:r>
      <w:r>
        <w:rPr>
          <w:rFonts w:ascii="Times New Roman" w:hAnsi="Times New Roman"/>
          <w:color w:val="000000"/>
          <w:sz w:val="24"/>
        </w:rPr>
        <w:t xml:space="preserve"> la crédibilité de leur engagement, les partenaires signent un </w:t>
      </w:r>
      <w:r>
        <w:rPr>
          <w:rFonts w:ascii="Times New Roman" w:hAnsi="Times New Roman"/>
          <w:b/>
          <w:color w:val="000000"/>
          <w:sz w:val="24"/>
        </w:rPr>
        <w:t>plan de travail de jumelage élaboré conjointement par l’État membre et l’administration bénéficiaire</w:t>
      </w:r>
      <w:r>
        <w:rPr>
          <w:rFonts w:ascii="Times New Roman" w:hAnsi="Times New Roman"/>
          <w:color w:val="000000"/>
          <w:sz w:val="24"/>
        </w:rPr>
        <w:t xml:space="preserve"> au début de la mise en œuvre du projet. Le plan de travail doit être considéré comme un document évolutif, préparé pour une période initiale de six mois au minimum puis régulièrement mis à jour au cours de la mise en œuvre du projet. Il doit toujours définir un cadre et des objectifs clairs afin de permettre un contrôle étroit des progrès réalisés en vue du résultat final;</w:t>
      </w:r>
    </w:p>
    <w:p w14:paraId="075196F2"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w:t>
      </w:r>
      <w:r>
        <w:rPr>
          <w:rFonts w:ascii="Times New Roman" w:hAnsi="Times New Roman"/>
          <w:b/>
          <w:color w:val="000000"/>
          <w:sz w:val="24"/>
        </w:rPr>
        <w:t>résultats</w:t>
      </w:r>
      <w:r>
        <w:rPr>
          <w:rFonts w:ascii="Times New Roman" w:hAnsi="Times New Roman"/>
          <w:color w:val="000000"/>
          <w:sz w:val="24"/>
        </w:rPr>
        <w:t xml:space="preserve"> d’un projet de jumelage doivent être </w:t>
      </w:r>
      <w:r>
        <w:rPr>
          <w:rFonts w:ascii="Times New Roman" w:hAnsi="Times New Roman"/>
          <w:b/>
          <w:color w:val="000000"/>
          <w:sz w:val="24"/>
        </w:rPr>
        <w:t>maintenus</w:t>
      </w:r>
      <w:r>
        <w:rPr>
          <w:rFonts w:ascii="Times New Roman" w:hAnsi="Times New Roman"/>
          <w:color w:val="000000"/>
          <w:sz w:val="24"/>
        </w:rPr>
        <w:t xml:space="preserve"> comme un atout permanent dans l’administration bénéficiaire même après la fin de la mise en œuvre du projet de jumelage. Cela présuppose, entre autres, la mise en place par l’</w:t>
      </w:r>
      <w:r>
        <w:rPr>
          <w:rFonts w:ascii="Times New Roman" w:hAnsi="Times New Roman"/>
          <w:sz w:val="24"/>
        </w:rPr>
        <w:t>administration</w:t>
      </w:r>
      <w:r>
        <w:rPr>
          <w:rFonts w:ascii="Times New Roman" w:hAnsi="Times New Roman"/>
          <w:color w:val="000000"/>
          <w:sz w:val="24"/>
        </w:rPr>
        <w:t xml:space="preserve"> bénéficiaire de mécanismes efficaces pour diffuser, consolider et maintenir les résultats du projet en engageant suffisamment de ressources futures;</w:t>
      </w:r>
    </w:p>
    <w:p w14:paraId="60187D68"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afin de garantir la transparence de la procédure et une égalité de traitement entre tous les soumissionnaires administratifs, les fiches de </w:t>
      </w:r>
      <w:r>
        <w:rPr>
          <w:rFonts w:ascii="Times New Roman" w:hAnsi="Times New Roman"/>
          <w:sz w:val="24"/>
        </w:rPr>
        <w:t>jumelage</w:t>
      </w:r>
      <w:r>
        <w:rPr>
          <w:rFonts w:ascii="Times New Roman" w:hAnsi="Times New Roman"/>
          <w:color w:val="000000"/>
          <w:sz w:val="24"/>
        </w:rPr>
        <w:t xml:space="preserve"> </w:t>
      </w:r>
      <w:r>
        <w:rPr>
          <w:rFonts w:ascii="Times New Roman" w:hAnsi="Times New Roman"/>
          <w:b/>
          <w:color w:val="000000"/>
          <w:sz w:val="24"/>
        </w:rPr>
        <w:t>seront uniquement transmises</w:t>
      </w:r>
      <w:r>
        <w:rPr>
          <w:rFonts w:ascii="Times New Roman" w:hAnsi="Times New Roman"/>
          <w:color w:val="000000"/>
          <w:sz w:val="24"/>
        </w:rPr>
        <w:t xml:space="preserve"> aux</w:t>
      </w:r>
      <w:r>
        <w:rPr>
          <w:rFonts w:ascii="Times New Roman" w:hAnsi="Times New Roman"/>
          <w:b/>
          <w:sz w:val="24"/>
        </w:rPr>
        <w:t xml:space="preserve"> points de contact nationaux désignés</w:t>
      </w:r>
      <w:r>
        <w:rPr>
          <w:rFonts w:ascii="Times New Roman" w:hAnsi="Times New Roman"/>
          <w:color w:val="000000"/>
          <w:sz w:val="24"/>
        </w:rPr>
        <w:t xml:space="preserve"> dans les administrations des États membres et publiés sur le site internet d’EuropeAid.   </w:t>
      </w:r>
    </w:p>
    <w:p w14:paraId="268FE12A"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À la fin du projet de jumelage, l’administration bénéficiaire doit avoir accompli des progrès considérables dans le domaine d’activité concerné. Le projet de jumelage contribue au programme de réforme du pays bénéficiaire adopté, mais ne le remplace pas. Il s’intègre souvent dans une série d’actions, notamment des actions ne visant pas à renforcer les institutions et les actions d’autres parties prenantes avec lesquelles le bénéficiaire coopère dans le cadre de son processus de réforme. Ceci ne diminue aucunement la nécessité de fixer pour chaque projet des objectifs clairs et un programme de travail détaillé, doté d’un budget et d’un calendrier précis.</w:t>
      </w:r>
    </w:p>
    <w:p w14:paraId="78BDCEB0" w14:textId="77777777" w:rsidR="001F7F17" w:rsidRPr="005107DF" w:rsidRDefault="001F7F17" w:rsidP="001F7F17">
      <w:pPr>
        <w:spacing w:after="240" w:line="240" w:lineRule="auto"/>
        <w:jc w:val="both"/>
        <w:rPr>
          <w:rFonts w:ascii="Times New Roman" w:eastAsia="Times New Roman" w:hAnsi="Times New Roman" w:cs="Times New Roman"/>
          <w:b/>
          <w:sz w:val="24"/>
          <w:szCs w:val="24"/>
        </w:rPr>
      </w:pPr>
      <w:bookmarkStart w:id="32" w:name="_Toc58128406"/>
      <w:bookmarkStart w:id="33" w:name="_Toc86818868"/>
      <w:bookmarkStart w:id="34" w:name="_Toc90818347"/>
      <w:r>
        <w:rPr>
          <w:rFonts w:ascii="Times New Roman" w:hAnsi="Times New Roman"/>
          <w:b/>
          <w:sz w:val="24"/>
        </w:rPr>
        <w:lastRenderedPageBreak/>
        <w:t>Le jumelage convient particulièrement bien aux projets qui présentent les caractéristiques suivantes</w:t>
      </w:r>
      <w:r>
        <w:rPr>
          <w:rFonts w:ascii="Times New Roman" w:hAnsi="Times New Roman"/>
          <w:color w:val="000000"/>
          <w:sz w:val="24"/>
        </w:rPr>
        <w:t>:</w:t>
      </w:r>
      <w:bookmarkEnd w:id="32"/>
      <w:bookmarkEnd w:id="33"/>
      <w:bookmarkEnd w:id="34"/>
    </w:p>
    <w:p w14:paraId="24AF2C40" w14:textId="77777777" w:rsidR="009405EC" w:rsidRPr="005107DF" w:rsidRDefault="0027576F"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lorsque l’utilisation de l’expertise du secteur public présente un avantage manifeste, c’est-à-dire pour les activités de renforcement des capacités des administrations publiques qui nécessitent un accès pour soutenir une administration publique d’un État membre; </w:t>
      </w:r>
    </w:p>
    <w:p w14:paraId="6F4165E5" w14:textId="4D0BC009"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résultats/produits obligatoires et la contribution à une réforme générale sont manifestes et l’administration bénéficiaire possède une bonne compréhension des parties concernées de l’acquis de l’Union et/ou des </w:t>
      </w:r>
      <w:r>
        <w:rPr>
          <w:rFonts w:ascii="Times New Roman" w:hAnsi="Times New Roman"/>
          <w:sz w:val="24"/>
        </w:rPr>
        <w:t>normes</w:t>
      </w:r>
      <w:r>
        <w:rPr>
          <w:rFonts w:ascii="Times New Roman" w:hAnsi="Times New Roman"/>
          <w:color w:val="000000"/>
          <w:sz w:val="24"/>
        </w:rPr>
        <w:t xml:space="preserve"> ou du domaine de coopération concerné, et a sélectionné le type de système administratif qu’elle souhaite adopter;</w:t>
      </w:r>
    </w:p>
    <w:p w14:paraId="3AEEE971" w14:textId="77777777" w:rsidR="001F7F17" w:rsidRPr="005107DF" w:rsidRDefault="001F7F17" w:rsidP="0027576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il existe un engagement politique clair de la part du bénéficiaire dans le cadre du dialogue entre celui-ci et l’UE et des ressources budgétaires suffisantes sont allouées pour garantir la mobilisation des ressources (financières, humaines, etc.) nécessaires au processus de réforme en tant que tel (y compris le projet de jumelage).</w:t>
      </w:r>
    </w:p>
    <w:p w14:paraId="7A7E7993" w14:textId="77777777" w:rsidR="001F7F17" w:rsidRPr="005107DF" w:rsidRDefault="001F7F17" w:rsidP="009A1698">
      <w:pPr>
        <w:pStyle w:val="Heading2"/>
        <w:ind w:left="1077" w:hanging="1077"/>
      </w:pPr>
      <w:bookmarkStart w:id="35" w:name="_Toc462416418"/>
      <w:bookmarkStart w:id="36" w:name="_Toc464459837"/>
      <w:bookmarkStart w:id="37" w:name="_Toc517434349"/>
      <w:bookmarkStart w:id="38" w:name="_Toc2860912"/>
      <w:bookmarkEnd w:id="30"/>
      <w:bookmarkEnd w:id="31"/>
      <w:r>
        <w:t>1.2 Les modes de gestion du jumelage et les administrations contractantes</w:t>
      </w:r>
      <w:bookmarkEnd w:id="35"/>
      <w:bookmarkEnd w:id="36"/>
      <w:bookmarkEnd w:id="37"/>
      <w:bookmarkEnd w:id="38"/>
    </w:p>
    <w:p w14:paraId="610B0153"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projets de jumelage financés par des subventions accordées dans le cadre de programmes d’aide extérieure de l’UE sont gérés conformément à l’une des procédures définies à cette fin dans le règlement financier de l’UE</w:t>
      </w:r>
      <w:r>
        <w:rPr>
          <w:rFonts w:ascii="Times New Roman" w:hAnsi="Times New Roman"/>
          <w:color w:val="000000"/>
          <w:sz w:val="24"/>
          <w:vertAlign w:val="superscript"/>
        </w:rPr>
        <w:footnoteReference w:id="1"/>
      </w:r>
      <w:r>
        <w:rPr>
          <w:rFonts w:ascii="Times New Roman" w:hAnsi="Times New Roman"/>
          <w:color w:val="000000"/>
          <w:sz w:val="24"/>
        </w:rPr>
        <w:t>: la gestion directe ou la gestion indirecte.</w:t>
      </w:r>
    </w:p>
    <w:p w14:paraId="7E3EAFFB"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w:t>
      </w:r>
      <w:r>
        <w:rPr>
          <w:rFonts w:ascii="Times New Roman" w:hAnsi="Times New Roman"/>
          <w:b/>
          <w:color w:val="000000"/>
          <w:sz w:val="24"/>
        </w:rPr>
        <w:t>gestion directe</w:t>
      </w:r>
      <w:r>
        <w:rPr>
          <w:rFonts w:ascii="Times New Roman" w:hAnsi="Times New Roman"/>
          <w:color w:val="000000"/>
          <w:sz w:val="24"/>
        </w:rPr>
        <w:t>, les contrats de subvention de jumelage sont directement conclus par la Commission, représentée par la délégation de l’UE dans le pays bénéficiaire, qui agit en tant que pouvoir adjudicateur.</w:t>
      </w:r>
    </w:p>
    <w:p w14:paraId="45F2206D"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Deux possibilités sont prévues dans le cadre de la </w:t>
      </w:r>
      <w:r>
        <w:rPr>
          <w:rFonts w:ascii="Times New Roman" w:hAnsi="Times New Roman"/>
          <w:b/>
          <w:color w:val="000000"/>
          <w:sz w:val="24"/>
        </w:rPr>
        <w:t>gestion indirecte</w:t>
      </w:r>
      <w:r>
        <w:rPr>
          <w:rFonts w:ascii="Times New Roman" w:hAnsi="Times New Roman"/>
          <w:color w:val="000000"/>
          <w:sz w:val="24"/>
        </w:rPr>
        <w:t xml:space="preserve"> avec les pays bénéficiaires:</w:t>
      </w:r>
    </w:p>
    <w:p w14:paraId="74D2D354" w14:textId="5C70C628"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u w:val="single"/>
        </w:rPr>
        <w:t>la gestion indirecte avec contrôles ex</w:t>
      </w:r>
      <w:r w:rsidR="00B00D37">
        <w:rPr>
          <w:rFonts w:ascii="Times New Roman" w:hAnsi="Times New Roman"/>
          <w:color w:val="000000"/>
          <w:sz w:val="24"/>
          <w:u w:val="single"/>
        </w:rPr>
        <w:t>-</w:t>
      </w:r>
      <w:r>
        <w:rPr>
          <w:rFonts w:ascii="Times New Roman" w:hAnsi="Times New Roman"/>
          <w:color w:val="000000"/>
          <w:sz w:val="24"/>
          <w:u w:val="single"/>
        </w:rPr>
        <w:t>ante</w:t>
      </w:r>
      <w:r>
        <w:rPr>
          <w:rFonts w:ascii="Times New Roman" w:hAnsi="Times New Roman"/>
          <w:color w:val="000000"/>
          <w:sz w:val="24"/>
        </w:rPr>
        <w:t>: le bénéficiaire est l’administration contractante. À ce titre, il prend les décisions relatives à l’attribution des marchés et subventions après autorisation préalable de la Commission;</w:t>
      </w:r>
    </w:p>
    <w:p w14:paraId="570246A2" w14:textId="7801CE0D"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u w:val="single"/>
        </w:rPr>
        <w:t>la gestion indirecte avec contrôles ex</w:t>
      </w:r>
      <w:r w:rsidR="00B00D37">
        <w:rPr>
          <w:rFonts w:ascii="Times New Roman" w:hAnsi="Times New Roman"/>
          <w:color w:val="000000"/>
          <w:sz w:val="24"/>
          <w:u w:val="single"/>
        </w:rPr>
        <w:t>-</w:t>
      </w:r>
      <w:r>
        <w:rPr>
          <w:rFonts w:ascii="Times New Roman" w:hAnsi="Times New Roman"/>
          <w:color w:val="000000"/>
          <w:sz w:val="24"/>
          <w:u w:val="single"/>
        </w:rPr>
        <w:t>post</w:t>
      </w:r>
      <w:r>
        <w:rPr>
          <w:rFonts w:ascii="Times New Roman" w:hAnsi="Times New Roman"/>
          <w:color w:val="000000"/>
          <w:sz w:val="24"/>
        </w:rPr>
        <w:t xml:space="preserve">: les décisions sont prises par le bénéficiaire, qui agit en qualité d’administration contractante sans autorisation préalable de la Commission. </w:t>
      </w:r>
    </w:p>
    <w:p w14:paraId="0D5C9E47"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différentes procédures de contrôle ex ante et ex post sont définies dans des accords conclus entre l’UE et chaque bénéficiaire.</w:t>
      </w:r>
    </w:p>
    <w:p w14:paraId="3530D313"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contrats de subvention de jumelage sont conclus par une administration compétente désignée dans une convention de financement. Dans le contexte IAP, c’est l’entité centrale de financement et de contrats (unité/agence/service) (ECFC) qui est l’administration contractante </w:t>
      </w:r>
      <w:r>
        <w:rPr>
          <w:rFonts w:ascii="Times New Roman" w:hAnsi="Times New Roman"/>
          <w:color w:val="000000"/>
          <w:sz w:val="24"/>
        </w:rPr>
        <w:lastRenderedPageBreak/>
        <w:t>et, dans les pays du voisinage, il s’agit généralement, mais pas toujours, des unités gestionnaires du programme (UGP).</w:t>
      </w:r>
    </w:p>
    <w:p w14:paraId="2D1E4C1B" w14:textId="77777777" w:rsidR="001F7F17" w:rsidRPr="005107DF" w:rsidRDefault="002C52A3"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documents auxquels il est fait référence dans le présent manuel de jumelage doivent être validés par la délégation de l’UE compétente si l’accord conclu entre celle-ci et le bénéficiaire ne l’exclut pas spécifiquement. Dans certains pays bénéficiaires, une dérogation progressive à différents types de contrôles ex ante peut s’appliquer. Par conséquent, les dispositions du présent manuel de jumelage concernant l’aval de la délégation de l’UE compétente et la consultation du groupe interservices de jumelage doivent être appliquées par chaque administration contractante selon la situation dans son pays au moment du lancement de la fiche de jumelage individuelle.</w:t>
      </w:r>
    </w:p>
    <w:p w14:paraId="7E5A773B"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En ce qui concerne les différents modes de gestion, chaque fois que le présent manuel de jumelage fait référence à la participation de la délégation de l’UE et à la transmission de documents, données ou informations à la délégation de l’UE par l’administration contractante, il faut comprendre que ladite transmission a lieu lorsque la délégation n’est pas l’administration contractante.</w:t>
      </w:r>
    </w:p>
    <w:p w14:paraId="6F9D00F3"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Afin de soutenir l’ensemble des acteurs du jumelage lors des différentes étapes de la préparation et de la mise en œuvre du projet, une équipe de coordination du jumelage est active au sein de la direction générale du voisinage et des négociations d’élargissement (DG NEAR) de la Commission européenne (voir le point 4.3.2).</w:t>
      </w:r>
    </w:p>
    <w:p w14:paraId="753A677B" w14:textId="77777777" w:rsidR="0030730B" w:rsidRPr="005107DF" w:rsidRDefault="0030730B" w:rsidP="001F7F17">
      <w:pPr>
        <w:spacing w:after="240" w:line="240" w:lineRule="auto"/>
        <w:jc w:val="both"/>
        <w:rPr>
          <w:rFonts w:ascii="Times New Roman" w:eastAsia="Times New Roman" w:hAnsi="Times New Roman" w:cs="Times New Roman"/>
          <w:color w:val="000000"/>
          <w:sz w:val="24"/>
          <w:szCs w:val="24"/>
        </w:rPr>
      </w:pPr>
    </w:p>
    <w:p w14:paraId="5CA0C79A" w14:textId="77777777" w:rsidR="00640F01" w:rsidRPr="005107DF" w:rsidRDefault="00640F01">
      <w:pPr>
        <w:rPr>
          <w:rFonts w:ascii="Times New Roman" w:eastAsia="Times New Roman" w:hAnsi="Times New Roman" w:cs="Times New Roman"/>
          <w:b/>
          <w:kern w:val="28"/>
          <w:sz w:val="32"/>
          <w:szCs w:val="32"/>
        </w:rPr>
      </w:pPr>
      <w:bookmarkStart w:id="39" w:name="_Toc462416419"/>
      <w:bookmarkStart w:id="40" w:name="_Toc464459838"/>
      <w:bookmarkStart w:id="41" w:name="_Toc476063221"/>
      <w:bookmarkStart w:id="42" w:name="_Toc476067703"/>
      <w:r>
        <w:br w:type="page"/>
      </w:r>
    </w:p>
    <w:p w14:paraId="1F164AC5" w14:textId="77777777" w:rsidR="00D0198E" w:rsidRPr="005107DF" w:rsidRDefault="00D0198E" w:rsidP="007338F0">
      <w:pPr>
        <w:pStyle w:val="Heading1"/>
        <w:pBdr>
          <w:bottom w:val="single" w:sz="4" w:space="1" w:color="auto"/>
        </w:pBdr>
      </w:pPr>
      <w:bookmarkStart w:id="43" w:name="_Toc517434350"/>
      <w:bookmarkStart w:id="44" w:name="_Toc2860913"/>
      <w:r>
        <w:lastRenderedPageBreak/>
        <w:t xml:space="preserve">Section 2: fiche de jumelage, appel à propositions, soumission et </w:t>
      </w:r>
      <w:bookmarkEnd w:id="39"/>
      <w:bookmarkEnd w:id="40"/>
      <w:bookmarkEnd w:id="41"/>
      <w:bookmarkEnd w:id="42"/>
      <w:r>
        <w:t>sélection</w:t>
      </w:r>
      <w:bookmarkEnd w:id="43"/>
      <w:bookmarkEnd w:id="44"/>
    </w:p>
    <w:p w14:paraId="353F29A7" w14:textId="77777777" w:rsidR="00D0198E" w:rsidRPr="005107DF" w:rsidRDefault="00D0198E" w:rsidP="007338F0">
      <w:pPr>
        <w:pStyle w:val="Heading2"/>
      </w:pPr>
      <w:bookmarkStart w:id="45" w:name="_Toc517434351"/>
      <w:bookmarkStart w:id="46" w:name="_Toc2860914"/>
      <w:bookmarkStart w:id="47" w:name="_Toc462416420"/>
      <w:bookmarkStart w:id="48" w:name="_Toc464459839"/>
      <w:bookmarkStart w:id="49" w:name="_Toc476063222"/>
      <w:bookmarkStart w:id="50" w:name="_Toc476067704"/>
      <w:r>
        <w:t>2.1 Fiche de jumelage et appel à propositions</w:t>
      </w:r>
      <w:bookmarkEnd w:id="45"/>
      <w:bookmarkEnd w:id="46"/>
      <w:r>
        <w:t xml:space="preserve"> </w:t>
      </w:r>
      <w:bookmarkEnd w:id="47"/>
      <w:bookmarkEnd w:id="48"/>
      <w:bookmarkEnd w:id="49"/>
      <w:bookmarkEnd w:id="50"/>
    </w:p>
    <w:p w14:paraId="532DCD73" w14:textId="77777777" w:rsidR="00D0198E" w:rsidRPr="005107DF" w:rsidRDefault="00D0198E" w:rsidP="007338F0">
      <w:pPr>
        <w:pStyle w:val="Heading3"/>
      </w:pPr>
      <w:bookmarkStart w:id="51" w:name="_Toc462416421"/>
      <w:bookmarkStart w:id="52" w:name="_Toc464459840"/>
      <w:bookmarkStart w:id="53" w:name="_Toc476063223"/>
      <w:bookmarkStart w:id="54" w:name="_Toc476067705"/>
      <w:bookmarkStart w:id="55" w:name="_Toc517434352"/>
      <w:bookmarkStart w:id="56" w:name="_Toc2860915"/>
      <w:r>
        <w:t>2.1.1 Principaux éléments de la fiche de jumelage</w:t>
      </w:r>
      <w:bookmarkEnd w:id="51"/>
      <w:bookmarkEnd w:id="52"/>
      <w:bookmarkEnd w:id="53"/>
      <w:bookmarkEnd w:id="54"/>
      <w:bookmarkEnd w:id="55"/>
      <w:bookmarkEnd w:id="56"/>
    </w:p>
    <w:p w14:paraId="1F2F903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projets pouvant être mis en œuvre par l’intermédiaire d’un jumelage sont sélectionnés lors de la programmation de l’assistance financière de l’UE. La fiche de jumelage (modèle à l’annexe C1) est préparée au début du processus de jumelage et précise:</w:t>
      </w:r>
    </w:p>
    <w:p w14:paraId="7EBB725A" w14:textId="77777777" w:rsidR="00D0198E" w:rsidRPr="001A2518"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sidRPr="005A5556">
        <w:rPr>
          <w:rFonts w:ascii="Times New Roman" w:hAnsi="Times New Roman" w:cs="Times New Roman"/>
          <w:sz w:val="24"/>
          <w:szCs w:val="24"/>
        </w:rPr>
        <w:t>l’objectif général (généralement en faisant référence à une réforme générale du secteur) et l’objectif spécifique du projet;</w:t>
      </w:r>
    </w:p>
    <w:p w14:paraId="781EDCA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Pr>
          <w:rFonts w:ascii="Times New Roman" w:hAnsi="Times New Roman"/>
          <w:sz w:val="24"/>
        </w:rPr>
        <w:t>le cadre juridique et institutionnel entourant la mise en œuvre du projet;</w:t>
      </w:r>
    </w:p>
    <w:p w14:paraId="5303091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Pr>
          <w:rFonts w:ascii="Times New Roman" w:hAnsi="Times New Roman"/>
          <w:sz w:val="24"/>
        </w:rPr>
        <w:t>les données de base;</w:t>
      </w:r>
    </w:p>
    <w:p w14:paraId="3680BA42"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Pr>
          <w:rFonts w:ascii="Times New Roman" w:hAnsi="Times New Roman"/>
          <w:sz w:val="24"/>
        </w:rPr>
        <w:t>les résultats/produits obligatoires (correspondant à chaque volet du projet) à réaliser;</w:t>
      </w:r>
    </w:p>
    <w:p w14:paraId="037635F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Pr>
          <w:rFonts w:ascii="Times New Roman" w:hAnsi="Times New Roman"/>
          <w:sz w:val="24"/>
        </w:rPr>
        <w:t>les objectifs du projet;</w:t>
      </w:r>
    </w:p>
    <w:p w14:paraId="69012336"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Pr>
          <w:rFonts w:ascii="Times New Roman" w:hAnsi="Times New Roman"/>
          <w:sz w:val="24"/>
        </w:rPr>
        <w:t xml:space="preserve">les indicateurs servant à mesurer les performances; </w:t>
      </w:r>
    </w:p>
    <w:p w14:paraId="6BB0D0B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Pr>
          <w:rFonts w:ascii="Times New Roman" w:hAnsi="Times New Roman"/>
          <w:sz w:val="24"/>
        </w:rPr>
        <w:t>le calendrier de mise en œuvre prévu;</w:t>
      </w:r>
    </w:p>
    <w:p w14:paraId="7942FCB9"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Pr>
          <w:rFonts w:ascii="Times New Roman" w:hAnsi="Times New Roman"/>
          <w:sz w:val="24"/>
        </w:rPr>
        <w:t>le montant maximal de la subvention accordée par la Commission;</w:t>
      </w:r>
    </w:p>
    <w:p w14:paraId="19E6511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sz w:val="24"/>
        </w:rPr>
        <w:t xml:space="preserve">l’assistance </w:t>
      </w:r>
      <w:r>
        <w:rPr>
          <w:rFonts w:ascii="Times New Roman" w:hAnsi="Times New Roman"/>
          <w:color w:val="000000"/>
          <w:sz w:val="24"/>
        </w:rPr>
        <w:t>devant être fournie par le bénéficiaire lors des différentes étapes du projet;</w:t>
      </w:r>
    </w:p>
    <w:p w14:paraId="33C20AB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nom et le rôle du chef de projet (CP) du bénéficiaire et de l’homologue du conseiller résident de jumelage (CRJ); </w:t>
      </w:r>
    </w:p>
    <w:p w14:paraId="3621F821" w14:textId="77777777" w:rsidR="00D0198E" w:rsidRPr="005107DF" w:rsidRDefault="00B70A66"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les infrastructures, en particulier les bureaux et outils bureautiques à la disposition du CRJ et de son ou ses assistants et des experts de courte durée, les salles de réunion et les équipements dont elles sont dotées, etc.</w:t>
      </w:r>
    </w:p>
    <w:p w14:paraId="5038E82C" w14:textId="1B031646"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résultats/produits obligatoires représentent un élément clé de la fiche de jumelage. L’Union européenne n’accordera son financement que si ces résultats sont réellement atteints. Après la clôture du projet, les résultats doivent être maintenus comme un atout permanent à la disposition de l’administration du bénéficiaire. Afin de garantir leur viabilité, les résultats doivent être pleinement conformes et contribuer aux efforts en matière de réforme dans le pays bénéficiaire. </w:t>
      </w:r>
    </w:p>
    <w:p w14:paraId="322FC63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Toute législation (en particulièrement son alignement sur  l’acquis de l’Union), structure organisationnelle, procédure et tout profil d’emploi élaborés dans le cadre du projet de jumelage devront l’être en suivant une approche inclusive et fondée sur des éléments de </w:t>
      </w:r>
      <w:r>
        <w:rPr>
          <w:rFonts w:ascii="Times New Roman" w:hAnsi="Times New Roman"/>
          <w:color w:val="000000"/>
          <w:sz w:val="24"/>
        </w:rPr>
        <w:lastRenderedPageBreak/>
        <w:t>preuve, en collaboration avec les parties prenantes internes et externes et sur la base des meilleures preuves possibles (analyses d’impact)</w:t>
      </w:r>
      <w:r>
        <w:rPr>
          <w:rStyle w:val="FootnoteReference"/>
          <w:rFonts w:ascii="Times New Roman" w:hAnsi="Times New Roman"/>
          <w:color w:val="000000"/>
          <w:sz w:val="24"/>
        </w:rPr>
        <w:footnoteReference w:id="2"/>
      </w:r>
      <w:r>
        <w:rPr>
          <w:rFonts w:ascii="Times New Roman" w:hAnsi="Times New Roman"/>
          <w:color w:val="000000"/>
          <w:sz w:val="24"/>
        </w:rPr>
        <w:t xml:space="preserve">. </w:t>
      </w:r>
    </w:p>
    <w:p w14:paraId="6DD2EFFC" w14:textId="77777777" w:rsidR="00D0198E" w:rsidRPr="005107DF" w:rsidRDefault="00D0198E" w:rsidP="00D0198E">
      <w:pPr>
        <w:spacing w:after="12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résultats/produits obligatoires mentionnés dans la fiche de jumelage doivent être conformes aux principes SMART (spécifié, mesurable, acceptable, réaliste, situé dans le temps).</w:t>
      </w:r>
    </w:p>
    <w:p w14:paraId="504D7A8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préparation de la fiche de jumelage relève de la responsabilité de l’administration bénéficiaire, avec le soutien de la délégation de l’UE et l’ECFC/UGP. Les entités et les personnes participant à la préparation (en particulier en cas de recours à des consultants extérieurs) doivent être identifiées et, en cas de recours à des consultants extérieurs, ceux-ci, ou les entités qu’ils représentent, ne peuvent prendre part à l’appel à propositions. </w:t>
      </w:r>
    </w:p>
    <w:p w14:paraId="4761665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contrôles et approbations de la fiche de jumelage dépendent du mode de gestion et du cycle de programmation:</w:t>
      </w:r>
    </w:p>
    <w:p w14:paraId="7E9F789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u w:val="single"/>
        </w:rPr>
      </w:pPr>
      <w:r>
        <w:rPr>
          <w:rFonts w:ascii="Times New Roman" w:hAnsi="Times New Roman"/>
          <w:i/>
          <w:color w:val="000000"/>
          <w:sz w:val="24"/>
          <w:u w:val="single"/>
        </w:rPr>
        <w:t>En gestion directe</w:t>
      </w:r>
      <w:r>
        <w:rPr>
          <w:rFonts w:ascii="Times New Roman" w:hAnsi="Times New Roman"/>
          <w:color w:val="000000"/>
          <w:sz w:val="24"/>
          <w:u w:val="single"/>
        </w:rPr>
        <w:t>:</w:t>
      </w:r>
    </w:p>
    <w:p w14:paraId="46E1E4B0"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 xml:space="preserve">Une fois le projet de fiche de jumelage finalisé, l’administration bénéficiaire le soumet à </w:t>
      </w:r>
      <w:r>
        <w:rPr>
          <w:rFonts w:ascii="Times New Roman" w:hAnsi="Times New Roman"/>
          <w:sz w:val="24"/>
        </w:rPr>
        <w:t xml:space="preserve">la délégation de l’UE pour examen; celle-ci transmet ensuite le projet final à l’équipe de coordination du jumelage en invitant le groupe interservices de jumelage à donner son avis. Si un projet de fiche de projet (conforme à l’annexe C1) est entièrement élaboré dans le cadre du cycle de programmation, cette procédure peut être remplacée par le processus d’examen de la qualité approprié. </w:t>
      </w:r>
    </w:p>
    <w:p w14:paraId="630F17D1" w14:textId="77777777" w:rsidR="00020265" w:rsidRPr="005107DF" w:rsidRDefault="00D0198E" w:rsidP="00D0198E">
      <w:pPr>
        <w:spacing w:after="240" w:line="240" w:lineRule="auto"/>
        <w:jc w:val="both"/>
        <w:rPr>
          <w:rFonts w:ascii="Times New Roman" w:eastAsia="Times New Roman" w:hAnsi="Times New Roman" w:cs="Times New Roman"/>
          <w:i/>
          <w:sz w:val="24"/>
          <w:szCs w:val="24"/>
          <w:u w:val="single"/>
        </w:rPr>
      </w:pPr>
      <w:r>
        <w:rPr>
          <w:rFonts w:ascii="Times New Roman" w:hAnsi="Times New Roman"/>
          <w:i/>
          <w:sz w:val="24"/>
          <w:u w:val="single"/>
        </w:rPr>
        <w:t xml:space="preserve">En gestion indirecte </w:t>
      </w:r>
    </w:p>
    <w:p w14:paraId="55118BA2" w14:textId="784AC0AE" w:rsidR="00D0198E" w:rsidRPr="005107DF" w:rsidRDefault="00D0198E" w:rsidP="007338F0">
      <w:pPr>
        <w:pStyle w:val="ListParagraph"/>
        <w:numPr>
          <w:ilvl w:val="0"/>
          <w:numId w:val="265"/>
        </w:numPr>
        <w:spacing w:after="240" w:line="240" w:lineRule="auto"/>
        <w:jc w:val="both"/>
        <w:rPr>
          <w:rFonts w:ascii="Times New Roman" w:hAnsi="Times New Roman"/>
          <w:sz w:val="24"/>
          <w:szCs w:val="24"/>
          <w:u w:val="single"/>
        </w:rPr>
      </w:pPr>
      <w:r>
        <w:rPr>
          <w:rFonts w:ascii="Times New Roman" w:hAnsi="Times New Roman"/>
          <w:i/>
          <w:sz w:val="24"/>
          <w:u w:val="single"/>
        </w:rPr>
        <w:t>avec contrôle ex</w:t>
      </w:r>
      <w:r w:rsidR="001A2518">
        <w:rPr>
          <w:rFonts w:ascii="Times New Roman" w:hAnsi="Times New Roman"/>
          <w:i/>
          <w:sz w:val="24"/>
          <w:u w:val="single"/>
        </w:rPr>
        <w:t>-</w:t>
      </w:r>
      <w:r>
        <w:rPr>
          <w:rFonts w:ascii="Times New Roman" w:hAnsi="Times New Roman"/>
          <w:i/>
          <w:sz w:val="24"/>
          <w:u w:val="single"/>
        </w:rPr>
        <w:t>ante</w:t>
      </w:r>
      <w:r>
        <w:rPr>
          <w:rFonts w:ascii="Times New Roman" w:hAnsi="Times New Roman"/>
          <w:sz w:val="24"/>
          <w:u w:val="single"/>
        </w:rPr>
        <w:t>:</w:t>
      </w:r>
    </w:p>
    <w:p w14:paraId="1D26B679"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Une fois le projet de fiche de jumelage finalisé, l’administration bénéficiaire le soumet à l’administration contractante qui, après examen, l’envoie à la délégation de l’UE. Celle-ci transmet ensuite le projet final à l’équipe de coordination du jumelage en invitant le groupe interservices de jumelage à donner son avis. Si un projet de fiche de projet (conforme à l’annexe C1) est entièrement élaboré dans le cadre du cycle de programmation, cette procédure peut être remplacée par le processus d’examen de la qualité approprié.</w:t>
      </w:r>
    </w:p>
    <w:p w14:paraId="7132F3A8" w14:textId="66CECC11" w:rsidR="00D0198E" w:rsidRPr="005107DF" w:rsidRDefault="00D0198E" w:rsidP="007338F0">
      <w:pPr>
        <w:pStyle w:val="ListParagraph"/>
        <w:numPr>
          <w:ilvl w:val="0"/>
          <w:numId w:val="265"/>
        </w:numPr>
        <w:spacing w:after="240" w:line="240" w:lineRule="auto"/>
        <w:jc w:val="both"/>
        <w:rPr>
          <w:rFonts w:ascii="Times New Roman" w:hAnsi="Times New Roman"/>
          <w:i/>
          <w:sz w:val="24"/>
          <w:szCs w:val="24"/>
          <w:u w:val="single"/>
        </w:rPr>
      </w:pPr>
      <w:r>
        <w:rPr>
          <w:rFonts w:ascii="Times New Roman" w:hAnsi="Times New Roman"/>
          <w:i/>
          <w:sz w:val="24"/>
          <w:u w:val="single"/>
        </w:rPr>
        <w:t>avec contrôle ex</w:t>
      </w:r>
      <w:r w:rsidR="001A2518">
        <w:rPr>
          <w:rFonts w:ascii="Times New Roman" w:hAnsi="Times New Roman"/>
          <w:i/>
          <w:sz w:val="24"/>
          <w:u w:val="single"/>
        </w:rPr>
        <w:t>-</w:t>
      </w:r>
      <w:r>
        <w:rPr>
          <w:rFonts w:ascii="Times New Roman" w:hAnsi="Times New Roman"/>
          <w:i/>
          <w:sz w:val="24"/>
          <w:u w:val="single"/>
        </w:rPr>
        <w:t>post:</w:t>
      </w:r>
    </w:p>
    <w:p w14:paraId="4ABA5A9C" w14:textId="18522723"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Une fois le projet de fiche de jumelage finalisé, l’administration bénéficiaire le soumet à l’administration contractante pour diffusion. Cette dernière pourrait demander l’avis du groupe interservices de jumelage dans le cadre des contrôles ex post, ainsi que celui de la délégation de l’UE. Si un projet de fiche de projet (conforme à l’annexe C1) est entièrement élaboré dans le cadre du cycle de programmation, cette procédure peut être remplacée par le processus d’examen de la qualité par un groupe de promotion de la qualité approprié.</w:t>
      </w:r>
    </w:p>
    <w:p w14:paraId="6A32DFC5" w14:textId="77777777" w:rsidR="00D0198E" w:rsidRPr="005107DF" w:rsidRDefault="00D0198E" w:rsidP="007338F0">
      <w:pPr>
        <w:pStyle w:val="Heading3"/>
      </w:pPr>
      <w:bookmarkStart w:id="57" w:name="_Toc462416422"/>
      <w:bookmarkStart w:id="58" w:name="_Toc464459841"/>
      <w:bookmarkStart w:id="59" w:name="_Toc476063224"/>
      <w:bookmarkStart w:id="60" w:name="_Toc476067706"/>
      <w:bookmarkStart w:id="61" w:name="_Toc517434353"/>
      <w:bookmarkStart w:id="62" w:name="_Toc2860916"/>
      <w:r>
        <w:t>2.1.2 Procédure</w:t>
      </w:r>
      <w:bookmarkEnd w:id="57"/>
      <w:bookmarkEnd w:id="58"/>
      <w:bookmarkEnd w:id="59"/>
      <w:bookmarkEnd w:id="60"/>
      <w:r>
        <w:t xml:space="preserve"> relative au groupe interservices de jumelage</w:t>
      </w:r>
      <w:bookmarkEnd w:id="61"/>
      <w:bookmarkEnd w:id="62"/>
    </w:p>
    <w:p w14:paraId="3CBF853F" w14:textId="4BD63B66"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 groupe interservices de jumelage est composé de représentants des services de l’UE concernés et est coordonné par l’équipe de coordination du jumelage. Les membres du groupe sont généralement consultés par courrier électronique, mais des réunions en personne peuvent être organisées si nécessaire. Le processus de consultation dure généralement 15 jours ouvrables. </w:t>
      </w:r>
    </w:p>
    <w:p w14:paraId="1A67A552"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lastRenderedPageBreak/>
        <w:t xml:space="preserve">Le groupe interservices de jumelage formule un avis contraignant sur </w:t>
      </w:r>
      <w:r>
        <w:rPr>
          <w:rFonts w:ascii="Times New Roman" w:hAnsi="Times New Roman"/>
          <w:b/>
          <w:sz w:val="24"/>
        </w:rPr>
        <w:t>la pertinence, mais non sur les aspects contractuels et financiers,</w:t>
      </w:r>
      <w:r>
        <w:rPr>
          <w:rFonts w:ascii="Times New Roman" w:hAnsi="Times New Roman"/>
          <w:sz w:val="24"/>
        </w:rPr>
        <w:t xml:space="preserve"> de la fiche de jumelage, en rapport avec </w:t>
      </w:r>
      <w:r>
        <w:rPr>
          <w:rFonts w:ascii="Times New Roman" w:hAnsi="Times New Roman"/>
          <w:color w:val="000000"/>
          <w:sz w:val="24"/>
        </w:rPr>
        <w:t xml:space="preserve">l’acquis de l’Union et/ou les objectifs stratégiques convenus entre l’UE et le bénéficiaire. </w:t>
      </w:r>
      <w:r>
        <w:rPr>
          <w:rFonts w:ascii="Times New Roman" w:hAnsi="Times New Roman"/>
          <w:sz w:val="24"/>
        </w:rPr>
        <w:t>Il peut émettre quatre types d’avis:</w:t>
      </w:r>
    </w:p>
    <w:p w14:paraId="153DEFB1" w14:textId="2677A7EE" w:rsidR="00D0198E" w:rsidRPr="005107DF" w:rsidRDefault="001A2518" w:rsidP="00D0198E">
      <w:pPr>
        <w:numPr>
          <w:ilvl w:val="0"/>
          <w:numId w:val="11"/>
        </w:numPr>
        <w:spacing w:after="0" w:line="240" w:lineRule="auto"/>
        <w:ind w:left="709" w:hanging="357"/>
        <w:jc w:val="both"/>
        <w:rPr>
          <w:rFonts w:ascii="Times New Roman" w:eastAsia="Times New Roman" w:hAnsi="Times New Roman" w:cs="Times New Roman"/>
          <w:sz w:val="24"/>
          <w:szCs w:val="24"/>
        </w:rPr>
      </w:pPr>
      <w:r>
        <w:rPr>
          <w:rFonts w:ascii="Times New Roman" w:hAnsi="Times New Roman"/>
          <w:i/>
          <w:sz w:val="24"/>
        </w:rPr>
        <w:t>A</w:t>
      </w:r>
      <w:r w:rsidR="00D0198E">
        <w:rPr>
          <w:rFonts w:ascii="Times New Roman" w:hAnsi="Times New Roman"/>
          <w:i/>
          <w:sz w:val="24"/>
        </w:rPr>
        <w:t>pprobation sans réserves</w:t>
      </w:r>
      <w:r w:rsidR="00D0198E">
        <w:rPr>
          <w:rFonts w:ascii="Times New Roman" w:hAnsi="Times New Roman"/>
          <w:sz w:val="24"/>
        </w:rPr>
        <w:t>: la fiche de jumelage est approuvée dans sa version soumise et peut être diffusée;</w:t>
      </w:r>
    </w:p>
    <w:p w14:paraId="042115EC" w14:textId="577223AF" w:rsidR="00D0198E" w:rsidRPr="005107DF" w:rsidRDefault="001A2518" w:rsidP="00D0198E">
      <w:pPr>
        <w:numPr>
          <w:ilvl w:val="0"/>
          <w:numId w:val="11"/>
        </w:numPr>
        <w:spacing w:after="0" w:line="240" w:lineRule="auto"/>
        <w:ind w:left="709" w:hanging="357"/>
        <w:jc w:val="both"/>
        <w:rPr>
          <w:rFonts w:ascii="Times New Roman" w:eastAsia="Times New Roman" w:hAnsi="Times New Roman" w:cs="Times New Roman"/>
          <w:sz w:val="24"/>
          <w:szCs w:val="24"/>
        </w:rPr>
      </w:pPr>
      <w:r>
        <w:rPr>
          <w:rFonts w:ascii="Times New Roman" w:hAnsi="Times New Roman"/>
          <w:i/>
          <w:sz w:val="24"/>
        </w:rPr>
        <w:t>A</w:t>
      </w:r>
      <w:r w:rsidR="00D0198E">
        <w:rPr>
          <w:rFonts w:ascii="Times New Roman" w:hAnsi="Times New Roman"/>
          <w:i/>
          <w:sz w:val="24"/>
        </w:rPr>
        <w:t>pprobation avec commentaires</w:t>
      </w:r>
      <w:r w:rsidR="00D0198E">
        <w:rPr>
          <w:rFonts w:ascii="Times New Roman" w:hAnsi="Times New Roman"/>
          <w:sz w:val="24"/>
        </w:rPr>
        <w:t xml:space="preserve">: la fiche de jumelage est approuvée, mais des améliorations et/ou des adaptations pourraient être introduites avant la diffusion;  </w:t>
      </w:r>
    </w:p>
    <w:p w14:paraId="0452B031" w14:textId="52386C47" w:rsidR="00D0198E" w:rsidRPr="005107DF" w:rsidRDefault="001A2518" w:rsidP="00D0198E">
      <w:pPr>
        <w:numPr>
          <w:ilvl w:val="0"/>
          <w:numId w:val="11"/>
        </w:numPr>
        <w:spacing w:after="0" w:line="240" w:lineRule="auto"/>
        <w:ind w:left="709" w:hanging="357"/>
        <w:jc w:val="both"/>
        <w:rPr>
          <w:rFonts w:ascii="Times New Roman" w:eastAsia="Times New Roman" w:hAnsi="Times New Roman" w:cs="Times New Roman"/>
          <w:sz w:val="24"/>
          <w:szCs w:val="24"/>
        </w:rPr>
      </w:pPr>
      <w:r>
        <w:rPr>
          <w:rFonts w:ascii="Times New Roman" w:hAnsi="Times New Roman"/>
          <w:i/>
          <w:sz w:val="24"/>
        </w:rPr>
        <w:t>A</w:t>
      </w:r>
      <w:r w:rsidR="00D0198E">
        <w:rPr>
          <w:rFonts w:ascii="Times New Roman" w:hAnsi="Times New Roman"/>
          <w:i/>
          <w:sz w:val="24"/>
        </w:rPr>
        <w:t>pprobation avec conditions</w:t>
      </w:r>
      <w:r w:rsidR="00D0198E">
        <w:rPr>
          <w:rFonts w:ascii="Times New Roman" w:hAnsi="Times New Roman"/>
          <w:sz w:val="24"/>
        </w:rPr>
        <w:t>: la fiche de jumelage est approuvée, mais des modifications spécifiques doivent être apportées par l’administration contractante a</w:t>
      </w:r>
      <w:r>
        <w:rPr>
          <w:rFonts w:ascii="Times New Roman" w:hAnsi="Times New Roman"/>
          <w:sz w:val="24"/>
        </w:rPr>
        <w:t>vant</w:t>
      </w:r>
      <w:r w:rsidR="00D0198E">
        <w:rPr>
          <w:rFonts w:ascii="Times New Roman" w:hAnsi="Times New Roman"/>
          <w:sz w:val="24"/>
        </w:rPr>
        <w:t xml:space="preserve"> la diffusion;  </w:t>
      </w:r>
    </w:p>
    <w:p w14:paraId="733DF6C7" w14:textId="599EC0AD" w:rsidR="00D0198E" w:rsidRPr="005107DF" w:rsidRDefault="001A2518" w:rsidP="00D0198E">
      <w:pPr>
        <w:numPr>
          <w:ilvl w:val="0"/>
          <w:numId w:val="11"/>
        </w:numPr>
        <w:spacing w:after="0" w:line="240" w:lineRule="auto"/>
        <w:ind w:left="709" w:hanging="357"/>
        <w:jc w:val="both"/>
        <w:rPr>
          <w:rFonts w:ascii="Times New Roman" w:eastAsia="Times New Roman" w:hAnsi="Times New Roman" w:cs="Times New Roman"/>
          <w:sz w:val="24"/>
          <w:szCs w:val="24"/>
        </w:rPr>
      </w:pPr>
      <w:r>
        <w:rPr>
          <w:rFonts w:ascii="Times New Roman" w:hAnsi="Times New Roman"/>
          <w:i/>
          <w:sz w:val="24"/>
        </w:rPr>
        <w:t>R</w:t>
      </w:r>
      <w:r w:rsidR="00D0198E">
        <w:rPr>
          <w:rFonts w:ascii="Times New Roman" w:hAnsi="Times New Roman"/>
          <w:i/>
          <w:sz w:val="24"/>
        </w:rPr>
        <w:t>ejet</w:t>
      </w:r>
      <w:r w:rsidR="00D0198E">
        <w:rPr>
          <w:rFonts w:ascii="Times New Roman" w:hAnsi="Times New Roman"/>
          <w:sz w:val="24"/>
        </w:rPr>
        <w:t>: la fiche de jumelage est rejetée et toutes les parties ayant participé à sa préparation sont invitées à soumettre à nouveau un projet modifié au groupe interservices de jumelage.</w:t>
      </w:r>
    </w:p>
    <w:p w14:paraId="2B312C3A" w14:textId="77777777" w:rsidR="00D0198E" w:rsidRPr="005107DF" w:rsidRDefault="00D0198E" w:rsidP="001628B5">
      <w:pPr>
        <w:spacing w:after="0" w:line="240" w:lineRule="auto"/>
        <w:ind w:left="709"/>
        <w:jc w:val="both"/>
        <w:rPr>
          <w:rFonts w:ascii="Times New Roman" w:eastAsia="Times New Roman" w:hAnsi="Times New Roman" w:cs="Times New Roman"/>
          <w:sz w:val="24"/>
          <w:szCs w:val="24"/>
        </w:rPr>
      </w:pPr>
    </w:p>
    <w:p w14:paraId="187A7155"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L’équipe de coordination du jumelage transfère officiellement l’avis du groupe interservices à l’administration contractante (avec la délégation de l’UE en copie lorsque celle-ci n’est pas l’administration contractante) et aux entités bénéficiaires (point de contact national, coordinateur IAP national, UGP etc.) par courrier électronique, conformément au point 4.3.2. </w:t>
      </w:r>
    </w:p>
    <w:p w14:paraId="2C5A8F90" w14:textId="77777777" w:rsidR="00D0198E" w:rsidRPr="005107DF" w:rsidRDefault="00D0198E" w:rsidP="007338F0">
      <w:pPr>
        <w:pStyle w:val="Heading3"/>
      </w:pPr>
      <w:bookmarkStart w:id="63" w:name="_Toc462416423"/>
      <w:bookmarkStart w:id="64" w:name="_Toc464459842"/>
      <w:bookmarkStart w:id="65" w:name="_Toc476063225"/>
      <w:bookmarkStart w:id="66" w:name="_Toc476067707"/>
      <w:bookmarkStart w:id="67" w:name="_Toc517434354"/>
      <w:bookmarkStart w:id="68" w:name="_Toc2860917"/>
      <w:r>
        <w:t xml:space="preserve">2.1.3 Diffusion de la </w:t>
      </w:r>
      <w:bookmarkEnd w:id="63"/>
      <w:bookmarkEnd w:id="64"/>
      <w:bookmarkEnd w:id="65"/>
      <w:bookmarkEnd w:id="66"/>
      <w:r>
        <w:t>fiche de jumelage/de l’appel à propositions</w:t>
      </w:r>
      <w:bookmarkEnd w:id="67"/>
      <w:bookmarkEnd w:id="68"/>
    </w:p>
    <w:p w14:paraId="29425E4E" w14:textId="74B19B08"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À la suite de l’approbation sans réserves de la fiche de jumelage ou de sa révision, </w:t>
      </w:r>
      <w:r>
        <w:rPr>
          <w:rFonts w:ascii="Times New Roman" w:hAnsi="Times New Roman"/>
          <w:color w:val="000000"/>
          <w:sz w:val="24"/>
        </w:rPr>
        <w:t>la délégation de l’UE compétente publie la fiche de jumelage sur le site internet de la Commission</w:t>
      </w:r>
      <w:r>
        <w:rPr>
          <w:rFonts w:ascii="Times New Roman" w:hAnsi="Times New Roman"/>
          <w:sz w:val="24"/>
        </w:rPr>
        <w:t>.</w:t>
      </w:r>
      <w:r>
        <w:rPr>
          <w:rFonts w:ascii="Times New Roman" w:hAnsi="Times New Roman"/>
          <w:color w:val="000000"/>
          <w:sz w:val="24"/>
        </w:rPr>
        <w:t xml:space="preserve"> </w:t>
      </w:r>
      <w:r>
        <w:rPr>
          <w:rFonts w:ascii="Times New Roman" w:hAnsi="Times New Roman"/>
          <w:sz w:val="24"/>
        </w:rPr>
        <w:t xml:space="preserve">L’administration contractante (ou le PCN/l’UCFC/l’UGP bénéficiaire au nom de l’administration contractante) </w:t>
      </w:r>
      <w:r>
        <w:rPr>
          <w:rFonts w:ascii="Times New Roman" w:hAnsi="Times New Roman"/>
          <w:color w:val="000000"/>
          <w:sz w:val="24"/>
        </w:rPr>
        <w:t xml:space="preserve">envoie la fiche de jumelage, qui constitue le lancement de l’appel à propositions, à tous les points de contact nationaux (PCN) des États membres par courrier électronique [avec en copie l’équipe de coordination du jumelage, ainsi que la délégation de l’UE (lorsque cette dernière n’est pas l’administration contractante)], en précisant le délai de soumission des propositions (voir le point 2.2) ainsi que la date </w:t>
      </w:r>
      <w:r>
        <w:rPr>
          <w:rFonts w:ascii="Times New Roman" w:hAnsi="Times New Roman"/>
          <w:b/>
          <w:color w:val="000000"/>
          <w:sz w:val="24"/>
        </w:rPr>
        <w:t>indicative</w:t>
      </w:r>
      <w:r>
        <w:rPr>
          <w:rFonts w:ascii="Times New Roman" w:hAnsi="Times New Roman"/>
          <w:color w:val="000000"/>
          <w:sz w:val="24"/>
        </w:rPr>
        <w:t xml:space="preserve"> de la réunion de sélection (voir le point 2.4.2.2). </w:t>
      </w:r>
    </w:p>
    <w:p w14:paraId="7228ABC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PCN des États membres transmettent la fiche de jumelage</w:t>
      </w:r>
      <w:r>
        <w:rPr>
          <w:rFonts w:ascii="Times New Roman" w:hAnsi="Times New Roman"/>
          <w:i/>
          <w:color w:val="000000"/>
          <w:sz w:val="24"/>
        </w:rPr>
        <w:t xml:space="preserve"> </w:t>
      </w:r>
      <w:r>
        <w:rPr>
          <w:rFonts w:ascii="Times New Roman" w:hAnsi="Times New Roman"/>
          <w:color w:val="000000"/>
          <w:sz w:val="24"/>
        </w:rPr>
        <w:t>au ministère compétent ou à d’autres institutions pour examen et, éventuellement, préparation d’une proposition. Lors de la préparation d’une proposition, le PCN de l’État membre veille à ce qu’elle soit conforme aux exigences énoncées dans la fiche de jumelage et la soumet dans les délais prévus à l’entité ayant assuré la diffusion de la fiche.</w:t>
      </w:r>
    </w:p>
    <w:p w14:paraId="1D51E7A7" w14:textId="77777777" w:rsidR="00D0198E" w:rsidRPr="005107DF" w:rsidRDefault="00D0198E" w:rsidP="007338F0">
      <w:pPr>
        <w:pStyle w:val="Heading3"/>
      </w:pPr>
      <w:bookmarkStart w:id="69" w:name="_Toc462416424"/>
      <w:bookmarkStart w:id="70" w:name="_Toc464459843"/>
      <w:bookmarkStart w:id="71" w:name="_Toc476063226"/>
      <w:bookmarkStart w:id="72" w:name="_Toc476067708"/>
      <w:bookmarkStart w:id="73" w:name="_Toc517434355"/>
      <w:bookmarkStart w:id="74" w:name="_Toc2860918"/>
      <w:r>
        <w:t>2.1.4 Nouvelle diffusion</w:t>
      </w:r>
      <w:bookmarkEnd w:id="69"/>
      <w:bookmarkEnd w:id="70"/>
      <w:bookmarkEnd w:id="71"/>
      <w:bookmarkEnd w:id="72"/>
      <w:r>
        <w:t xml:space="preserve"> de la fiche de jumelage</w:t>
      </w:r>
      <w:bookmarkEnd w:id="73"/>
      <w:bookmarkEnd w:id="74"/>
    </w:p>
    <w:p w14:paraId="6A30B1BB" w14:textId="6E5FA155"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Si, à la suite de la diffusion d’une fiche de jumelage, aucune proposition n’est soumise ou si les propositions soumises ne sont pas de qualité suffisante, une nouvelle diffusion peut être envisagée. L’administration contractante, en collaboration avec l’administration bénéficiaire et la délégation de l’UE (lorsque celle-ci n’est pas l’administration contractante), peut modifier la fiche de jumelage </w:t>
      </w:r>
      <w:r>
        <w:rPr>
          <w:rFonts w:ascii="Times New Roman" w:hAnsi="Times New Roman"/>
          <w:color w:val="000000"/>
          <w:sz w:val="24"/>
          <w:u w:val="single"/>
        </w:rPr>
        <w:t>sans en modifier sensiblement la substance</w:t>
      </w:r>
      <w:r>
        <w:rPr>
          <w:rFonts w:ascii="Times New Roman" w:hAnsi="Times New Roman"/>
          <w:color w:val="000000"/>
          <w:sz w:val="24"/>
        </w:rPr>
        <w:t xml:space="preserve"> et l’envoyer à nouveau à tous les PCN des États membres pour recevoir de nouvelles propositions. </w:t>
      </w:r>
    </w:p>
    <w:p w14:paraId="691F3862" w14:textId="26C630D3"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En cas de rediffusion, l’administration contractante peut limiter la période prévue pour la soumission des propositions. Si la deuxième rediffusion ne produit elle non plus aucun résultat, l’administration contractante doit envisager d’avoir recours à d’autres types d’aide.</w:t>
      </w:r>
    </w:p>
    <w:p w14:paraId="6DC3058E" w14:textId="77777777" w:rsidR="00D0198E" w:rsidRPr="005107DF" w:rsidRDefault="00D0198E" w:rsidP="007338F0">
      <w:pPr>
        <w:pStyle w:val="Heading2"/>
      </w:pPr>
      <w:bookmarkStart w:id="75" w:name="_Toc462416425"/>
      <w:bookmarkStart w:id="76" w:name="_Toc464459844"/>
      <w:bookmarkStart w:id="77" w:name="_Toc476063227"/>
      <w:bookmarkStart w:id="78" w:name="_Toc476067709"/>
      <w:bookmarkStart w:id="79" w:name="_Toc517434356"/>
      <w:bookmarkStart w:id="80" w:name="_Toc2860919"/>
      <w:r>
        <w:lastRenderedPageBreak/>
        <w:t xml:space="preserve">2.2 Soumission des </w:t>
      </w:r>
      <w:bookmarkEnd w:id="75"/>
      <w:bookmarkEnd w:id="76"/>
      <w:bookmarkEnd w:id="77"/>
      <w:bookmarkEnd w:id="78"/>
      <w:r>
        <w:t>propositions</w:t>
      </w:r>
      <w:bookmarkEnd w:id="79"/>
      <w:bookmarkEnd w:id="80"/>
    </w:p>
    <w:p w14:paraId="6DB8FF6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principe, les États membres disposent de huit semaines pour préparer leurs propositions, la date limite précise étant clairement communiquée lors de la diffusion de la fiche de jumelage. L’administration contractante ne peut envisager de fixer un délai plus long que dans des cas exceptionnels, comme par exemple durant une période de vacances. </w:t>
      </w:r>
      <w:r>
        <w:rPr>
          <w:rFonts w:ascii="Times New Roman" w:hAnsi="Times New Roman"/>
          <w:b/>
          <w:color w:val="000000"/>
          <w:sz w:val="24"/>
        </w:rPr>
        <w:t>Sauf indication contraire, la date et l’heure limites sont celles du lieu où est située l’administration contractante.</w:t>
      </w:r>
      <w:r>
        <w:rPr>
          <w:rFonts w:ascii="Times New Roman" w:hAnsi="Times New Roman"/>
          <w:color w:val="000000"/>
          <w:sz w:val="24"/>
        </w:rPr>
        <w:t xml:space="preserve"> Les propositions reçues après la date limite ne seront pas prises en considération.</w:t>
      </w:r>
    </w:p>
    <w:p w14:paraId="6D2A5AE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États membres basent leurs propositions exclusivement sur ce qu’ils considèrent être un avantage comparatif de leur système administratif ainsi que sur la qualité, l’expérience et la disponibilité de l’expertise publique requise pour la mise en œuvre du projet. Le PCN de l’État membre soumet des propositions à l’administration contractante, avec la délégation de l’UE (lorsque celle-ci n’est pas l’administration contractante) et l’équipe de coordination du jumelage en copie.</w:t>
      </w:r>
    </w:p>
    <w:p w14:paraId="0CEDEC9E" w14:textId="6C95814E"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propositions soumises par un État membre sont concises et ciblées sur la stratégie et la méthodologie, ainsi que sur un calendrier indicatif étayant celles-ci, le modèle administratif suggéré et la qualité de l’expertise devant être mobilisée. Elles montrent clairement la structure et les capacités administratives des entités de l’État membre. Les propositions doivent être suffisamment détaillées pour répondre de manière adéquate à la fiche de jumelage</w:t>
      </w:r>
      <w:r>
        <w:rPr>
          <w:rFonts w:ascii="Times New Roman" w:hAnsi="Times New Roman"/>
          <w:i/>
          <w:color w:val="000000"/>
          <w:sz w:val="24"/>
        </w:rPr>
        <w:t xml:space="preserve">, </w:t>
      </w:r>
      <w:r>
        <w:rPr>
          <w:rFonts w:ascii="Times New Roman" w:hAnsi="Times New Roman"/>
          <w:color w:val="000000"/>
          <w:sz w:val="24"/>
        </w:rPr>
        <w:t xml:space="preserve">mais ne doivent pas contenir un projet détaillé. Elles doivent inclure suffisamment de détails au sujet de la stratégie et de la méthodologie et indiquer l’échelonnement des activités ainsi que les principales activités qui auront lieu au cours de la mise en œuvre du projet pour garantir la réalisation d’objectifs généraux et spécifiques et des résultats/produits obligatoires. </w:t>
      </w:r>
    </w:p>
    <w:p w14:paraId="1E9B32C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Il convient d’inclure dans les propositions le CV du chef de projet proposé, du CRJ et des responsables de volets (voir le point 5.2.5). </w:t>
      </w:r>
    </w:p>
    <w:p w14:paraId="42F6E949" w14:textId="77777777" w:rsidR="003C4245"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Pour le CRJ, une déclaration individuelle (voir l’annexe A9) attestant sa disponibilité pendant toute la durée de la mise en œuvre du projet doit être fournie. </w:t>
      </w:r>
    </w:p>
    <w:p w14:paraId="2D6F47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CV des experts de courte durée (qui ne sont pas responsables de volets) ne doivent pas être fournis et ne sont pas pris en considération lors de l’évaluation des propositions.</w:t>
      </w:r>
    </w:p>
    <w:p w14:paraId="210AA95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 État membre ne peut soumettre qu’une seule proposition par fiche de jumelage, soit seul ou en tant que membre d’un consortium (voir le point 2.3).</w:t>
      </w:r>
    </w:p>
    <w:p w14:paraId="310E8110" w14:textId="77777777" w:rsidR="006738CF" w:rsidRPr="005107DF" w:rsidRDefault="006738CF" w:rsidP="006738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simples expressions d’intérêt, les propositions incomplètes ou celles qui ne sont pas conformes aux règles de jumelage ne seront pas examinées.</w:t>
      </w:r>
    </w:p>
    <w:p w14:paraId="147A073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un État membre souhaite rassembler des informations complémentaires, une mission d’information peut être organisée conformément aux lignes directrices de l’annexe C16.</w:t>
      </w:r>
    </w:p>
    <w:p w14:paraId="2873E954" w14:textId="77777777" w:rsidR="00D0198E" w:rsidRPr="005107DF" w:rsidRDefault="00D0198E" w:rsidP="007338F0">
      <w:pPr>
        <w:pStyle w:val="Heading2"/>
      </w:pPr>
      <w:bookmarkStart w:id="81" w:name="_Toc462416426"/>
      <w:bookmarkStart w:id="82" w:name="_Toc464459845"/>
      <w:bookmarkStart w:id="83" w:name="_Toc476063228"/>
      <w:bookmarkStart w:id="84" w:name="_Toc476067710"/>
      <w:bookmarkStart w:id="85" w:name="_Toc517434357"/>
      <w:bookmarkStart w:id="86" w:name="_Toc2860920"/>
      <w:r>
        <w:t xml:space="preserve">2.3 Consortiums </w:t>
      </w:r>
      <w:bookmarkEnd w:id="81"/>
      <w:bookmarkEnd w:id="82"/>
      <w:bookmarkEnd w:id="83"/>
      <w:bookmarkEnd w:id="84"/>
      <w:r>
        <w:t>d’États membres</w:t>
      </w:r>
      <w:bookmarkEnd w:id="85"/>
      <w:bookmarkEnd w:id="86"/>
    </w:p>
    <w:p w14:paraId="01CB0A4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États membres peuvent décider de coopérer dans le cadre d’un projet de jumelage et donc de soumettre une proposition conjointe. Dans ce cas, un accord de consortium détaillant les </w:t>
      </w:r>
      <w:r>
        <w:rPr>
          <w:rFonts w:ascii="Times New Roman" w:hAnsi="Times New Roman"/>
          <w:color w:val="000000"/>
          <w:sz w:val="24"/>
        </w:rPr>
        <w:lastRenderedPageBreak/>
        <w:t>responsabilités et les tâches partagées, ainsi que tous les aspects administratifs nécessaires de la coopération, notamment les modalités détaillées de fonctionnement, doit être conclu. Il doit désigner l’État membre principal et le ou les États membres juniors. L’État membre principal assume la responsabilité générale du projet et, par l’intermédiaire de son chef de projet (voir le point 4.1.3), agit en qualité d’interlocuteur unique de l’administration contractante et de la délégation de l’UE (lorsque celle-ci n’est pas l’administration contractante), ainsi que de l’administration bénéficiaire. L’accord est conclu sous la seule responsabilité de l’État membre concerné.</w:t>
      </w:r>
    </w:p>
    <w:p w14:paraId="6555A8DE" w14:textId="77777777" w:rsidR="00D31276" w:rsidRPr="00485EE3" w:rsidRDefault="00D64415" w:rsidP="0019382C">
      <w:pPr>
        <w:jc w:val="both"/>
        <w:rPr>
          <w:rFonts w:ascii="Times New Roman" w:hAnsi="Times New Roman" w:cs="Times New Roman"/>
          <w:sz w:val="24"/>
          <w:szCs w:val="24"/>
        </w:rPr>
      </w:pPr>
      <w:r>
        <w:rPr>
          <w:rFonts w:ascii="Times New Roman" w:hAnsi="Times New Roman"/>
          <w:color w:val="000000"/>
          <w:sz w:val="24"/>
        </w:rPr>
        <w:t xml:space="preserve">Les États membres juniors doivent en outre signer un </w:t>
      </w:r>
      <w:r>
        <w:rPr>
          <w:rFonts w:ascii="Times New Roman" w:hAnsi="Times New Roman"/>
          <w:b/>
          <w:color w:val="000000"/>
          <w:sz w:val="24"/>
        </w:rPr>
        <w:t>mandat</w:t>
      </w:r>
      <w:r>
        <w:rPr>
          <w:rFonts w:ascii="Times New Roman" w:hAnsi="Times New Roman"/>
          <w:color w:val="000000"/>
          <w:sz w:val="24"/>
        </w:rPr>
        <w:t xml:space="preserve"> autorisant le chef de projet de l’État membre principal à engager l’administration de l’État membre junior et à prendre toute décision de mise en œuvre en son nom. </w:t>
      </w:r>
      <w:r>
        <w:rPr>
          <w:rFonts w:ascii="Times New Roman" w:hAnsi="Times New Roman"/>
          <w:sz w:val="24"/>
        </w:rPr>
        <w:t>Un État membre peut décider de laisser participer d’autres institutions du même État membre en tant que partenaires du contrat; ces institutions peuvent alors signer un accord de consortium, ainsi que la procuration figurant à l’annexe A8. Toutefois, il ne peut y avoir qu’un seul chef de projet par État membre.</w:t>
      </w:r>
    </w:p>
    <w:p w14:paraId="7DB6775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comité de sélection peut également encourager la coopération entre États membres si l’administration bénéficiaire souhaite bénéficier de l’expérience d’un second État membre parmi ceux ayant soumis une proposition conforme sur le plan administratif. Il doit alors vérifier que </w:t>
      </w:r>
      <w:r>
        <w:rPr>
          <w:rFonts w:ascii="Times New Roman" w:hAnsi="Times New Roman"/>
          <w:sz w:val="24"/>
        </w:rPr>
        <w:t>les États membres concernés conviennent de coopérer lors de la mise en œuvre du projet</w:t>
      </w:r>
      <w:r>
        <w:rPr>
          <w:rFonts w:ascii="Times New Roman" w:hAnsi="Times New Roman"/>
          <w:color w:val="000000"/>
          <w:sz w:val="24"/>
        </w:rPr>
        <w:t xml:space="preserve">. Cette possibilité est réservée aux propositions soumises par un seul État membre. </w:t>
      </w:r>
    </w:p>
    <w:p w14:paraId="5C0E50A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États membres juniors doivent s’engager, à un niveau institutionnel, à mettre en œuvre leur partie spécifique du projet et à en assumer la responsabilité, sous réserve d’une coordination générale de l’État membre principal. Afin d’étayer son engagement institutionnel, un État membre junior désigne un chef de projet junior.</w:t>
      </w:r>
    </w:p>
    <w:p w14:paraId="2C39DCAF" w14:textId="23CDD6C9"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implications pratiques de la décision de constituer un consortium sont présentées plus en détail au point 5.4.2. </w:t>
      </w:r>
    </w:p>
    <w:p w14:paraId="42D3E543" w14:textId="77777777" w:rsidR="00D0198E" w:rsidRPr="005107DF" w:rsidRDefault="00D0198E" w:rsidP="007338F0">
      <w:pPr>
        <w:pStyle w:val="Heading2"/>
      </w:pPr>
      <w:bookmarkStart w:id="87" w:name="_Toc517434358"/>
      <w:bookmarkStart w:id="88" w:name="_Toc2860921"/>
      <w:bookmarkStart w:id="89" w:name="_Toc462416427"/>
      <w:bookmarkStart w:id="90" w:name="_Toc464459846"/>
      <w:bookmarkStart w:id="91" w:name="_Toc476063229"/>
      <w:bookmarkStart w:id="92" w:name="_Toc476067711"/>
      <w:r>
        <w:t>2.4 Sélection de l’État membre ou des États membres</w:t>
      </w:r>
      <w:bookmarkEnd w:id="87"/>
      <w:bookmarkEnd w:id="88"/>
      <w:r>
        <w:t xml:space="preserve"> </w:t>
      </w:r>
      <w:bookmarkEnd w:id="89"/>
      <w:bookmarkEnd w:id="90"/>
      <w:bookmarkEnd w:id="91"/>
      <w:bookmarkEnd w:id="92"/>
    </w:p>
    <w:p w14:paraId="560F2450" w14:textId="77777777" w:rsidR="00D0198E" w:rsidRPr="005107DF" w:rsidRDefault="00D0198E" w:rsidP="007338F0">
      <w:pPr>
        <w:pStyle w:val="Heading3"/>
      </w:pPr>
      <w:bookmarkStart w:id="93" w:name="_Toc462416428"/>
      <w:bookmarkStart w:id="94" w:name="_Toc464459847"/>
      <w:bookmarkStart w:id="95" w:name="_Toc476063230"/>
      <w:bookmarkStart w:id="96" w:name="_Toc476067712"/>
      <w:bookmarkStart w:id="97" w:name="_Toc517434359"/>
      <w:bookmarkStart w:id="98" w:name="_Toc2860922"/>
      <w:r>
        <w:t xml:space="preserve">2.4.1 </w:t>
      </w:r>
      <w:bookmarkEnd w:id="93"/>
      <w:bookmarkEnd w:id="94"/>
      <w:bookmarkEnd w:id="95"/>
      <w:bookmarkEnd w:id="96"/>
      <w:r>
        <w:t>Observations générales</w:t>
      </w:r>
      <w:bookmarkEnd w:id="97"/>
      <w:bookmarkEnd w:id="98"/>
      <w:r>
        <w:t xml:space="preserve"> </w:t>
      </w:r>
    </w:p>
    <w:p w14:paraId="1DF0FD43" w14:textId="2AB5931F" w:rsidR="00D0198E" w:rsidRPr="005107DF" w:rsidRDefault="00D0198E" w:rsidP="00D0198E">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procédure de sélection du ou des États membres les plus appropriés pour un projet de jumelage diffère des procédures de passation de marchés habituelles applicables à l’assistance technique du secteur privé. Une proposition soumise par un État membre pour un projet de jumelage est strictement évaluée sur la base des éléments énoncés au point 2.2.</w:t>
      </w:r>
    </w:p>
    <w:p w14:paraId="4130B1E8"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rPr>
      </w:pPr>
    </w:p>
    <w:p w14:paraId="0425DE7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L’administration contractante veille à ce que les procédures de sélection garantissent l’égalité de traitement, la non-discrimination et la transparence pour tous les États membres participants. Toute tentative de contact de l’administration bénéficiaire au sujet de questions relatives au projet au cours du processus de sélection peut entraîner l’exclusion de l’État membre concerné dudit processus.</w:t>
      </w:r>
    </w:p>
    <w:p w14:paraId="3BD40BCA" w14:textId="04B83D2E"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L’avis de l’administration bénéficiaire, qu’elle émet en tenant compte du principe de propriété, est essentiel dans l’évaluation des propositions et le comité de sélection doit recommander le choix du partenaire par consensus. Conformément au point 1.1, la délégation de l’UE peut interrompre la procédure à tout moment.</w:t>
      </w:r>
    </w:p>
    <w:p w14:paraId="50D523B1" w14:textId="2B0FD14C" w:rsidR="00C6052F" w:rsidRPr="0007576B" w:rsidRDefault="00D0198E">
      <w:pPr>
        <w:spacing w:after="240" w:line="240" w:lineRule="auto"/>
        <w:jc w:val="both"/>
        <w:rPr>
          <w:rFonts w:ascii="Times New Roman" w:eastAsia="Times New Roman" w:hAnsi="Times New Roman" w:cs="Times New Roman"/>
          <w:b/>
          <w:sz w:val="24"/>
          <w:szCs w:val="24"/>
        </w:rPr>
      </w:pPr>
      <w:r w:rsidRPr="0007576B">
        <w:rPr>
          <w:rFonts w:ascii="Times New Roman" w:hAnsi="Times New Roman"/>
          <w:b/>
          <w:sz w:val="24"/>
        </w:rPr>
        <w:lastRenderedPageBreak/>
        <w:t xml:space="preserve">Le comité de sélection: </w:t>
      </w:r>
    </w:p>
    <w:p w14:paraId="1BC718F1" w14:textId="12FFE177" w:rsidR="00C6052F" w:rsidRPr="005107DF" w:rsidRDefault="00C6052F">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En gestion directe, deux membres votants peuvent provenir de la délégation de l’UE et un de l’administration bénéficiaire; le nombre d’évaluateurs doit être impair. Dans le cas où tous les membres votants nommés par l’ordonnateur subdélégué proviennent de l’administration bénéficiaire, le gestionnaire d’activités/du programme compétent, ou un autre membre compétent du personnel opérationnel, doit assister à la réunion en tant qu’observateur. En gestion directe, la réunion de sélection est présidée par un membre expérimenté du personnel de la délégation de l’UE et les fonctions de secrétariat sont assumées par la délégation de l’UE. </w:t>
      </w:r>
    </w:p>
    <w:p w14:paraId="40148EA5" w14:textId="17F7B12F" w:rsidR="007726B4" w:rsidRPr="005107DF" w:rsidRDefault="006D33FA">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En gestion indirecte, tous les membres votants doivent provenir de l’administration bénéficiaire et la réunion doit être présidée par un membre du personnel possédant une expérience de la gestion des procédures de sélection, nommé par l’administration contractante du pays bénéficiaire et qui assumera également les fonctions de secrétariat. En gestion indirecte, la délégation de l’UE est invitée à titre d’observatrice uniquement. </w:t>
      </w:r>
    </w:p>
    <w:p w14:paraId="6FB13983" w14:textId="737046BC"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Si, dans le cadre de ses contrôles ex ante, le comité de sélection lui-même ou la délégation de l’UE juge que toutes les propositions sont inadéquates, la fiche de jumelage peut être rediffusée ou le recours à un autre type d’aide peut être envisagé pour fournir l’assistance nécessaire.</w:t>
      </w:r>
    </w:p>
    <w:p w14:paraId="7CF8542B" w14:textId="77777777" w:rsidR="00D0198E" w:rsidRPr="005107DF" w:rsidRDefault="00D0198E" w:rsidP="007338F0">
      <w:pPr>
        <w:pStyle w:val="Heading3"/>
      </w:pPr>
      <w:bookmarkStart w:id="99" w:name="_Toc462416429"/>
      <w:bookmarkStart w:id="100" w:name="_Toc464459848"/>
      <w:bookmarkStart w:id="101" w:name="_Toc476063231"/>
      <w:bookmarkStart w:id="102" w:name="_Toc476067713"/>
      <w:bookmarkStart w:id="103" w:name="_Toc517434360"/>
      <w:bookmarkStart w:id="104" w:name="_Toc2860923"/>
      <w:r>
        <w:t>2.4.2 Procédures de sélection</w:t>
      </w:r>
      <w:bookmarkEnd w:id="99"/>
      <w:bookmarkEnd w:id="100"/>
      <w:bookmarkEnd w:id="101"/>
      <w:bookmarkEnd w:id="102"/>
      <w:bookmarkEnd w:id="103"/>
      <w:bookmarkEnd w:id="104"/>
    </w:p>
    <w:p w14:paraId="5DC1DFF1" w14:textId="77777777" w:rsidR="00D0198E" w:rsidRPr="005107DF" w:rsidRDefault="00D0198E" w:rsidP="007338F0">
      <w:pPr>
        <w:pStyle w:val="Heading4"/>
      </w:pPr>
      <w:bookmarkStart w:id="105" w:name="_Toc462416430"/>
      <w:bookmarkStart w:id="106" w:name="_Toc464459849"/>
      <w:bookmarkStart w:id="107" w:name="_Toc476063232"/>
      <w:bookmarkStart w:id="108" w:name="_Toc476067714"/>
      <w:r>
        <w:t>2.4.2.1 Réception et contrôle administratif des propositions</w:t>
      </w:r>
      <w:bookmarkEnd w:id="105"/>
      <w:bookmarkEnd w:id="106"/>
      <w:bookmarkEnd w:id="107"/>
      <w:bookmarkEnd w:id="108"/>
    </w:p>
    <w:p w14:paraId="71B91729" w14:textId="77777777" w:rsidR="00F6207D" w:rsidRPr="005107DF" w:rsidRDefault="00D0198E" w:rsidP="00F6207D">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L’administration contractante envoie un accusé de réception de chaque proposition au PCN de l’État membre l’ayant soumise, en ajoutant la délégation de l’UE (si celle-ci n’est pas l’administration contractante), l’ECFC/UGP ainsi que l’équipe de coordination du jumelage en copie. </w:t>
      </w:r>
    </w:p>
    <w:p w14:paraId="64BA6E56" w14:textId="77777777" w:rsidR="00F6207D"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Après expiration du délai fixé, elle fournit à tous les PCN des États membres une liste des propositions soumises. Immédiatement après réception des propositions écrites, les représentants de l’administration bénéficiaire participant à la procédure de sélection sont informés que des copies imprimées sont disponibles pour examen. Les propositions ne peuvent être consultées en dehors des locaux désignés par l’administration contractante. </w:t>
      </w:r>
    </w:p>
    <w:p w14:paraId="5F27CF8D"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L’administration contractante organise ensuite une réunion préparatoire avec l’administration bénéficiaire, la délégation de l’UE (lorsque celle-ci n’est pas l’administration contractante) et le PCN bénéficiaire afin de discuter des détails pratiques des procédures de sélection. Au cours de cette réunion, l’administration contractante rappelle aux évaluateurs l’obligation d’évaluer les propositions écrites (en tenant dûment compte de l’annexe C7) avant que les présentations orales n’aient lieu au cours de la réunion de sélection. </w:t>
      </w:r>
    </w:p>
    <w:p w14:paraId="15524D29" w14:textId="35568D3D"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Chaque proposition soumise dans les délais fait l’objet d’un contrôle administratif préliminaire réalisé par l’administration contractante sur la base de la liste de contrôle conformément aux annexes C6 ou C6bis. Les propositions qui ne satisfont pas à tous les critères du contrôle administratif sont déclarées inéligibles et leur évaluation n’est pas poursuivie. Si certains points des documents soumis ne sont pas clairs, l’administration contractante doit inviter le demandeur à fournir des informations complémentaires par l’intermédiaire du PCN avant de prendre une décision sur le caractère inéligible de la proposition.</w:t>
      </w:r>
    </w:p>
    <w:p w14:paraId="1166D7D1" w14:textId="3A52815E"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lastRenderedPageBreak/>
        <w:t xml:space="preserve">En </w:t>
      </w:r>
      <w:r>
        <w:rPr>
          <w:rFonts w:ascii="Times New Roman" w:hAnsi="Times New Roman"/>
          <w:sz w:val="24"/>
          <w:u w:val="single"/>
        </w:rPr>
        <w:t>gestion indirecte</w:t>
      </w:r>
      <w:r>
        <w:rPr>
          <w:rFonts w:ascii="Times New Roman" w:hAnsi="Times New Roman"/>
          <w:sz w:val="24"/>
        </w:rPr>
        <w:t xml:space="preserve"> avec contrôle ex</w:t>
      </w:r>
      <w:r w:rsidR="00EF4EB2">
        <w:rPr>
          <w:rFonts w:ascii="Times New Roman" w:hAnsi="Times New Roman"/>
          <w:sz w:val="24"/>
        </w:rPr>
        <w:t>-</w:t>
      </w:r>
      <w:r>
        <w:rPr>
          <w:rFonts w:ascii="Times New Roman" w:hAnsi="Times New Roman"/>
          <w:sz w:val="24"/>
        </w:rPr>
        <w:t>ante, l’administration contractante présente ses conclusions sur l’éligibilité des propositions à la délégation de l’UE, qui les approuve si les accords le prévoient.</w:t>
      </w:r>
    </w:p>
    <w:p w14:paraId="31723010"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L’administration contractante invite les administrations des États membres ayant soumis une proposition éligible à participer à la réunion du comité de sélection, en ajoutant le PCN de l’État membre concerné, l’équipe de coordination du jumelage et la délégation de l’UE en copie.</w:t>
      </w:r>
    </w:p>
    <w:p w14:paraId="04AAA611" w14:textId="77777777" w:rsidR="00D0198E" w:rsidRPr="005107DF" w:rsidRDefault="00D0198E" w:rsidP="007338F0">
      <w:pPr>
        <w:pStyle w:val="Heading4"/>
      </w:pPr>
      <w:bookmarkStart w:id="109" w:name="_Toc462416432"/>
      <w:bookmarkStart w:id="110" w:name="_Toc464459851"/>
      <w:bookmarkStart w:id="111" w:name="_Toc476063233"/>
      <w:bookmarkStart w:id="112" w:name="_Toc476067715"/>
      <w:r>
        <w:t>2.4.2.2 Réunion du comité</w:t>
      </w:r>
      <w:bookmarkEnd w:id="109"/>
      <w:bookmarkEnd w:id="110"/>
      <w:bookmarkEnd w:id="111"/>
      <w:bookmarkEnd w:id="112"/>
      <w:r>
        <w:t xml:space="preserve"> de sélection (réunion de sélection)</w:t>
      </w:r>
    </w:p>
    <w:p w14:paraId="21B17BE5"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La réunion du comité de sélection permet à l’administration bénéficiaire d’évaluer en détail la qualité de la proposition soumise par le ou les États membres afin de choisir le partenaire le plus adéquat.</w:t>
      </w:r>
    </w:p>
    <w:p w14:paraId="30EACFFE"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L’administration contractante envoie les invitations formelles et préside la réunion, qui se tient dans les locaux désignés par cette même administration. La réunion doit normalement avoir lieu dans les deux semaines suivant la date limite de soumission des propositions. La date indiquée au moment de la diffusion de la fiche de jumelage (voir le point 2.1.3) </w:t>
      </w:r>
      <w:r>
        <w:rPr>
          <w:rFonts w:ascii="Times New Roman" w:hAnsi="Times New Roman"/>
          <w:b/>
          <w:sz w:val="24"/>
        </w:rPr>
        <w:t>est donnée à titre indicatif</w:t>
      </w:r>
      <w:r>
        <w:rPr>
          <w:rFonts w:ascii="Times New Roman" w:hAnsi="Times New Roman"/>
          <w:sz w:val="24"/>
        </w:rPr>
        <w:t xml:space="preserve"> et la date finale est convenue entre l’administration contractante et l’État membre ayant soumis une proposition, en tenant notamment compte du délai requis pour obtenir un visa (le cas échéant). </w:t>
      </w:r>
    </w:p>
    <w:p w14:paraId="1A98CBC9"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L’administration bénéficiaire est toujours représentée par le chef de projet du bénéficiaire (voir le point 4.2.3), l’homologue du CRJ (voir le point 4.2.4) et par tout fonctionnaire travaillant pour elle, qui est en mesure de contribuer à une évaluation technique complète des propositions (en particulier les homologues des responsables de volets, voir le point 4.2.6). </w:t>
      </w:r>
    </w:p>
    <w:p w14:paraId="72CEA8F2"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L’État membre est représenté par le chef de projet et le CRJ proposés. Ils participeront tous deux activement à la présentation de la proposition. Si celle-ci a été présentée par un consortium, le ou les chefs de projet juniors devront également être présents. Les responsables de volets pouvant fournir des informations plus techniques sur la proposition peuvent également y participer.</w:t>
      </w:r>
    </w:p>
    <w:p w14:paraId="7D343E53" w14:textId="77777777" w:rsidR="00D0198E" w:rsidRPr="005107DF" w:rsidRDefault="00D0198E" w:rsidP="00D0198E">
      <w:pPr>
        <w:spacing w:after="120" w:line="240" w:lineRule="auto"/>
        <w:jc w:val="both"/>
        <w:rPr>
          <w:rFonts w:ascii="Times New Roman" w:eastAsia="Times New Roman" w:hAnsi="Times New Roman" w:cs="Times New Roman"/>
          <w:sz w:val="24"/>
          <w:szCs w:val="20"/>
        </w:rPr>
      </w:pPr>
      <w:r>
        <w:rPr>
          <w:rFonts w:ascii="Times New Roman" w:hAnsi="Times New Roman"/>
          <w:sz w:val="24"/>
        </w:rPr>
        <w:t>Tous les participants à la réunion de sélection qui représentent le bénéficiaire et la délégation de l’UE doivent (le cas échéant) signer une déclaration d’impartialité et de confidentialité conformément à l’annexe C18.</w:t>
      </w:r>
    </w:p>
    <w:p w14:paraId="58480471" w14:textId="32DEB752" w:rsidR="00D0198E" w:rsidRPr="005107DF" w:rsidRDefault="00D0198E" w:rsidP="00D0198E">
      <w:pPr>
        <w:spacing w:after="240" w:line="240" w:lineRule="auto"/>
        <w:jc w:val="both"/>
        <w:rPr>
          <w:rFonts w:ascii="Times New Roman" w:eastAsia="Times New Roman" w:hAnsi="Times New Roman" w:cs="Times New Roman"/>
          <w:sz w:val="24"/>
          <w:szCs w:val="20"/>
        </w:rPr>
      </w:pPr>
      <w:r>
        <w:rPr>
          <w:rFonts w:ascii="Times New Roman" w:hAnsi="Times New Roman"/>
          <w:sz w:val="24"/>
        </w:rPr>
        <w:t xml:space="preserve">La présence de tous les membres du comité de sélection est requise pendant la réunion. </w:t>
      </w:r>
    </w:p>
    <w:p w14:paraId="5DDF3A7E" w14:textId="77777777" w:rsidR="00D0198E" w:rsidRPr="005107DF" w:rsidRDefault="00D0198E" w:rsidP="00D0198E">
      <w:pPr>
        <w:spacing w:after="240" w:line="240" w:lineRule="auto"/>
        <w:jc w:val="both"/>
        <w:rPr>
          <w:rFonts w:ascii="Times New Roman" w:eastAsia="Times New Roman" w:hAnsi="Times New Roman" w:cs="Times New Roman"/>
          <w:sz w:val="24"/>
          <w:szCs w:val="20"/>
        </w:rPr>
      </w:pPr>
      <w:r>
        <w:rPr>
          <w:rFonts w:ascii="Times New Roman" w:hAnsi="Times New Roman"/>
          <w:sz w:val="24"/>
        </w:rPr>
        <w:t>Durant la réunion du comité de sélection, les représentants de l’État membre ont environ 45 minutes pour présenter leur proposition, et 30 minutes sont ensuite prévues pour des questions et réponses. Les interventions des représentants de l’ambassade de l’État membre doivent être limitées à 5 minutes sur les 45 minutes prévues.</w:t>
      </w:r>
    </w:p>
    <w:p w14:paraId="57D3CCA3" w14:textId="252B9424" w:rsidR="00D0198E" w:rsidRPr="005107DF" w:rsidRDefault="00D0198E" w:rsidP="00D0198E">
      <w:pPr>
        <w:spacing w:after="240" w:line="240" w:lineRule="auto"/>
        <w:jc w:val="both"/>
        <w:rPr>
          <w:rFonts w:ascii="Times New Roman" w:eastAsia="Times New Roman" w:hAnsi="Times New Roman" w:cs="Times New Roman"/>
          <w:sz w:val="24"/>
          <w:szCs w:val="20"/>
        </w:rPr>
      </w:pPr>
      <w:r>
        <w:rPr>
          <w:rFonts w:ascii="Times New Roman" w:hAnsi="Times New Roman"/>
          <w:sz w:val="24"/>
        </w:rPr>
        <w:t>La date limite de notification des résultats aux demandeurs est communiquée lors de la réunion de sélection (voir le point 2.4.3).</w:t>
      </w:r>
    </w:p>
    <w:p w14:paraId="735E7363" w14:textId="77777777" w:rsidR="00D0198E" w:rsidRPr="005107DF" w:rsidRDefault="00D0198E" w:rsidP="007338F0">
      <w:pPr>
        <w:pStyle w:val="Heading4"/>
      </w:pPr>
      <w:bookmarkStart w:id="113" w:name="_Toc462416433"/>
      <w:bookmarkStart w:id="114" w:name="_Toc464459852"/>
      <w:bookmarkStart w:id="115" w:name="_Toc476063234"/>
      <w:bookmarkStart w:id="116" w:name="_Toc476067716"/>
      <w:r>
        <w:t>2.4.2.3 Évaluation finale des propositions et choix du ou des États membres</w:t>
      </w:r>
      <w:bookmarkEnd w:id="113"/>
      <w:bookmarkEnd w:id="114"/>
      <w:bookmarkEnd w:id="115"/>
      <w:bookmarkEnd w:id="116"/>
    </w:p>
    <w:p w14:paraId="097D8592" w14:textId="77777777" w:rsidR="00D0198E" w:rsidRPr="005107DF" w:rsidRDefault="00D0198E" w:rsidP="00D0198E">
      <w:pPr>
        <w:spacing w:after="240" w:line="240" w:lineRule="auto"/>
        <w:jc w:val="both"/>
        <w:rPr>
          <w:rFonts w:ascii="Times New Roman" w:eastAsia="Times New Roman" w:hAnsi="Times New Roman" w:cs="Times New Roman"/>
          <w:sz w:val="24"/>
          <w:szCs w:val="20"/>
        </w:rPr>
      </w:pPr>
      <w:r>
        <w:rPr>
          <w:rFonts w:ascii="Times New Roman" w:hAnsi="Times New Roman"/>
          <w:sz w:val="24"/>
        </w:rPr>
        <w:t xml:space="preserve">À la suite des présentations des demandeurs, le comité de sélection finalise l’évaluation. Une fiche d’information pour la sélection doit être remplie pour chaque proposition. L’administration contractante veille à ce que les points forts et les points faibles soient clairement indiqués dans la grille d’évaluation pour la sélection des propositions de jumelage </w:t>
      </w:r>
      <w:r>
        <w:rPr>
          <w:rFonts w:ascii="Times New Roman" w:hAnsi="Times New Roman"/>
          <w:sz w:val="24"/>
        </w:rPr>
        <w:lastRenderedPageBreak/>
        <w:t xml:space="preserve">(voir l’annexe C7) et étayent le choix final. Il est recommandé de finaliser l’évaluation immédiatement après la dernière présentation. </w:t>
      </w:r>
    </w:p>
    <w:p w14:paraId="2F79D508" w14:textId="77777777" w:rsidR="00D0198E" w:rsidRPr="005107DF" w:rsidRDefault="00D0198E" w:rsidP="007338F0">
      <w:pPr>
        <w:pStyle w:val="Heading3"/>
      </w:pPr>
      <w:bookmarkStart w:id="117" w:name="_Toc462416434"/>
      <w:bookmarkStart w:id="118" w:name="_Toc464459853"/>
      <w:bookmarkStart w:id="119" w:name="_Toc476063235"/>
      <w:bookmarkStart w:id="120" w:name="_Toc476067717"/>
      <w:bookmarkStart w:id="121" w:name="_Toc517434361"/>
      <w:bookmarkStart w:id="122" w:name="_Toc2860924"/>
      <w:r>
        <w:t>2.4.3 Notification des résultats</w:t>
      </w:r>
      <w:bookmarkEnd w:id="117"/>
      <w:bookmarkEnd w:id="118"/>
      <w:bookmarkEnd w:id="119"/>
      <w:bookmarkEnd w:id="120"/>
      <w:r>
        <w:rPr>
          <w:rStyle w:val="FootnoteReference"/>
        </w:rPr>
        <w:footnoteReference w:id="3"/>
      </w:r>
      <w:bookmarkEnd w:id="121"/>
      <w:bookmarkEnd w:id="122"/>
    </w:p>
    <w:p w14:paraId="6FEE6713" w14:textId="77777777" w:rsidR="00D0198E" w:rsidRPr="005107DF" w:rsidRDefault="00D0198E" w:rsidP="00D0198E">
      <w:pPr>
        <w:spacing w:after="240" w:line="240" w:lineRule="auto"/>
        <w:jc w:val="both"/>
        <w:rPr>
          <w:rFonts w:ascii="Times New Roman" w:eastAsia="Times New Roman" w:hAnsi="Times New Roman" w:cs="Times New Roman"/>
          <w:sz w:val="24"/>
          <w:szCs w:val="20"/>
        </w:rPr>
      </w:pPr>
      <w:r>
        <w:rPr>
          <w:rFonts w:ascii="Times New Roman" w:hAnsi="Times New Roman"/>
          <w:sz w:val="24"/>
        </w:rPr>
        <w:t xml:space="preserve">Idéalement dans les deux semaines suivant la clôture de la ou des réunions du comité de sélection, l’administration contractante notifie formellement les résultats de la procédure de sélection à chaque PCN des États membres ayant soumis une proposition. Dans des circonstances exceptionnelles établies par les procédures de contrôle (en particulier dans le cadre de la mise en œuvre indirecte avec contrôles ex ante), la période de notification peut être plus longue, mais elle ne doit en aucun cas dépasser quatre semaines et doit dans tous les cas être définie et communiquée aux demandeurs lors des réunions du comité de sélection. </w:t>
      </w:r>
    </w:p>
    <w:p w14:paraId="27F53592" w14:textId="11F24B55" w:rsidR="00D0198E" w:rsidRPr="005107DF" w:rsidRDefault="00D0198E" w:rsidP="00D0198E">
      <w:pPr>
        <w:spacing w:after="240" w:line="240" w:lineRule="auto"/>
        <w:jc w:val="both"/>
        <w:rPr>
          <w:rFonts w:ascii="Times New Roman" w:eastAsia="Times New Roman" w:hAnsi="Times New Roman" w:cs="Times New Roman"/>
          <w:sz w:val="24"/>
          <w:szCs w:val="20"/>
        </w:rPr>
      </w:pPr>
      <w:r>
        <w:rPr>
          <w:rFonts w:ascii="Times New Roman" w:hAnsi="Times New Roman"/>
          <w:sz w:val="24"/>
        </w:rPr>
        <w:t xml:space="preserve">L’administration contractante informe tous les PCN des États membres de la proposition sélectionnée, en ajoutant en copie la délégation de l’UE (lorsque celle-ci n’est pas l’administration contractante) et l’équipe de coordination du jumelage. En cas de non-respect de la date de notification, les États membres peuvent retirer leur proposition en informant l’administration contractante. La notification indique également la date de début du projet et la date d’arrivée du CRJ. Il </w:t>
      </w:r>
      <w:r>
        <w:rPr>
          <w:rFonts w:ascii="Times New Roman" w:hAnsi="Times New Roman"/>
          <w:color w:val="000000"/>
          <w:sz w:val="24"/>
        </w:rPr>
        <w:t>convient de veiller à ce que le chef de projet du bénéficiaire et l’homologue du CRJ soient entièrement disponibles à la date d’arrivée proposée du CRJ de l’État membre.</w:t>
      </w:r>
      <w:r>
        <w:rPr>
          <w:rFonts w:ascii="Times New Roman" w:hAnsi="Times New Roman"/>
          <w:sz w:val="24"/>
        </w:rPr>
        <w:t xml:space="preserve"> Après réception de la notification, l’État membre confirme son accord dans un délai d’une semaine. </w:t>
      </w:r>
    </w:p>
    <w:p w14:paraId="0514EAA6" w14:textId="77777777" w:rsidR="00D0198E" w:rsidRPr="005107DF" w:rsidRDefault="00D0198E" w:rsidP="00D0198E">
      <w:pPr>
        <w:spacing w:after="240" w:line="240" w:lineRule="auto"/>
        <w:jc w:val="both"/>
        <w:rPr>
          <w:rFonts w:ascii="Times New Roman" w:eastAsia="Times New Roman" w:hAnsi="Times New Roman" w:cs="Times New Roman"/>
          <w:sz w:val="24"/>
          <w:szCs w:val="20"/>
        </w:rPr>
      </w:pPr>
      <w:r>
        <w:rPr>
          <w:rFonts w:ascii="Times New Roman" w:hAnsi="Times New Roman"/>
          <w:sz w:val="24"/>
        </w:rPr>
        <w:t xml:space="preserve">Le début de la mise en œuvre (qui correspond à l’arrivée du CRJ) doit avoir lieu dans les trois mois suivant la notification de la sélection. Si l’État membre sélectionné n’est pas en mesure de respecter ce délai en ce qui concerne l’arrivée du CRJ, l’administration contractante peut décider d’octroyer la subvention à la deuxième meilleure proposition si plusieurs propositions ont été jugées comme acceptables, ou de rediffuser la fiche de jumelage. </w:t>
      </w:r>
    </w:p>
    <w:p w14:paraId="0E7A9629" w14:textId="77777777" w:rsidR="00D0198E" w:rsidRPr="005107DF" w:rsidRDefault="00D0198E" w:rsidP="005A5556">
      <w:pPr>
        <w:jc w:val="both"/>
        <w:rPr>
          <w:rFonts w:ascii="Times New Roman" w:hAnsi="Times New Roman" w:cs="Times New Roman"/>
        </w:rPr>
      </w:pPr>
      <w:r>
        <w:rPr>
          <w:rFonts w:ascii="Times New Roman" w:hAnsi="Times New Roman"/>
          <w:sz w:val="24"/>
        </w:rPr>
        <w:t>L’administration contractante doit fournir aux États membres une copie de la fiche d’information pour la sélection.</w:t>
      </w:r>
      <w:r>
        <w:br w:type="page"/>
      </w:r>
    </w:p>
    <w:p w14:paraId="0FDF4AAF" w14:textId="77777777" w:rsidR="00D0198E" w:rsidRPr="005107DF" w:rsidRDefault="00D0198E" w:rsidP="007338F0">
      <w:pPr>
        <w:pStyle w:val="Heading1"/>
        <w:pBdr>
          <w:bottom w:val="single" w:sz="4" w:space="1" w:color="auto"/>
        </w:pBdr>
      </w:pPr>
      <w:bookmarkStart w:id="123" w:name="_Toc462416435"/>
      <w:bookmarkStart w:id="124" w:name="_Toc464459854"/>
      <w:bookmarkStart w:id="125" w:name="_Toc517434362"/>
      <w:bookmarkStart w:id="126" w:name="_Toc2860925"/>
      <w:r>
        <w:lastRenderedPageBreak/>
        <w:t xml:space="preserve">Section 3: le </w:t>
      </w:r>
      <w:bookmarkEnd w:id="123"/>
      <w:bookmarkEnd w:id="124"/>
      <w:r>
        <w:t>contrat de subvention de jumelage</w:t>
      </w:r>
      <w:bookmarkEnd w:id="125"/>
      <w:bookmarkEnd w:id="126"/>
    </w:p>
    <w:p w14:paraId="0440E05D" w14:textId="77777777" w:rsidR="00D0198E" w:rsidRPr="005107DF" w:rsidRDefault="00D0198E" w:rsidP="007338F0">
      <w:pPr>
        <w:pStyle w:val="Heading2"/>
      </w:pPr>
      <w:bookmarkStart w:id="127" w:name="_Toc462416436"/>
      <w:bookmarkStart w:id="128" w:name="_Toc464459855"/>
      <w:bookmarkStart w:id="129" w:name="_Toc476063236"/>
      <w:bookmarkStart w:id="130" w:name="_Toc476067718"/>
      <w:bookmarkStart w:id="131" w:name="_Toc517434363"/>
      <w:bookmarkStart w:id="132" w:name="_Toc2860926"/>
      <w:r>
        <w:t xml:space="preserve">3.1 Élaboration du </w:t>
      </w:r>
      <w:bookmarkEnd w:id="127"/>
      <w:bookmarkEnd w:id="128"/>
      <w:r>
        <w:t>contrat de subvention de jumelage</w:t>
      </w:r>
      <w:bookmarkEnd w:id="129"/>
      <w:bookmarkEnd w:id="130"/>
      <w:bookmarkEnd w:id="131"/>
      <w:bookmarkEnd w:id="132"/>
    </w:p>
    <w:p w14:paraId="47EBF985" w14:textId="77777777" w:rsidR="00D0198E" w:rsidRPr="005107DF" w:rsidRDefault="00D0198E" w:rsidP="007338F0">
      <w:pPr>
        <w:pStyle w:val="Heading3"/>
      </w:pPr>
      <w:bookmarkStart w:id="133" w:name="_Toc462416437"/>
      <w:bookmarkStart w:id="134" w:name="_Toc464459856"/>
      <w:bookmarkStart w:id="135" w:name="_Toc476063237"/>
      <w:bookmarkStart w:id="136" w:name="_Toc476067719"/>
      <w:bookmarkStart w:id="137" w:name="_Toc517434364"/>
      <w:bookmarkStart w:id="138" w:name="_Toc2860927"/>
      <w:r>
        <w:t>3.1.1 Remarques générales</w:t>
      </w:r>
      <w:bookmarkEnd w:id="133"/>
      <w:bookmarkEnd w:id="134"/>
      <w:bookmarkEnd w:id="135"/>
      <w:bookmarkEnd w:id="136"/>
      <w:r>
        <w:t xml:space="preserve"> et structure du contrat</w:t>
      </w:r>
      <w:bookmarkEnd w:id="137"/>
      <w:bookmarkEnd w:id="138"/>
    </w:p>
    <w:p w14:paraId="42D043D3" w14:textId="69654E60" w:rsidR="00D0198E" w:rsidRPr="0019382C" w:rsidRDefault="00ED1CE6" w:rsidP="0019382C">
      <w:pPr>
        <w:jc w:val="both"/>
        <w:rPr>
          <w:rFonts w:ascii="Times New Roman" w:eastAsia="Calibri" w:hAnsi="Times New Roman" w:cs="Times New Roman"/>
          <w:sz w:val="24"/>
          <w:szCs w:val="24"/>
        </w:rPr>
      </w:pPr>
      <w:r>
        <w:rPr>
          <w:rFonts w:ascii="Times New Roman" w:hAnsi="Times New Roman"/>
          <w:sz w:val="24"/>
        </w:rPr>
        <w:t xml:space="preserve">Le contrat de subvention de jumelage est constitué des </w:t>
      </w:r>
      <w:r>
        <w:rPr>
          <w:rFonts w:ascii="Times New Roman" w:hAnsi="Times New Roman"/>
          <w:i/>
          <w:sz w:val="24"/>
        </w:rPr>
        <w:t>conditions particulières</w:t>
      </w:r>
      <w:r>
        <w:rPr>
          <w:rFonts w:ascii="Times New Roman" w:hAnsi="Times New Roman"/>
          <w:sz w:val="24"/>
        </w:rPr>
        <w:t xml:space="preserve"> et des </w:t>
      </w:r>
      <w:r>
        <w:rPr>
          <w:rFonts w:ascii="Times New Roman" w:hAnsi="Times New Roman"/>
          <w:i/>
          <w:sz w:val="24"/>
        </w:rPr>
        <w:t>annexes</w:t>
      </w:r>
      <w:r>
        <w:rPr>
          <w:rFonts w:ascii="Times New Roman" w:hAnsi="Times New Roman"/>
          <w:sz w:val="24"/>
        </w:rPr>
        <w:t>. Le contrat peut être rédigé dans l’une des langues utilisées dans le contexte de l’IAP et de l’IEV. Il est rappelé que les contrats de jumelage reposent sur le modèle de subvention et que le montant proposé ne peut être augmenté ultérieurement après la soumission de la proposition.</w:t>
      </w:r>
    </w:p>
    <w:p w14:paraId="4AC6CDB1"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Afin d’assurer un déploiement rapide des activités de jumelage, le contrat doit être rédigé rapidement. Il doit être signé par l’ensemble des parties au plus tard dans les trois mois à compter de la date de notification des résultats de l’évaluation (</w:t>
      </w:r>
      <w:r>
        <w:rPr>
          <w:rFonts w:ascii="Times New Roman" w:hAnsi="Times New Roman"/>
          <w:b/>
          <w:sz w:val="24"/>
        </w:rPr>
        <w:t>notification de l’attribution</w:t>
      </w:r>
      <w:r>
        <w:rPr>
          <w:rFonts w:ascii="Times New Roman" w:hAnsi="Times New Roman"/>
          <w:sz w:val="24"/>
        </w:rPr>
        <w:t>).</w:t>
      </w:r>
    </w:p>
    <w:p w14:paraId="47CDE98D" w14:textId="69C4D749"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structure d’un contrat de subvention de jumelage standard inclut: </w:t>
      </w:r>
    </w:p>
    <w:p w14:paraId="41858F6E" w14:textId="3F83FF6F" w:rsidR="001E6041" w:rsidRPr="005107DF" w:rsidRDefault="001E6041" w:rsidP="00EF4EB2">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conditions particulières identifiant les parties contractantes et régissant le contrat; </w:t>
      </w:r>
    </w:p>
    <w:p w14:paraId="3BDC3432" w14:textId="6814800F" w:rsidR="00D0198E" w:rsidRPr="0019382C" w:rsidRDefault="00447A91" w:rsidP="005A5556">
      <w:pPr>
        <w:pStyle w:val="ListParagraph"/>
        <w:numPr>
          <w:ilvl w:val="0"/>
          <w:numId w:val="3"/>
        </w:numPr>
        <w:tabs>
          <w:tab w:val="clear" w:pos="360"/>
          <w:tab w:val="num" w:pos="720"/>
        </w:tabs>
        <w:ind w:left="720"/>
        <w:jc w:val="both"/>
        <w:rPr>
          <w:rFonts w:ascii="Times New Roman" w:hAnsi="Times New Roman"/>
          <w:sz w:val="24"/>
          <w:szCs w:val="24"/>
        </w:rPr>
      </w:pPr>
      <w:r>
        <w:rPr>
          <w:rFonts w:ascii="Times New Roman" w:hAnsi="Times New Roman"/>
          <w:color w:val="000000"/>
          <w:sz w:val="24"/>
        </w:rPr>
        <w:t xml:space="preserve">la description de l’action </w:t>
      </w:r>
      <w:r>
        <w:rPr>
          <w:rFonts w:ascii="Times New Roman" w:hAnsi="Times New Roman"/>
          <w:sz w:val="24"/>
        </w:rPr>
        <w:t>(fiche de projet, proposition de l’État membre et, ultérieurement, pour le jumelage standard, les plans de travail évolutifs, et les CV des experts de courte durée);</w:t>
      </w:r>
    </w:p>
    <w:p w14:paraId="09CB35B6" w14:textId="77777777" w:rsidR="00AE3151" w:rsidRPr="005107DF" w:rsidRDefault="00447A91" w:rsidP="00EF4EB2">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conditions générales applicables aux contrats de subvention conclus dans le cadre des actions extérieures de l’Union européenne; </w:t>
      </w:r>
    </w:p>
    <w:p w14:paraId="53D84EE6" w14:textId="77777777" w:rsidR="00ED1CE6" w:rsidRPr="005107DF" w:rsidRDefault="00ED1CE6" w:rsidP="005A5556">
      <w:pPr>
        <w:pStyle w:val="ListParagraph"/>
        <w:numPr>
          <w:ilvl w:val="0"/>
          <w:numId w:val="3"/>
        </w:numPr>
        <w:tabs>
          <w:tab w:val="clear" w:pos="360"/>
        </w:tabs>
        <w:ind w:left="720"/>
        <w:jc w:val="both"/>
        <w:rPr>
          <w:rFonts w:ascii="Times New Roman" w:hAnsi="Times New Roman"/>
          <w:color w:val="000000"/>
          <w:sz w:val="24"/>
          <w:szCs w:val="24"/>
        </w:rPr>
      </w:pPr>
      <w:r>
        <w:rPr>
          <w:rFonts w:ascii="Times New Roman" w:hAnsi="Times New Roman"/>
          <w:color w:val="000000"/>
          <w:sz w:val="24"/>
        </w:rPr>
        <w:t>le budget de l’action (et, ultérieurement, pour le jumelage standard, les budgets détaillés correspondant aux plans de travail évolutifs)</w:t>
      </w:r>
    </w:p>
    <w:p w14:paraId="39CEDE97" w14:textId="77777777" w:rsidR="00D0198E" w:rsidRPr="005107DF" w:rsidRDefault="00447A91" w:rsidP="00EF4EB2">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règles de marché public régissant la passation éventuelle de marchés dans le cadre du contrat;  </w:t>
      </w:r>
    </w:p>
    <w:p w14:paraId="503E0785" w14:textId="3B504F41" w:rsidR="00F42A05" w:rsidRPr="005107DF" w:rsidRDefault="001E6041" w:rsidP="005A5556">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le modèle de formulaire de demande de paiement, le signalétique financier identifiant le bénéficiaire du paiement et le formulaire «entité légale».</w:t>
      </w:r>
    </w:p>
    <w:p w14:paraId="76B349C9" w14:textId="77777777" w:rsidR="00F42A05" w:rsidRPr="005107DF" w:rsidRDefault="00591B94" w:rsidP="0019382C">
      <w:pPr>
        <w:spacing w:after="240" w:line="240" w:lineRule="auto"/>
        <w:ind w:left="360" w:hanging="218"/>
        <w:jc w:val="both"/>
        <w:rPr>
          <w:rFonts w:ascii="Times New Roman" w:hAnsi="Times New Roman" w:cs="Times New Roman"/>
          <w:sz w:val="24"/>
          <w:szCs w:val="24"/>
        </w:rPr>
      </w:pPr>
      <w:r>
        <w:rPr>
          <w:rFonts w:ascii="Times New Roman" w:hAnsi="Times New Roman"/>
          <w:color w:val="000000"/>
          <w:sz w:val="24"/>
        </w:rPr>
        <w:t>Pour le jumelage, le formulaire «entité légale» (FEL) et le signalétique financier</w:t>
      </w:r>
      <w:r>
        <w:rPr>
          <w:rStyle w:val="FootnoteReference"/>
          <w:rFonts w:ascii="Times New Roman" w:hAnsi="Times New Roman"/>
          <w:color w:val="000000"/>
          <w:sz w:val="24"/>
        </w:rPr>
        <w:footnoteReference w:id="4"/>
      </w:r>
      <w:r>
        <w:rPr>
          <w:rFonts w:ascii="Times New Roman" w:hAnsi="Times New Roman"/>
          <w:color w:val="000000"/>
          <w:sz w:val="24"/>
        </w:rPr>
        <w:t xml:space="preserve"> peuvent être signés soit par la même entité, soit par des entités différentes. Les entités en question peuvent être l’institution de l’État membre ou l’organisme mandaté désigné pour assurer la gestion financière, y compris les paiements (conformément aux conditions particulières); </w:t>
      </w:r>
    </w:p>
    <w:p w14:paraId="677BAB05" w14:textId="77777777" w:rsidR="00D0198E" w:rsidRPr="005107DF" w:rsidRDefault="001E6041" w:rsidP="0019382C">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termes de référence standard pour les rapports de vérification des dépenses; </w:t>
      </w:r>
    </w:p>
    <w:p w14:paraId="0E5CD1E9" w14:textId="77777777" w:rsidR="00D0198E" w:rsidRPr="005107DF" w:rsidRDefault="001E6041"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l’annexe financière régissant les aspects financiers du contrat;  </w:t>
      </w:r>
    </w:p>
    <w:p w14:paraId="19ED8B1F" w14:textId="3B049FBD" w:rsidR="004D2C7C" w:rsidRPr="005107DF" w:rsidRDefault="00ED1CE6" w:rsidP="0019382C">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 xml:space="preserve">un mandat donné par l’État membre junior afin de permettre au CP de l’État membre principal d’engager l’administration de l’État membre junior en cas de consortium formé par les États membres. </w:t>
      </w:r>
    </w:p>
    <w:p w14:paraId="0B0E2B36" w14:textId="684266B9" w:rsidR="00D0198E" w:rsidRPr="005107DF" w:rsidRDefault="00ED1CE6" w:rsidP="007338F0">
      <w:pPr>
        <w:pStyle w:val="Heading3"/>
      </w:pPr>
      <w:bookmarkStart w:id="139" w:name="_Toc2860928"/>
      <w:r>
        <w:rPr>
          <w:color w:val="000000"/>
        </w:rPr>
        <w:t>Les CV</w:t>
      </w:r>
      <w:r>
        <w:t xml:space="preserve"> des chefs de projet, du CRJ et des responsables de volets de l’État membre </w:t>
      </w:r>
      <w:r>
        <w:rPr>
          <w:color w:val="000000"/>
        </w:rPr>
        <w:t>et la déclaration de disponibilité du CRJ. Les CV des homologues des chefs de projet et du CRJ et des responsables de volets doivent également être joints.  Voir également, cependant, la section 8.</w:t>
      </w:r>
      <w:bookmarkStart w:id="140" w:name="_Toc462416438"/>
      <w:bookmarkStart w:id="141" w:name="_Toc464459857"/>
      <w:bookmarkStart w:id="142" w:name="_Toc476063238"/>
      <w:bookmarkStart w:id="143" w:name="_Toc476067720"/>
      <w:bookmarkStart w:id="144" w:name="_Toc517434365"/>
      <w:r>
        <w:t>3.1.2 Préparation du dossier relatif au contrat.</w:t>
      </w:r>
      <w:bookmarkEnd w:id="140"/>
      <w:bookmarkEnd w:id="141"/>
      <w:bookmarkEnd w:id="142"/>
      <w:bookmarkEnd w:id="143"/>
      <w:bookmarkEnd w:id="144"/>
      <w:bookmarkEnd w:id="139"/>
    </w:p>
    <w:p w14:paraId="399C5C0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L’administration contractante débute la préparation du dossier relatif au contrat dès </w:t>
      </w:r>
      <w:r>
        <w:rPr>
          <w:rFonts w:ascii="Times New Roman" w:hAnsi="Times New Roman"/>
          <w:sz w:val="24"/>
        </w:rPr>
        <w:t>notification de l’attribution</w:t>
      </w:r>
      <w:r>
        <w:rPr>
          <w:rFonts w:ascii="Times New Roman" w:hAnsi="Times New Roman"/>
          <w:color w:val="000000"/>
          <w:sz w:val="24"/>
        </w:rPr>
        <w:t>.</w:t>
      </w:r>
    </w:p>
    <w:p w14:paraId="3E8284B4" w14:textId="77777777" w:rsidR="00ED1CE6" w:rsidRPr="005107DF" w:rsidRDefault="00ED1CE6" w:rsidP="00ED1CE6">
      <w:pPr>
        <w:spacing w:after="240" w:line="240" w:lineRule="auto"/>
        <w:jc w:val="both"/>
        <w:rPr>
          <w:rFonts w:ascii="Times New Roman" w:eastAsia="Times New Roman" w:hAnsi="Times New Roman" w:cs="Times New Roman"/>
          <w:b/>
          <w:color w:val="000000"/>
          <w:sz w:val="24"/>
          <w:szCs w:val="24"/>
        </w:rPr>
      </w:pPr>
      <w:r>
        <w:rPr>
          <w:rFonts w:ascii="Times New Roman" w:hAnsi="Times New Roman"/>
          <w:color w:val="000000"/>
          <w:sz w:val="24"/>
        </w:rPr>
        <w:t xml:space="preserve">Tous les coûts unitaires et taux forfaitaires prévisibles doivent être convenus au moment de la conclusion du contrat. </w:t>
      </w:r>
    </w:p>
    <w:p w14:paraId="48986AEC" w14:textId="4AA92034" w:rsidR="00D0198E" w:rsidRPr="005107DF" w:rsidRDefault="00D0198E" w:rsidP="0019382C">
      <w:pPr>
        <w:rPr>
          <w:rFonts w:ascii="Times New Roman" w:eastAsia="Times New Roman" w:hAnsi="Times New Roman" w:cs="Times New Roman"/>
          <w:color w:val="000000"/>
          <w:sz w:val="24"/>
          <w:szCs w:val="24"/>
        </w:rPr>
      </w:pPr>
      <w:r>
        <w:rPr>
          <w:rFonts w:ascii="Times New Roman" w:hAnsi="Times New Roman"/>
          <w:color w:val="000000"/>
          <w:sz w:val="24"/>
        </w:rPr>
        <w:t>Il convient de veiller particulièrement à ce qui suit:</w:t>
      </w:r>
    </w:p>
    <w:p w14:paraId="1A4AAAD1" w14:textId="4C2FD288" w:rsidR="00ED1CE6" w:rsidRPr="005107DF" w:rsidRDefault="00D0198E" w:rsidP="00ED1CE6">
      <w:pPr>
        <w:numPr>
          <w:ilvl w:val="0"/>
          <w:numId w:val="263"/>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Annexe A1 - La fiche de jumelage et la proposition de l’État membre de l’UE doivent être incluses.  </w:t>
      </w:r>
    </w:p>
    <w:p w14:paraId="3D87C78D" w14:textId="61AC8B63" w:rsidR="00ED1CE6" w:rsidRPr="005107DF" w:rsidRDefault="00ED1CE6" w:rsidP="00A40217">
      <w:pPr>
        <w:numPr>
          <w:ilvl w:val="1"/>
          <w:numId w:val="263"/>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Pour le jumelage standard, le plan de travail évolutif initial, couvrant au moins les six premiers mois du projet et constituant la base des futurs plans de travail évolutifs, seront joints à l’annexe A1 lorsqu’ils auront été élaborés et approuvés par le premier comité de pilotage, puis, ultérieurement, par l’administration contractante. Les plans de travail évolutifs mis à jour qui suivront (ainsi que les budgets correspondants ne nécessitant aucun avenant) seront ultérieurement - après approbation du comité de pilotage - soumis à l’administration contractante, puis approuvés par cette dernière, qui ajoute la dernière version du plan de travail évolutif à l’annexe A1</w:t>
      </w:r>
      <w:r>
        <w:rPr>
          <w:rStyle w:val="FootnoteReference"/>
          <w:rFonts w:ascii="Times New Roman" w:hAnsi="Times New Roman"/>
          <w:color w:val="000000"/>
          <w:sz w:val="24"/>
        </w:rPr>
        <w:footnoteReference w:id="5"/>
      </w:r>
      <w:r>
        <w:rPr>
          <w:rFonts w:ascii="Times New Roman" w:hAnsi="Times New Roman"/>
          <w:color w:val="000000"/>
          <w:sz w:val="24"/>
        </w:rPr>
        <w:t>.</w:t>
      </w:r>
    </w:p>
    <w:p w14:paraId="1CFF4BD5" w14:textId="77777777" w:rsidR="00ED1CE6" w:rsidRPr="005107DF" w:rsidRDefault="00ED1CE6" w:rsidP="0019382C">
      <w:pPr>
        <w:pStyle w:val="ListParagraph"/>
        <w:numPr>
          <w:ilvl w:val="1"/>
          <w:numId w:val="263"/>
        </w:numPr>
        <w:jc w:val="both"/>
        <w:rPr>
          <w:rFonts w:ascii="Times New Roman" w:hAnsi="Times New Roman"/>
          <w:color w:val="000000"/>
          <w:sz w:val="24"/>
          <w:szCs w:val="24"/>
        </w:rPr>
      </w:pPr>
      <w:r>
        <w:rPr>
          <w:rFonts w:ascii="Times New Roman" w:hAnsi="Times New Roman"/>
          <w:color w:val="000000"/>
          <w:sz w:val="24"/>
        </w:rPr>
        <w:t>Pour le jumelage standard, les CV des experts de courte durée auxquels il sera fait appel pour la mise en œuvre des activités dans le cadre du plan de travail évolutif initial, couvrant au moins les six premiers mois, seront ajoutés une fois que le premier plan de travail évolutif aura été accepté par le comité de pilotage, puis approuvé par l’administration contractante. Les CV reflètent l’utilisation de l’expertise dans le cadre du plan de travail évolutif suivant et sont joints à chaque plan de travail évolutif ultérieur</w:t>
      </w:r>
      <w:r>
        <w:rPr>
          <w:rStyle w:val="FootnoteReference"/>
          <w:rFonts w:ascii="Times New Roman" w:hAnsi="Times New Roman"/>
          <w:color w:val="000000"/>
          <w:sz w:val="24"/>
        </w:rPr>
        <w:footnoteReference w:id="6"/>
      </w:r>
      <w:r>
        <w:rPr>
          <w:rFonts w:ascii="Times New Roman" w:hAnsi="Times New Roman"/>
          <w:color w:val="000000"/>
          <w:sz w:val="24"/>
        </w:rPr>
        <w:t xml:space="preserve">. </w:t>
      </w:r>
    </w:p>
    <w:p w14:paraId="521A3904" w14:textId="57446621" w:rsidR="0034162A" w:rsidRPr="0019382C" w:rsidRDefault="0034162A" w:rsidP="0019382C">
      <w:pPr>
        <w:ind w:left="709"/>
        <w:jc w:val="both"/>
        <w:rPr>
          <w:rFonts w:ascii="Times New Roman" w:hAnsi="Times New Roman"/>
          <w:color w:val="000000"/>
          <w:sz w:val="24"/>
          <w:szCs w:val="24"/>
        </w:rPr>
      </w:pPr>
      <w:r>
        <w:rPr>
          <w:rFonts w:ascii="Times New Roman" w:hAnsi="Times New Roman"/>
          <w:color w:val="000000"/>
          <w:sz w:val="24"/>
        </w:rPr>
        <w:t xml:space="preserve">Le plan de travail évolutif et les CV des experts de courte durée sont réputés approuvés après 30 jours en l’absence de réaction de l’administration contractante. </w:t>
      </w:r>
    </w:p>
    <w:p w14:paraId="32AFD6A3" w14:textId="336C48F4" w:rsidR="00606662" w:rsidRPr="00485EE3" w:rsidRDefault="00D0198E" w:rsidP="00485EE3">
      <w:pPr>
        <w:pStyle w:val="ListParagraph"/>
        <w:numPr>
          <w:ilvl w:val="0"/>
          <w:numId w:val="265"/>
        </w:numPr>
        <w:jc w:val="both"/>
        <w:rPr>
          <w:rFonts w:ascii="Times New Roman" w:eastAsia="Calibri" w:hAnsi="Times New Roman"/>
          <w:sz w:val="24"/>
          <w:szCs w:val="24"/>
        </w:rPr>
      </w:pPr>
      <w:r>
        <w:rPr>
          <w:rFonts w:ascii="Times New Roman" w:hAnsi="Times New Roman"/>
          <w:color w:val="000000"/>
          <w:sz w:val="24"/>
        </w:rPr>
        <w:t>Annexe A3 - Pour le jumelage standard, l’État membre de l’UE ne doit présenter au moment de la préparation d’une réponse à la fiche de jumelage qu’une proposition de budget indicatif (au niveau des rubriques budgétaires). Ce premier budget indicatif est le seul budget qui doit être inclus à l’annexe A3 au moment de la conclusion du contrat. Il est néanmoins rappelé que le montant global</w:t>
      </w:r>
      <w:r>
        <w:t xml:space="preserve"> </w:t>
      </w:r>
      <w:r>
        <w:rPr>
          <w:rFonts w:ascii="Times New Roman" w:hAnsi="Times New Roman"/>
          <w:sz w:val="24"/>
        </w:rPr>
        <w:t>proposé ne peut être augmenté ultérieurement après la soumission de la proposition.</w:t>
      </w:r>
    </w:p>
    <w:p w14:paraId="530A3986" w14:textId="3FC8EF24" w:rsidR="00ED4C46" w:rsidRPr="00485EE3" w:rsidRDefault="00606662" w:rsidP="00485EE3">
      <w:pPr>
        <w:pStyle w:val="ListParagraph"/>
        <w:numPr>
          <w:ilvl w:val="0"/>
          <w:numId w:val="275"/>
        </w:numPr>
        <w:spacing w:after="240" w:line="240" w:lineRule="auto"/>
        <w:jc w:val="both"/>
        <w:rPr>
          <w:rFonts w:ascii="Times New Roman" w:hAnsi="Times New Roman"/>
          <w:color w:val="000000"/>
          <w:sz w:val="24"/>
          <w:szCs w:val="24"/>
        </w:rPr>
      </w:pPr>
      <w:r>
        <w:rPr>
          <w:rFonts w:ascii="Times New Roman" w:hAnsi="Times New Roman"/>
          <w:color w:val="000000"/>
          <w:sz w:val="24"/>
        </w:rPr>
        <w:lastRenderedPageBreak/>
        <w:t xml:space="preserve">Tous les coûts unitaires et taux forfaitaires applicables seront convenus sur la base des annexes A7 et B; ils sont précisés dans les postes de dépenses pertinents et s’appliqueront à l’intégralité de la période de mise en œuvre. </w:t>
      </w:r>
    </w:p>
    <w:p w14:paraId="4A4DB92C" w14:textId="5C37995F" w:rsidR="00ED4C46" w:rsidRPr="005107DF" w:rsidRDefault="00ED4C46" w:rsidP="00ED4C46">
      <w:pPr>
        <w:numPr>
          <w:ilvl w:val="1"/>
          <w:numId w:val="263"/>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budget détaillé correspondant au plan de travail évolutif initial sera ajouté une fois qu’il aura été approuvé par le premier comité de pilotage (CP), puis approuvé par l’administration contractante. Lors de chaque réunion ultérieure du comité de pilotage, un nouveau budget actualisé, correspondant au plan de travail évolutif mis à jour, sera approuvé par le comité de pilotage, puis par l’administration contractante, et ajouté à l’annexe A3 du contrat</w:t>
      </w:r>
      <w:r>
        <w:rPr>
          <w:rStyle w:val="FootnoteReference"/>
          <w:rFonts w:ascii="Times New Roman" w:hAnsi="Times New Roman"/>
          <w:color w:val="000000"/>
          <w:sz w:val="24"/>
        </w:rPr>
        <w:footnoteReference w:id="7"/>
      </w:r>
      <w:r>
        <w:rPr>
          <w:rFonts w:ascii="Times New Roman" w:hAnsi="Times New Roman"/>
          <w:color w:val="000000"/>
          <w:sz w:val="24"/>
        </w:rPr>
        <w:t xml:space="preserve">.  </w:t>
      </w:r>
    </w:p>
    <w:p w14:paraId="22C5B19D" w14:textId="77777777" w:rsidR="00ED4C46" w:rsidRPr="0019382C" w:rsidRDefault="00ED4C46" w:rsidP="0019382C">
      <w:pPr>
        <w:spacing w:after="240" w:line="240" w:lineRule="auto"/>
        <w:ind w:left="1080"/>
        <w:jc w:val="both"/>
        <w:rPr>
          <w:rFonts w:ascii="Times New Roman" w:hAnsi="Times New Roman"/>
          <w:color w:val="000000"/>
          <w:sz w:val="24"/>
          <w:szCs w:val="24"/>
        </w:rPr>
      </w:pPr>
      <w:r>
        <w:rPr>
          <w:rFonts w:ascii="Times New Roman" w:hAnsi="Times New Roman"/>
          <w:color w:val="000000"/>
          <w:sz w:val="24"/>
        </w:rPr>
        <w:t>En l’absence de réaction de l’administration contractante, le budget est réputé approuvé après 30 jours.</w:t>
      </w:r>
    </w:p>
    <w:p w14:paraId="2D36DFCC" w14:textId="6BF7FCB8" w:rsidR="00D0198E" w:rsidRPr="00485EE3" w:rsidRDefault="00D0198E" w:rsidP="00485EE3">
      <w:pPr>
        <w:pStyle w:val="ListParagraph"/>
        <w:numPr>
          <w:ilvl w:val="0"/>
          <w:numId w:val="265"/>
        </w:numPr>
        <w:spacing w:after="240" w:line="240" w:lineRule="auto"/>
        <w:jc w:val="both"/>
        <w:rPr>
          <w:rFonts w:ascii="Times New Roman" w:hAnsi="Times New Roman"/>
          <w:color w:val="000000"/>
          <w:sz w:val="24"/>
          <w:szCs w:val="24"/>
        </w:rPr>
      </w:pPr>
      <w:r>
        <w:rPr>
          <w:rFonts w:ascii="Times New Roman" w:hAnsi="Times New Roman"/>
          <w:color w:val="000000"/>
          <w:sz w:val="24"/>
        </w:rPr>
        <w:t>Annexe A8 - Le mandat signé par le ou les États membres juniors habilitant le chef de projet de l’État membre en vue de la mise en œuvre du projet de jumelage (en cas de consortium d’États membres).</w:t>
      </w:r>
    </w:p>
    <w:p w14:paraId="2D3472EC" w14:textId="0C794E72" w:rsidR="00D0198E" w:rsidRPr="005107DF" w:rsidRDefault="00D0198E" w:rsidP="007338F0">
      <w:pPr>
        <w:numPr>
          <w:ilvl w:val="0"/>
          <w:numId w:val="263"/>
        </w:numPr>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 xml:space="preserve">Annexe A9 - Contient à ce stade: les CV (pour le jumelage standard, uniquement ceux du CRJ de l’État membre, des chefs de projet et responsables de volets et de leurs homologues) </w:t>
      </w:r>
      <w:r>
        <w:rPr>
          <w:rFonts w:ascii="Times New Roman" w:hAnsi="Times New Roman"/>
          <w:color w:val="000000"/>
          <w:sz w:val="24"/>
          <w:u w:val="single"/>
        </w:rPr>
        <w:t>et</w:t>
      </w:r>
      <w:r>
        <w:rPr>
          <w:rFonts w:ascii="Times New Roman" w:hAnsi="Times New Roman"/>
          <w:color w:val="000000"/>
          <w:sz w:val="24"/>
        </w:rPr>
        <w:t xml:space="preserve"> la déclaration de disponibilité du CRJ (voir le point 2.2).  Les CV doivent contenir les mêmes informations</w:t>
      </w:r>
      <w:r>
        <w:rPr>
          <w:rFonts w:ascii="Times New Roman" w:hAnsi="Times New Roman"/>
          <w:sz w:val="24"/>
        </w:rPr>
        <w:t xml:space="preserve"> que le modèle «Europass»</w:t>
      </w:r>
      <w:r>
        <w:rPr>
          <w:rFonts w:ascii="Times New Roman" w:hAnsi="Times New Roman"/>
          <w:sz w:val="24"/>
          <w:vertAlign w:val="superscript"/>
        </w:rPr>
        <w:footnoteReference w:id="8"/>
      </w:r>
      <w:r>
        <w:rPr>
          <w:rFonts w:ascii="Times New Roman" w:hAnsi="Times New Roman"/>
          <w:sz w:val="24"/>
        </w:rPr>
        <w:t>, être rédigés dans la langue du contrat et de préférence ne pas dépasser trois pages. Pour le jumelage léger, veuillez vous référer à la section 8.</w:t>
      </w:r>
    </w:p>
    <w:p w14:paraId="50298B18" w14:textId="24C320B1" w:rsidR="005E3180" w:rsidRPr="005107DF" w:rsidRDefault="005E3180" w:rsidP="001628B5">
      <w:pPr>
        <w:spacing w:after="240" w:line="240" w:lineRule="auto"/>
        <w:jc w:val="both"/>
        <w:rPr>
          <w:rFonts w:ascii="Times New Roman" w:hAnsi="Times New Roman" w:cs="Times New Roman"/>
          <w:sz w:val="24"/>
          <w:szCs w:val="24"/>
        </w:rPr>
      </w:pPr>
      <w:r>
        <w:rPr>
          <w:rFonts w:ascii="Times New Roman" w:hAnsi="Times New Roman"/>
          <w:sz w:val="24"/>
        </w:rPr>
        <w:t>L’administration contractante et l’État membre sélectionné doivent collaborer de manière étroite afin d’assurer la préparation rapide du contrat. L’État membre est tenu, en particulier: de soumettre la déclaration comptable relative à l’indemnisation des coûts liés au CRJ, d’indiquer si le CRJ sera accompagné de sa famille, de communiquer les frais de voyage du chef de projet, du CRJ et des experts de courte durée, ainsi que de communiquer les plans de participation du ou des chefs de projet (agissant dans ce cas en tant qu’experts de courte durée) dans le cadre de la préparation du plan de travail initial et ultérieur et des activités de communication et de visibilité. Tous les coûts unitaires et taux forfaitaires à inclure dans le contrat doivent être convenus par les parties au contrat.</w:t>
      </w:r>
    </w:p>
    <w:p w14:paraId="64C9FCDF" w14:textId="0777C9C4" w:rsidR="005E3180" w:rsidRPr="005107DF" w:rsidRDefault="00275B40" w:rsidP="001628B5">
      <w:pPr>
        <w:spacing w:after="240" w:line="240" w:lineRule="auto"/>
        <w:jc w:val="both"/>
        <w:rPr>
          <w:rFonts w:ascii="Times New Roman" w:hAnsi="Times New Roman" w:cs="Times New Roman"/>
          <w:sz w:val="24"/>
          <w:szCs w:val="24"/>
        </w:rPr>
      </w:pPr>
      <w:r>
        <w:rPr>
          <w:rFonts w:ascii="Times New Roman" w:hAnsi="Times New Roman"/>
          <w:sz w:val="24"/>
        </w:rPr>
        <w:t xml:space="preserve">Dans le cas où l’État membre prévoirait d’utiliser une autre administration publique ou un autre organisme mandaté (point 4.1.4.2) pour assurer la gestion financière et logistique, y compris les fonctions de paiement, cet organisme doit être mentionné dans le contrat (dans les conditions particulières).  </w:t>
      </w:r>
    </w:p>
    <w:p w14:paraId="1FF33EA5" w14:textId="644DA573" w:rsidR="00D0198E" w:rsidRPr="005107DF" w:rsidRDefault="00D0198E" w:rsidP="00D0198E">
      <w:pPr>
        <w:numPr>
          <w:ilvl w:val="12"/>
          <w:numId w:val="0"/>
        </w:num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En </w:t>
      </w:r>
      <w:r>
        <w:rPr>
          <w:rFonts w:ascii="Times New Roman" w:hAnsi="Times New Roman"/>
          <w:sz w:val="24"/>
          <w:u w:val="single"/>
        </w:rPr>
        <w:t>gestion directe</w:t>
      </w:r>
      <w:r>
        <w:rPr>
          <w:rFonts w:ascii="Times New Roman" w:hAnsi="Times New Roman"/>
          <w:sz w:val="24"/>
        </w:rPr>
        <w:t xml:space="preserve"> ou en </w:t>
      </w:r>
      <w:r>
        <w:rPr>
          <w:rFonts w:ascii="Times New Roman" w:hAnsi="Times New Roman"/>
          <w:sz w:val="24"/>
          <w:u w:val="single"/>
        </w:rPr>
        <w:t>gestion indirecte avec contrôle ex</w:t>
      </w:r>
      <w:r w:rsidR="00EF4EB2">
        <w:rPr>
          <w:rFonts w:ascii="Times New Roman" w:hAnsi="Times New Roman"/>
          <w:sz w:val="24"/>
          <w:u w:val="single"/>
        </w:rPr>
        <w:t>-</w:t>
      </w:r>
      <w:r>
        <w:rPr>
          <w:rFonts w:ascii="Times New Roman" w:hAnsi="Times New Roman"/>
          <w:sz w:val="24"/>
          <w:u w:val="single"/>
        </w:rPr>
        <w:t>post</w:t>
      </w:r>
      <w:r>
        <w:rPr>
          <w:rFonts w:ascii="Times New Roman" w:hAnsi="Times New Roman"/>
          <w:sz w:val="24"/>
        </w:rPr>
        <w:t>, l’administration contractante soumet le projet de contrat au chef de projet de l’État membre pour signature.</w:t>
      </w:r>
    </w:p>
    <w:p w14:paraId="51B6FA03" w14:textId="11D10918"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En </w:t>
      </w:r>
      <w:r>
        <w:rPr>
          <w:rFonts w:ascii="Times New Roman" w:hAnsi="Times New Roman"/>
          <w:sz w:val="24"/>
          <w:u w:val="single"/>
        </w:rPr>
        <w:t>gestion indirecte avec contrôle ex</w:t>
      </w:r>
      <w:r w:rsidR="00EF4EB2">
        <w:rPr>
          <w:rFonts w:ascii="Times New Roman" w:hAnsi="Times New Roman"/>
          <w:sz w:val="24"/>
          <w:u w:val="single"/>
        </w:rPr>
        <w:t>-</w:t>
      </w:r>
      <w:r>
        <w:rPr>
          <w:rFonts w:ascii="Times New Roman" w:hAnsi="Times New Roman"/>
          <w:sz w:val="24"/>
          <w:u w:val="single"/>
        </w:rPr>
        <w:t>ante</w:t>
      </w:r>
      <w:r>
        <w:rPr>
          <w:rFonts w:ascii="Times New Roman" w:hAnsi="Times New Roman"/>
          <w:sz w:val="24"/>
        </w:rPr>
        <w:t>, l’administration contractante soumet le projet de contrat à la délégation de l’UE pour adoption, avant de l’envoyer au chef de projet de l’État membre pour signature si cela est prévu par l’accord relatif aux contrôles ex ante conclu entre l’UE et le bénéficiaire.</w:t>
      </w:r>
    </w:p>
    <w:p w14:paraId="73A21629" w14:textId="77777777" w:rsidR="00D0198E" w:rsidRPr="005107DF" w:rsidRDefault="00D0198E" w:rsidP="007338F0">
      <w:pPr>
        <w:pStyle w:val="Heading2"/>
      </w:pPr>
      <w:bookmarkStart w:id="145" w:name="_Toc462416439"/>
      <w:bookmarkStart w:id="146" w:name="_Toc464459858"/>
      <w:bookmarkStart w:id="147" w:name="_Toc476063239"/>
      <w:bookmarkStart w:id="148" w:name="_Toc476067721"/>
      <w:bookmarkStart w:id="149" w:name="_Toc517434366"/>
      <w:bookmarkStart w:id="150" w:name="_Toc2860929"/>
      <w:r>
        <w:lastRenderedPageBreak/>
        <w:t xml:space="preserve">3.2 Signature du </w:t>
      </w:r>
      <w:bookmarkEnd w:id="145"/>
      <w:bookmarkEnd w:id="146"/>
      <w:r>
        <w:t>contrat de subvention de jumelage</w:t>
      </w:r>
      <w:bookmarkEnd w:id="147"/>
      <w:bookmarkEnd w:id="148"/>
      <w:bookmarkEnd w:id="149"/>
      <w:bookmarkEnd w:id="150"/>
    </w:p>
    <w:p w14:paraId="2C391144" w14:textId="77777777" w:rsidR="00F567D1" w:rsidRPr="005107DF" w:rsidRDefault="00F567D1" w:rsidP="00F567D1">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Trois originaux au minimum doivent être rédigés en </w:t>
      </w:r>
      <w:r>
        <w:rPr>
          <w:rFonts w:ascii="Times New Roman" w:hAnsi="Times New Roman"/>
          <w:sz w:val="24"/>
          <w:u w:val="single"/>
        </w:rPr>
        <w:t>gestion directe</w:t>
      </w:r>
      <w:r>
        <w:rPr>
          <w:rFonts w:ascii="Times New Roman" w:hAnsi="Times New Roman"/>
          <w:sz w:val="24"/>
        </w:rPr>
        <w:t xml:space="preserve"> (un pour l’administration contractante, c.-à-d. la délégation de l’UE, un pour l’État membre et un pour l’administration bénéficiaire), et quatre en </w:t>
      </w:r>
      <w:r>
        <w:rPr>
          <w:rFonts w:ascii="Times New Roman" w:hAnsi="Times New Roman"/>
          <w:sz w:val="24"/>
          <w:u w:val="single"/>
        </w:rPr>
        <w:t>gestion indirecte</w:t>
      </w:r>
      <w:r>
        <w:rPr>
          <w:rFonts w:ascii="Times New Roman" w:hAnsi="Times New Roman"/>
          <w:sz w:val="24"/>
        </w:rPr>
        <w:t xml:space="preserve"> (un pour l’administration contractante, c.-à-d. l’ECFC/UGP, un pour l’État membre, un pour l’administration bénéficiaire et un pour la délégation de l’UE).</w:t>
      </w:r>
    </w:p>
    <w:p w14:paraId="2458269C"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La personne mandatée par l’État membre signe le contrat, paraphe toutes les pages et veille à ce que le chef de projet de l’État membre paraphe les annexes A1 et A3. </w:t>
      </w:r>
    </w:p>
    <w:p w14:paraId="64CDFE65" w14:textId="77777777" w:rsidR="00F567D1" w:rsidRPr="005107DF" w:rsidRDefault="00F567D1" w:rsidP="00F567D1">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Lorsque les États membres ont formé un consortium en vue de la mise en œuvre d’un projet de jumelage (voir le point 2.3), le contrat est signé par l’État membre principal.</w:t>
      </w:r>
    </w:p>
    <w:p w14:paraId="4DA54CB8" w14:textId="77777777" w:rsidR="00D0198E" w:rsidRPr="005107DF" w:rsidRDefault="00F567D1"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 chef de projet de l’État membre envoie les originaux signés du contrat à l’administration contractante afin qu’elle y appose une signature finale. La personne mandatée par l’administration contractante signe le contrat, paraphe toutes les pages et veille à ce que le chef de projet du bénéficiaire paraphe les annexes A1 et A3. </w:t>
      </w:r>
      <w:r>
        <w:rPr>
          <w:rFonts w:ascii="Times New Roman" w:hAnsi="Times New Roman"/>
          <w:b/>
          <w:sz w:val="24"/>
        </w:rPr>
        <w:t>L’administration contractante soumet une copie du contrat signé à l’État membre et au PCN bénéficiaire concerné, ainsi qu’à l’équipe de coordination du jumelage (pour cette dernière, au format électronique uniquement; numériser un exemplaire).</w:t>
      </w:r>
    </w:p>
    <w:p w14:paraId="597D1B7D" w14:textId="77777777" w:rsidR="00D0198E" w:rsidRPr="005107DF" w:rsidRDefault="00D0198E" w:rsidP="00D0198E">
      <w:pPr>
        <w:spacing w:after="240" w:line="240" w:lineRule="auto"/>
        <w:jc w:val="both"/>
        <w:rPr>
          <w:rFonts w:ascii="Times New Roman" w:eastAsia="Times New Roman" w:hAnsi="Times New Roman" w:cs="Times New Roman"/>
          <w:iCs/>
          <w:color w:val="000000"/>
          <w:sz w:val="24"/>
          <w:szCs w:val="24"/>
        </w:rPr>
      </w:pPr>
      <w:r>
        <w:rPr>
          <w:rFonts w:ascii="Times New Roman" w:hAnsi="Times New Roman"/>
          <w:sz w:val="24"/>
        </w:rPr>
        <w:t xml:space="preserve">En paraphant les annexes A1 et A3, les chefs de projet de l’État membre et du bénéficiaire </w:t>
      </w:r>
      <w:r>
        <w:rPr>
          <w:rFonts w:ascii="Times New Roman" w:hAnsi="Times New Roman"/>
          <w:color w:val="000000"/>
          <w:sz w:val="24"/>
        </w:rPr>
        <w:t>confirment l’engagement de leur administration respective</w:t>
      </w:r>
      <w:r>
        <w:rPr>
          <w:rFonts w:ascii="Times New Roman" w:hAnsi="Times New Roman"/>
          <w:sz w:val="24"/>
        </w:rPr>
        <w:t>.</w:t>
      </w:r>
    </w:p>
    <w:p w14:paraId="2F9472C9" w14:textId="77777777" w:rsidR="00D0198E" w:rsidRPr="005107DF" w:rsidRDefault="00D0198E" w:rsidP="000A67D6">
      <w:pPr>
        <w:pStyle w:val="Heading2"/>
        <w:ind w:left="426" w:hanging="426"/>
      </w:pPr>
      <w:bookmarkStart w:id="151" w:name="_Toc462416440"/>
      <w:bookmarkStart w:id="152" w:name="_Toc464459859"/>
      <w:bookmarkStart w:id="153" w:name="_Toc476063240"/>
      <w:bookmarkStart w:id="154" w:name="_Toc476067722"/>
      <w:bookmarkStart w:id="155" w:name="_Toc517434367"/>
      <w:bookmarkStart w:id="156" w:name="_Toc2860930"/>
      <w:r>
        <w:t xml:space="preserve">3.3 Notification et début de la mise en œuvre du </w:t>
      </w:r>
      <w:bookmarkEnd w:id="151"/>
      <w:bookmarkEnd w:id="152"/>
      <w:r>
        <w:t>contrat de subvention de jumelage</w:t>
      </w:r>
      <w:bookmarkEnd w:id="153"/>
      <w:bookmarkEnd w:id="154"/>
      <w:bookmarkEnd w:id="155"/>
      <w:bookmarkEnd w:id="156"/>
    </w:p>
    <w:p w14:paraId="6D0463D5" w14:textId="77777777" w:rsidR="00D0198E" w:rsidRPr="005107DF" w:rsidRDefault="00D0198E" w:rsidP="00D0198E">
      <w:pPr>
        <w:spacing w:after="240" w:line="240" w:lineRule="auto"/>
        <w:jc w:val="both"/>
        <w:rPr>
          <w:rFonts w:ascii="Times New Roman" w:eastAsia="Times New Roman" w:hAnsi="Times New Roman" w:cs="Times New Roman"/>
          <w:iCs/>
          <w:color w:val="000000"/>
          <w:sz w:val="24"/>
          <w:szCs w:val="24"/>
        </w:rPr>
      </w:pPr>
      <w:r>
        <w:rPr>
          <w:rFonts w:ascii="Times New Roman" w:hAnsi="Times New Roman"/>
          <w:color w:val="000000"/>
          <w:sz w:val="24"/>
        </w:rPr>
        <w:t>Après la signature du contrat, l’administration contractante notifie formellement l’achèvement de la procédure de signature à toutes les parties concernées, au PCN de l’État membre, au PCN du bénéficiaire et à l’équipe de coordination du jumelage (ainsi qu’à la délégation de l’UE si celle-ci n’est pas l’administration contractante), en confirmant la date de début de la mise en œuvre du projet, qui correspond à la date d’arrivée du CRJ.</w:t>
      </w:r>
    </w:p>
    <w:p w14:paraId="5C76C1E9" w14:textId="296B5046" w:rsidR="00D0198E" w:rsidRPr="005107DF" w:rsidRDefault="00D0198E" w:rsidP="00D0198E">
      <w:pPr>
        <w:spacing w:after="240" w:line="240" w:lineRule="auto"/>
        <w:jc w:val="both"/>
        <w:rPr>
          <w:rFonts w:ascii="Times New Roman" w:eastAsia="Times New Roman" w:hAnsi="Times New Roman" w:cs="Times New Roman"/>
          <w:b/>
          <w:color w:val="000000"/>
          <w:sz w:val="24"/>
          <w:szCs w:val="24"/>
        </w:rPr>
      </w:pPr>
      <w:r>
        <w:rPr>
          <w:rFonts w:ascii="Times New Roman" w:hAnsi="Times New Roman"/>
          <w:color w:val="000000"/>
          <w:sz w:val="24"/>
        </w:rPr>
        <w:t xml:space="preserve">Aucun des coûts exposés </w:t>
      </w:r>
      <w:r>
        <w:rPr>
          <w:rFonts w:ascii="Times New Roman" w:hAnsi="Times New Roman"/>
          <w:b/>
          <w:color w:val="000000"/>
          <w:sz w:val="24"/>
        </w:rPr>
        <w:t>avant</w:t>
      </w:r>
      <w:r>
        <w:rPr>
          <w:rFonts w:ascii="Times New Roman" w:hAnsi="Times New Roman"/>
          <w:color w:val="000000"/>
          <w:sz w:val="24"/>
        </w:rPr>
        <w:t xml:space="preserve"> la notification de la signature du contrat ne sera éligible pour être couvert par le budget du projet de jumelage, à l’exception du vol aller du CRJ et des coûts de participation à la formation au siège de la Commission à Bruxelles pour le CRJ et le chef de projet du bénéficiaire ou l’homologue du CRJ (appelée la formation au siège). Dans ce cas, la délégation de l’UE (lorsque celle-ci n’est pas l’administration contractante) doit délivrer une approbation préalable conformément à la politique de la DG NEAR</w:t>
      </w:r>
      <w:r>
        <w:rPr>
          <w:rFonts w:ascii="Times New Roman" w:hAnsi="Times New Roman"/>
          <w:sz w:val="24"/>
        </w:rPr>
        <w:t xml:space="preserve"> en la matière.</w:t>
      </w:r>
      <w:r>
        <w:rPr>
          <w:rFonts w:ascii="Times New Roman" w:hAnsi="Times New Roman"/>
          <w:color w:val="000000"/>
          <w:sz w:val="24"/>
        </w:rPr>
        <w:t xml:space="preserve"> </w:t>
      </w:r>
    </w:p>
    <w:p w14:paraId="52F9F843" w14:textId="218FECC5"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L’administration contractante (ou la délégation de l’UE, si celle-ci n’est pas l’administration contractante mais qu’en vertu d’accords avec le pays bénéficiaire, elle assume des responsabilités de paiement) verse le premier préfinancement</w:t>
      </w:r>
      <w:r>
        <w:rPr>
          <w:rStyle w:val="FootnoteReference"/>
          <w:rFonts w:ascii="Times New Roman" w:hAnsi="Times New Roman"/>
          <w:color w:val="000000"/>
          <w:sz w:val="24"/>
        </w:rPr>
        <w:footnoteReference w:id="9"/>
      </w:r>
      <w:r>
        <w:rPr>
          <w:rFonts w:ascii="Times New Roman" w:hAnsi="Times New Roman"/>
          <w:color w:val="000000"/>
          <w:sz w:val="24"/>
        </w:rPr>
        <w:t xml:space="preserve"> à l’État membre conformément aux dispositions du contrat une fois notifiée la signature du contrat.</w:t>
      </w:r>
    </w:p>
    <w:p w14:paraId="5AB5FC67" w14:textId="77777777" w:rsidR="00D0198E" w:rsidRPr="005107DF" w:rsidRDefault="00D0198E" w:rsidP="007338F0">
      <w:pPr>
        <w:pStyle w:val="Heading1"/>
        <w:pBdr>
          <w:bottom w:val="single" w:sz="4" w:space="1" w:color="auto"/>
        </w:pBdr>
      </w:pPr>
      <w:bookmarkStart w:id="157" w:name="_Toc462416441"/>
      <w:bookmarkStart w:id="158" w:name="_Toc464459860"/>
      <w:bookmarkStart w:id="159" w:name="_Toc517434368"/>
      <w:bookmarkStart w:id="160" w:name="_Toc2860931"/>
      <w:r>
        <w:lastRenderedPageBreak/>
        <w:t>Section 4: les principaux acteurs</w:t>
      </w:r>
      <w:bookmarkEnd w:id="157"/>
      <w:bookmarkEnd w:id="158"/>
      <w:bookmarkEnd w:id="159"/>
      <w:bookmarkEnd w:id="160"/>
      <w:r>
        <w:t xml:space="preserve"> </w:t>
      </w:r>
    </w:p>
    <w:p w14:paraId="12A0E1FF" w14:textId="77777777" w:rsidR="00D0198E" w:rsidRPr="005107DF" w:rsidRDefault="00D0198E" w:rsidP="007338F0">
      <w:pPr>
        <w:pStyle w:val="Heading2"/>
      </w:pPr>
      <w:bookmarkStart w:id="161" w:name="_Toc462416442"/>
      <w:bookmarkStart w:id="162" w:name="_Toc464459861"/>
      <w:bookmarkStart w:id="163" w:name="_Toc476063241"/>
      <w:bookmarkStart w:id="164" w:name="_Toc476067723"/>
      <w:bookmarkStart w:id="165" w:name="_Toc517434369"/>
      <w:bookmarkStart w:id="166" w:name="_Toc2860932"/>
      <w:r>
        <w:t>4.1 L’État membre ou les États membres</w:t>
      </w:r>
      <w:bookmarkEnd w:id="161"/>
      <w:bookmarkEnd w:id="162"/>
      <w:bookmarkEnd w:id="163"/>
      <w:bookmarkEnd w:id="164"/>
      <w:bookmarkEnd w:id="165"/>
      <w:bookmarkEnd w:id="166"/>
    </w:p>
    <w:p w14:paraId="410AC0AA" w14:textId="77777777" w:rsidR="00D0198E" w:rsidRPr="005107DF" w:rsidRDefault="00D0198E" w:rsidP="007338F0">
      <w:pPr>
        <w:pStyle w:val="Heading3"/>
      </w:pPr>
      <w:bookmarkStart w:id="167" w:name="_Toc462416443"/>
      <w:bookmarkStart w:id="168" w:name="_Toc464459862"/>
      <w:bookmarkStart w:id="169" w:name="_Toc476063242"/>
      <w:bookmarkStart w:id="170" w:name="_Toc476067724"/>
      <w:bookmarkStart w:id="171" w:name="_Toc517434370"/>
      <w:bookmarkStart w:id="172" w:name="_Toc2860933"/>
      <w:r>
        <w:t xml:space="preserve">4.1.1 Observations </w:t>
      </w:r>
      <w:bookmarkEnd w:id="167"/>
      <w:bookmarkEnd w:id="168"/>
      <w:bookmarkEnd w:id="169"/>
      <w:bookmarkEnd w:id="170"/>
      <w:r>
        <w:t>générales</w:t>
      </w:r>
      <w:bookmarkEnd w:id="171"/>
      <w:bookmarkEnd w:id="172"/>
    </w:p>
    <w:p w14:paraId="548E091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L’État membre mettant en œuvre un projet de jumelage doit principalement apporter une contribution au niveau des ressources humaines affectées au projet, notamment le chef de projet, le CRJ, les experts de courte durée ainsi que d’autres membres du personnel participant à la gestion du projet. Le plan de travail de jumelage (voir la section 5) indique donc combien de temps sera dévoué à chaque activité dans chaque ligne budgétaire du projet. La répartition du temps devra se refléter dans les crédits budgétaires.</w:t>
      </w:r>
    </w:p>
    <w:p w14:paraId="6800385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ressources humaines affectées à la mise en œuvre d’un projet de jumelage par un État membre doivent être des fonctionnaires ou des agents assimilés. Le CRJ et tous les experts de courte durée mobilisés par l’État membre doivent maintenir leur relation d’emploi rémunéré au sein de leur administration nationale ou de leur organisme mandaté pendant toute la durée de leur mission. L’État membre doit veiller à ce que le statut professionnel/contractuel du CRJ demeure inchangé pendant toute la durée de mise en œuvre du projet, car le CRJ joue un rôle essentiel dans tout projet de jumelage.</w:t>
      </w:r>
    </w:p>
    <w:p w14:paraId="6B7EFC4F" w14:textId="297AF80A" w:rsidR="00402B0A" w:rsidRPr="0019382C" w:rsidRDefault="00402B0A" w:rsidP="00D0198E">
      <w:pPr>
        <w:spacing w:after="240" w:line="240" w:lineRule="auto"/>
        <w:jc w:val="both"/>
        <w:rPr>
          <w:rFonts w:ascii="Times New Roman" w:eastAsia="Times New Roman" w:hAnsi="Times New Roman" w:cs="Times New Roman"/>
          <w:i/>
          <w:color w:val="000000"/>
          <w:sz w:val="24"/>
          <w:szCs w:val="24"/>
        </w:rPr>
      </w:pPr>
      <w:r>
        <w:rPr>
          <w:rFonts w:ascii="Times New Roman" w:hAnsi="Times New Roman"/>
          <w:color w:val="000000"/>
          <w:sz w:val="24"/>
        </w:rPr>
        <w:t>Une administration ou un organisme mandaté d’un État membre qui détache simplement un ou plusieurs experts en vue d’une participation au projet de jumelage, sans endosser la responsabilité de ses activités, n’est pas considéré comme partenaire et n’est pas tenu de signer un accord de consortium. Dans ce cas, l’expert concerné contribue au projet de jumelage sous l’autorité et la responsabilité du chef de projet de l’État membre. Il appartient à ce dernier d’assurer la disponibilité de l’expert et de définir les modalités de sa participation</w:t>
      </w:r>
      <w:r>
        <w:rPr>
          <w:rStyle w:val="FootnoteReference"/>
          <w:rFonts w:ascii="Times New Roman" w:hAnsi="Times New Roman"/>
          <w:color w:val="000000"/>
          <w:sz w:val="24"/>
        </w:rPr>
        <w:footnoteReference w:id="10"/>
      </w:r>
      <w:r>
        <w:rPr>
          <w:rFonts w:ascii="Times New Roman" w:hAnsi="Times New Roman"/>
          <w:color w:val="000000"/>
          <w:sz w:val="24"/>
        </w:rPr>
        <w:t>.</w:t>
      </w:r>
    </w:p>
    <w:p w14:paraId="01A24935" w14:textId="77777777" w:rsidR="00D0198E" w:rsidRPr="005107DF" w:rsidRDefault="00D0198E" w:rsidP="007338F0">
      <w:pPr>
        <w:pStyle w:val="Heading3"/>
      </w:pPr>
      <w:bookmarkStart w:id="173" w:name="_Toc462416444"/>
      <w:bookmarkStart w:id="174" w:name="_Toc464459863"/>
      <w:bookmarkStart w:id="175" w:name="_Toc476063243"/>
      <w:bookmarkStart w:id="176" w:name="_Toc476067725"/>
      <w:bookmarkStart w:id="177" w:name="_Toc517434371"/>
      <w:bookmarkStart w:id="178" w:name="_Toc2860934"/>
      <w:r>
        <w:t>4.1.2 Points de contact nationaux des États membres</w:t>
      </w:r>
      <w:bookmarkEnd w:id="173"/>
      <w:bookmarkEnd w:id="174"/>
      <w:bookmarkEnd w:id="175"/>
      <w:bookmarkEnd w:id="176"/>
      <w:bookmarkEnd w:id="177"/>
      <w:bookmarkEnd w:id="178"/>
    </w:p>
    <w:p w14:paraId="49DF15F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Chaque État membre désigne un point de contact national pour le jumelage (PCN de l’État membre), qui agit en tant qu’interlocuteur unique pour toutes les questions générales relatives aux activités de jumelage. Le PCN de l’État membre joue un rôle important dans l’élaboration et la coordination des activités de jumelage. Le PCN assure, entre autres, les tâches suivantes:</w:t>
      </w:r>
    </w:p>
    <w:p w14:paraId="0E59DEC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il transmet les fiches de jumelage et les informations aux organismes administratifs concernés de l’État membre et fournit des conseils lors de la préparation des propositions de projets de jumelage et des contrats ultérieurs;</w:t>
      </w:r>
    </w:p>
    <w:p w14:paraId="28C33807"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il aide les administrations ou les organismes mandatés de l’État membre à éliminer d’éventuels obstacles administratifs à la bonne mise en œuvre des projets;</w:t>
      </w:r>
    </w:p>
    <w:p w14:paraId="64493AE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il apporte une aide en cas de difficultés lors de la négociation d’accords de consortium entre États membres;</w:t>
      </w:r>
    </w:p>
    <w:p w14:paraId="6866CD3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il examine et soumet les propositions de projets de jumelage préparées par l’État membre seul ou en tant que partenaire principal d’un consortium;</w:t>
      </w:r>
    </w:p>
    <w:p w14:paraId="4ADBDAD9"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il participe aux réunions organisées par la Commission à l’intention des PCN du bénéficiaire et de l’État membre;</w:t>
      </w:r>
    </w:p>
    <w:p w14:paraId="6F679A2F" w14:textId="77777777" w:rsidR="00D0198E" w:rsidRPr="005107DF" w:rsidRDefault="00D0198E" w:rsidP="0005419B">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il examine le contenu de la déclaration sur l’honneur relative à l’éligibilité des organismes mandatés: sur la base du modèle figurant à l’annexe C17 (qui peut être modifié pour répondre aux exigences de chaque État membre), il remplit sa fonction de certification de l’éligibilité de l’organisme mandaté (en fonction des mécanismes institutionnels mis en place dans chaque État membre), ce qui comprend l’analyse de la précision et de la véracité des informations fournies dans la déclaration sur l’honneur et, par après, le transfert de la demande d’enregistrement de l’organisme à l’équipe de coordination du jumelage (voir également le point 4.1.4.2).</w:t>
      </w:r>
    </w:p>
    <w:p w14:paraId="7492F7B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Chaque État membre communique à l’équipe de coordination du jumelage le nom et les coordonnées de son PCN et signale en temps opportun tout changement relatif à cette fonction. L’équipe de coordination du jumelage publie la liste des PCN des États membres sur le site internet relatif au jumelage.</w:t>
      </w:r>
    </w:p>
    <w:p w14:paraId="4536A81C" w14:textId="77777777" w:rsidR="00D0198E" w:rsidRPr="005107DF" w:rsidRDefault="00D0198E" w:rsidP="007338F0">
      <w:pPr>
        <w:pStyle w:val="Heading3"/>
      </w:pPr>
      <w:bookmarkStart w:id="179" w:name="_Toc462416445"/>
      <w:bookmarkStart w:id="180" w:name="_Toc464459864"/>
      <w:bookmarkStart w:id="181" w:name="_Toc476063244"/>
      <w:bookmarkStart w:id="182" w:name="_Toc476067726"/>
      <w:bookmarkStart w:id="183" w:name="_Toc517434372"/>
      <w:bookmarkStart w:id="184" w:name="_Toc2860935"/>
      <w:r>
        <w:t>4.1.3 Le chef de projet (CP) de l’État membre</w:t>
      </w:r>
      <w:bookmarkEnd w:id="179"/>
      <w:bookmarkEnd w:id="180"/>
      <w:bookmarkEnd w:id="181"/>
      <w:bookmarkEnd w:id="182"/>
      <w:bookmarkEnd w:id="183"/>
      <w:bookmarkEnd w:id="184"/>
    </w:p>
    <w:p w14:paraId="5CDC18A8" w14:textId="77777777" w:rsidR="00144762"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chef de projet (CP) de l’État membre est censé être un fonctionnaire ou un agent assimilé ayant un grade suffisant pour assurer un dialogue opérationnel au niveau politique. Cela devrait garantir sa capacité à diriger la mise en œuvre du projet et à mobiliser l’expertise nécessaire à la bonne mise en œuvre de ce dernier. Il convient de trouver un équilibre entre l’ancienneté et la disponibilité pour le projet. </w:t>
      </w:r>
    </w:p>
    <w:p w14:paraId="02AAC0BF" w14:textId="77777777" w:rsidR="00D0198E" w:rsidRPr="005107DF" w:rsidRDefault="006469D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chef de projet de l’État membre ne peut provenir d’un organisme mandaté à cette fin (voir le point 4.1.4).</w:t>
      </w:r>
    </w:p>
    <w:p w14:paraId="6BB11F7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Tout en continuant à assurer ses tâches quotidiennes au sein de l’administration de l’État membre, le chef de projet doit consacrer une partie de son temps à la conception, à la supervision et à la coordination du projet de jumelage.</w:t>
      </w:r>
    </w:p>
    <w:p w14:paraId="0510643D" w14:textId="77777777" w:rsidR="00D0198E" w:rsidRPr="005107DF" w:rsidRDefault="006469D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ou les chefs de projet de l’État membre doivent participer à la préparation de la proposition de celui-ci et sont tenus d’assister à la réunion de sélection. Lors de la préparation du contrat, le ou les chefs de projets doivent être pleinement disponibles et soumettre en temps opportun les informations demandées (conformément au point 3.1.2). Le ou les chefs de projet de l’État membre peuvent être amenés à participer à la préparation du plan de travail initial et ultérieur en tant qu’experts de courte durée. La participation aux réunions trimestrielles du comité de pilotage est obligatoire. Le ou les chefs de projet doivent également participer à certaines activités de communication et de visibilité (voir le point 5.7). </w:t>
      </w:r>
    </w:p>
    <w:p w14:paraId="60E21A1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degré de participation du chef de projet, en particulier en ce qui concerne </w:t>
      </w:r>
      <w:r>
        <w:rPr>
          <w:rFonts w:ascii="Times New Roman" w:hAnsi="Times New Roman"/>
          <w:sz w:val="24"/>
        </w:rPr>
        <w:t xml:space="preserve">l’élaboration du plan de travail et des mises à jour ultérieures et du plan de communication et de visibilité, </w:t>
      </w:r>
      <w:r>
        <w:rPr>
          <w:rFonts w:ascii="Times New Roman" w:hAnsi="Times New Roman"/>
          <w:color w:val="000000"/>
          <w:sz w:val="24"/>
        </w:rPr>
        <w:t xml:space="preserve">dépend en grande partie de la complexité du projet. </w:t>
      </w:r>
    </w:p>
    <w:p w14:paraId="5D103C26"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chef de projet de l’État membre est aidé par le CRJ, qui travaille sur le terrain avec l’administration bénéficiaire.</w:t>
      </w:r>
    </w:p>
    <w:p w14:paraId="52E05C7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Si le projet de jumelage est mis en œuvre par un consortium d’États membres (voir le point 2.3), le ou les États membres juniors désignent un ou plusieurs chefs de projet juniors qui rendent compte au chef de projet de l’État membre principal et assurent le soutien et la coopération nécessaires conformément aux dispositions de l’accord de consortium. Le chef de projet junior garantit la contribution appropriée de son administration au projet. Sa </w:t>
      </w:r>
      <w:r>
        <w:rPr>
          <w:rFonts w:ascii="Times New Roman" w:hAnsi="Times New Roman"/>
          <w:color w:val="000000"/>
          <w:sz w:val="24"/>
        </w:rPr>
        <w:lastRenderedPageBreak/>
        <w:t>participation aux réunions trimestrielles du comité de pilotage du projet est recommandée. Le chef de projet de l’État membre assume la responsabilité générale de la mise en œuvre correcte et fructueuse du projet ainsi que de sa bonne gestion financière, telle que reflétée dans l’annexe A8.</w:t>
      </w:r>
    </w:p>
    <w:p w14:paraId="04471E5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Sauf indication contraire, toute référence au chef de projet de l’État membre dans le présent manuel de jumelage désigne le chef de projet de l’État membre principal, et non le chef de projet junior.</w:t>
      </w:r>
    </w:p>
    <w:p w14:paraId="3E7EE128" w14:textId="77777777" w:rsidR="006B1CCF" w:rsidRPr="005107DF" w:rsidRDefault="006B1CCF" w:rsidP="006B1CCF">
      <w:pPr>
        <w:pStyle w:val="Heading3"/>
      </w:pPr>
      <w:bookmarkStart w:id="185" w:name="_Toc2860936"/>
      <w:bookmarkStart w:id="186" w:name="_Toc476063245"/>
      <w:bookmarkStart w:id="187" w:name="_Toc476067727"/>
      <w:bookmarkStart w:id="188" w:name="_Toc517434373"/>
      <w:bookmarkStart w:id="189" w:name="_Toc462416446"/>
      <w:bookmarkStart w:id="190" w:name="_Toc464459865"/>
      <w:r>
        <w:t>4.1.4 Administration, organisme ou autre entité semi-publique de l’État membre</w:t>
      </w:r>
      <w:bookmarkEnd w:id="185"/>
      <w:r>
        <w:t xml:space="preserve"> </w:t>
      </w:r>
    </w:p>
    <w:p w14:paraId="24907FA5" w14:textId="77777777" w:rsidR="006B1CCF" w:rsidRPr="005107DF" w:rsidRDefault="006B1CCF" w:rsidP="006B1CCF">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Dans le cadre des projets de jumelage, une administration, un organisme ou une autre entité semi-publique d’un État membre sont considérés comme éligibles pour la mise en œuvre des projets. Le jumelage reposant sur la coopération entre administrations publiques, toute entité de l’État membre ou du bénéficiaire participant au jumelage doit toutefois disposer de compétences avérées dans le domaine de coopération administrative concerné, tel que défini dans la fiche de jumelage. </w:t>
      </w:r>
    </w:p>
    <w:p w14:paraId="567D94B0" w14:textId="77777777" w:rsidR="006B1CCF" w:rsidRPr="005107DF" w:rsidRDefault="006B1CCF" w:rsidP="006B1CCF">
      <w:pPr>
        <w:spacing w:after="240" w:line="240" w:lineRule="auto"/>
        <w:jc w:val="both"/>
        <w:rPr>
          <w:rFonts w:ascii="Times New Roman" w:eastAsia="Times New Roman" w:hAnsi="Times New Roman" w:cs="Times New Roman"/>
          <w:sz w:val="24"/>
          <w:szCs w:val="24"/>
        </w:rPr>
      </w:pPr>
      <w:r>
        <w:rPr>
          <w:rFonts w:ascii="Times New Roman" w:hAnsi="Times New Roman"/>
          <w:sz w:val="24"/>
        </w:rPr>
        <w:t>Cette condition ne s’applique pas aux organismes généraux de gestion établis dans certains États membres en vue de la mise en œuvre de projets/programmes au service des administrations publiques (voir le point 4.1.4.2).</w:t>
      </w:r>
    </w:p>
    <w:p w14:paraId="2ABE032C" w14:textId="77777777" w:rsidR="006B1CCF" w:rsidRPr="005107DF" w:rsidRDefault="006B1CCF" w:rsidP="006B1CCF">
      <w:pPr>
        <w:spacing w:after="240" w:line="240" w:lineRule="auto"/>
        <w:jc w:val="both"/>
        <w:rPr>
          <w:rFonts w:ascii="Times New Roman" w:eastAsia="Times New Roman" w:hAnsi="Times New Roman" w:cs="Times New Roman"/>
          <w:sz w:val="24"/>
          <w:szCs w:val="24"/>
        </w:rPr>
      </w:pPr>
      <w:r>
        <w:rPr>
          <w:rFonts w:ascii="Times New Roman" w:hAnsi="Times New Roman"/>
          <w:sz w:val="24"/>
        </w:rPr>
        <w:t>L’administration, l’organisme ou toute autre entité semi-publique de l’État membre ne peuvent participer à un projet de jumelage s’ils ont participé à la préparation de la fiche de jumelage, soit directement ou par l’intermédiaire d’experts qu’ils ont l’intention de mobiliser pour la mise en œuvre du projet, lorsque cela entraîne une distorsion de la concurrence qui ne peut être résolue par d’autres moyens.</w:t>
      </w:r>
    </w:p>
    <w:p w14:paraId="568C83A7" w14:textId="77777777" w:rsidR="006B1CCF" w:rsidRPr="005107DF" w:rsidRDefault="006B1CCF" w:rsidP="006B1CCF">
      <w:pPr>
        <w:spacing w:after="240" w:line="240" w:lineRule="auto"/>
        <w:jc w:val="both"/>
        <w:rPr>
          <w:rFonts w:ascii="Times New Roman" w:eastAsia="Times New Roman" w:hAnsi="Times New Roman" w:cs="Times New Roman"/>
          <w:sz w:val="24"/>
          <w:szCs w:val="24"/>
        </w:rPr>
      </w:pPr>
      <w:r>
        <w:rPr>
          <w:rFonts w:ascii="Times New Roman" w:hAnsi="Times New Roman"/>
          <w:sz w:val="24"/>
        </w:rPr>
        <w:t>Dans le cadre du jumelage, les organismes légalement enregistrés en tant qu’organisations internationales (OI) ne peuvent ni être considérés comme faisant partie de l’administration de l’État membre, ni agir en tant qu’organismes mandatés.</w:t>
      </w:r>
    </w:p>
    <w:p w14:paraId="67A3813F" w14:textId="4DA9B71C" w:rsidR="006B1CCF" w:rsidRDefault="006B1CCF" w:rsidP="006B1CCF">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Les partenaires de l’État membre partenaire ne sont pas autorisés à confier à des entités autres que publiques ou semi-publiques des activités essentielles du projet de jumelage, ni la logistique ou la comptabilité de ce dernier; ces activités doivent demeurer dans tous les cas la seule prérogative des acteurs du secteur public des partenaires de l’État membre. (voir, toutefois, le point 4.1.4.2, «Organismes généraux de gestion»).  </w:t>
      </w:r>
    </w:p>
    <w:p w14:paraId="06A23717" w14:textId="3758906C" w:rsidR="006B1CCF" w:rsidRPr="001B6B95" w:rsidRDefault="006B1CCF" w:rsidP="006B1CCF">
      <w:pPr>
        <w:spacing w:after="240" w:line="240" w:lineRule="auto"/>
        <w:jc w:val="both"/>
        <w:rPr>
          <w:rFonts w:ascii="Times New Roman" w:eastAsia="Times New Roman" w:hAnsi="Times New Roman" w:cs="Times New Roman"/>
          <w:color w:val="000000"/>
        </w:rPr>
      </w:pPr>
      <w:r>
        <w:rPr>
          <w:rFonts w:ascii="Times New Roman" w:hAnsi="Times New Roman"/>
          <w:color w:val="000000"/>
          <w:sz w:val="24"/>
        </w:rPr>
        <w:t>Les organismes mandatés ne peuvent jamais être utilisés comme organisations de coordination pour faire participer des experts du secteur privé à la mise en œuvre des projets de jumelage. En soumettant une demande d’enregistrement en tant qu’organisme mandaté, le demandeur déclare respecter cette obligation.</w:t>
      </w:r>
    </w:p>
    <w:p w14:paraId="182821BC" w14:textId="77777777" w:rsidR="006B1CCF" w:rsidRPr="005107DF" w:rsidRDefault="006B1CCF" w:rsidP="006B1CCF">
      <w:pPr>
        <w:pStyle w:val="Heading4"/>
      </w:pPr>
      <w:r>
        <w:t>4.1.4.1</w:t>
      </w:r>
      <w:r>
        <w:tab/>
        <w:t xml:space="preserve">Administration publique de l’État membre </w:t>
      </w:r>
    </w:p>
    <w:p w14:paraId="56A2DB7F"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Une administration publique d’un État membre est automatiquement éligible en tant que partenaire de jumelage. Aux fins d’une éventuelle participation à un jumelage, le personnel des institutions indépendantes établies en vertu de la constitution de l’État membre concerné est réputé faire partie de l’administration publique de l’État membre.</w:t>
      </w:r>
    </w:p>
    <w:p w14:paraId="40CB8BCD" w14:textId="77777777" w:rsidR="006B1CCF" w:rsidRPr="005107DF" w:rsidRDefault="006B1CCF" w:rsidP="006B1CCF">
      <w:pPr>
        <w:pStyle w:val="Heading4"/>
      </w:pPr>
      <w:r>
        <w:lastRenderedPageBreak/>
        <w:t>4.1.4.2 Organisme ou autre entité semi-publique</w:t>
      </w:r>
    </w:p>
    <w:p w14:paraId="5BBF0A31"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Un État membre peut avoir externalisé, ou être en train d’externaliser, des parties de ses administrations. Le savoir-faire requis pour les projets de jumelage est donc parfois situé en dehors de l’administration. </w:t>
      </w:r>
    </w:p>
    <w:p w14:paraId="4AF6E805"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 État membre peut dès lors proposer de mandater des organismes semi-publics et d’autres entités pour mettre en œuvre des projets de jumelage aux mêmes conditions que s’ils faisaient partie intégrante de l’administration.</w:t>
      </w:r>
    </w:p>
    <w:p w14:paraId="7D2FE912"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organismes et les entités semi-publiques, qui, en vertu du droit d’un État membre, ne sont pas considérés comme faisant directement partie de l’administration publique, peuvent demander à être acceptés comme organismes mandatés s’ils remplissent les critères suivants: </w:t>
      </w:r>
    </w:p>
    <w:p w14:paraId="320D4EE7" w14:textId="26332109" w:rsidR="006B1CCF" w:rsidRDefault="006B1CCF" w:rsidP="006B1CC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être chargés de la fourniture d’un ou plusieurs services publics en vertu d’une loi ou d’une décision du gouvernement; la fourniture de ces services doit également être définie comme l’un de leurs principaux objectifs dans leur mandat/statut;</w:t>
      </w:r>
    </w:p>
    <w:p w14:paraId="4398B508" w14:textId="77777777" w:rsidR="006B1CCF" w:rsidRPr="005107DF" w:rsidRDefault="006B1CCF" w:rsidP="006B1CC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être sous la supervision structurelle permanente d’une administration publique exerçant un rôle prédominant en ce qui concerne la gestion/la prise de décisions et le fonctionnement de l’organisme/entité; </w:t>
      </w:r>
    </w:p>
    <w:p w14:paraId="5465C7D3" w14:textId="77777777" w:rsidR="006B1CCF" w:rsidRPr="005107DF" w:rsidRDefault="006B1CCF" w:rsidP="006B1CC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être soumis au contrôle financier d’une autorité publique ou d’une entité nommée par une autorité publique;</w:t>
      </w:r>
    </w:p>
    <w:p w14:paraId="5FAFD446" w14:textId="54E61756" w:rsidR="006B1CCF" w:rsidRPr="001B6B95" w:rsidRDefault="00AD4235" w:rsidP="006B1CCF">
      <w:pPr>
        <w:numPr>
          <w:ilvl w:val="0"/>
          <w:numId w:val="3"/>
        </w:numPr>
        <w:tabs>
          <w:tab w:val="clear" w:pos="360"/>
          <w:tab w:val="num" w:pos="720"/>
        </w:tabs>
        <w:spacing w:after="240" w:line="240" w:lineRule="auto"/>
        <w:ind w:left="720"/>
        <w:jc w:val="both"/>
        <w:rPr>
          <w:rFonts w:ascii="Times New Roman" w:hAnsi="Times New Roman" w:cs="Times New Roman"/>
          <w:color w:val="000000"/>
          <w:sz w:val="24"/>
          <w:szCs w:val="24"/>
        </w:rPr>
      </w:pPr>
      <w:r>
        <w:rPr>
          <w:rFonts w:ascii="Times New Roman" w:hAnsi="Times New Roman"/>
          <w:color w:val="000000"/>
          <w:sz w:val="24"/>
        </w:rPr>
        <w:t xml:space="preserve">être soumis au contrôle financier d’une autorité publique ou d’une entité nommée par une autorité publique. </w:t>
      </w:r>
    </w:p>
    <w:p w14:paraId="776F6D79" w14:textId="77777777" w:rsidR="006B1CCF" w:rsidRPr="0031553D" w:rsidRDefault="006B1CCF" w:rsidP="006B1CCF">
      <w:pPr>
        <w:spacing w:after="240" w:line="240" w:lineRule="auto"/>
        <w:jc w:val="both"/>
        <w:rPr>
          <w:rFonts w:ascii="Times New Roman" w:hAnsi="Times New Roman" w:cs="Times New Roman"/>
          <w:color w:val="000000"/>
          <w:sz w:val="24"/>
          <w:szCs w:val="24"/>
        </w:rPr>
      </w:pPr>
      <w:r>
        <w:rPr>
          <w:rFonts w:ascii="Times New Roman" w:hAnsi="Times New Roman"/>
          <w:color w:val="000000"/>
          <w:sz w:val="24"/>
        </w:rPr>
        <w:t>Un organisme ou une autre entité semi-publique demandant à être enregistré par l’équipe de coordination du jumelage en tant qu’organisme mandaté en vue de participer à la mise en œuvre d’un projet de jumelage doit soumettre au PCN de son État membre une déclaration sur l’honneur rédigée au moyen du modèle figurant à l’annexe C17 (si nécessaire modifié pour mentionner l’institution en charge de la vérification de la précision et de la véracité des informations fournies).</w:t>
      </w:r>
    </w:p>
    <w:p w14:paraId="08C7B851" w14:textId="63CAE9F6" w:rsidR="006B1CCF" w:rsidRPr="005107DF" w:rsidRDefault="006B1CCF" w:rsidP="006B1CCF">
      <w:pPr>
        <w:spacing w:after="240" w:line="240" w:lineRule="auto"/>
        <w:jc w:val="both"/>
        <w:rPr>
          <w:rFonts w:ascii="Times New Roman" w:hAnsi="Times New Roman" w:cs="Times New Roman"/>
          <w:color w:val="000000"/>
          <w:sz w:val="24"/>
          <w:szCs w:val="24"/>
        </w:rPr>
      </w:pPr>
      <w:r>
        <w:rPr>
          <w:rFonts w:ascii="Times New Roman" w:hAnsi="Times New Roman"/>
          <w:color w:val="000000"/>
          <w:sz w:val="24"/>
        </w:rPr>
        <w:t xml:space="preserve">Chaque État membre doit définir l’institution à qui revient la responsabilité de vérifier la précision et la véracité des informations fournies et de certifier que l’entité demandant le statut d’organisme mandaté répond aux exigences requises. Dans un État membre, cette responsabilité pourrait revenir au PCN tandis que dans un autre, elle pourrait revenir à l’organisme demandant à être enregistré. </w:t>
      </w:r>
    </w:p>
    <w:p w14:paraId="70F6AA8E" w14:textId="77777777" w:rsidR="006B1CCF" w:rsidRPr="00821043"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Dans tous les cas, le PCN de l’État membre transmet la demande d’enregistrement à l’équipe de coordination du jumelage. Quelles que soient les circonstances, la demande d’enregistrement en tant qu’organisme mandaté soumise par le PCN de l’État membre est sans préjudice du droit de l’équipe de coordination du jumelage de procéder à une évaluation aléatoire des demandes avant enregistrement. </w:t>
      </w:r>
    </w:p>
    <w:p w14:paraId="41F9ED17" w14:textId="61A4FA62" w:rsidR="006B1CCF" w:rsidRPr="00821043"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 organisme mandaté doit dans tous les cas tenir le PCN de l’État membre informé de tout changement déterminant son statut d’organisme mandaté et le respect continu des critères. Si un organisme mandaté ne satisfait plus aux critères, il doit en informer le PCN qui prévient ensuite l’équipe de coordination du jumelage qui le retire de la liste des organismes mandatés conformément au point 4.1.4.3.</w:t>
      </w:r>
    </w:p>
    <w:p w14:paraId="2C096D97" w14:textId="42551A80"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 xml:space="preserve">Dans ce cas, l’organisme mandaté concerné doit mettre immédiatement fin à sa participation aux activités du jumelage et peut se voir demander de rembourser les fonds indûment perçus. Il en va de même dans le cas où des évaluations et/ou des audits ultérieurs révéleraient qu’un organisme mandaté ne répondait pas aux critères d’éligibilité pendant la période de mise en œuvre. </w:t>
      </w:r>
    </w:p>
    <w:p w14:paraId="00BDF25B"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fonction de la portée de la contribution, deux types de mandats différents peuvent être enregistrés: </w:t>
      </w:r>
    </w:p>
    <w:p w14:paraId="12073EE4" w14:textId="1B5688CE" w:rsidR="006B1CCF" w:rsidRPr="005107DF" w:rsidRDefault="00DE0595" w:rsidP="006B1CCF">
      <w:pPr>
        <w:pStyle w:val="ListParagraph"/>
        <w:numPr>
          <w:ilvl w:val="0"/>
          <w:numId w:val="250"/>
        </w:numPr>
        <w:spacing w:after="0" w:line="240" w:lineRule="auto"/>
        <w:jc w:val="both"/>
        <w:rPr>
          <w:rFonts w:ascii="Times New Roman" w:hAnsi="Times New Roman"/>
          <w:color w:val="000000"/>
          <w:sz w:val="24"/>
          <w:szCs w:val="24"/>
        </w:rPr>
      </w:pPr>
      <w:r>
        <w:rPr>
          <w:rFonts w:ascii="Times New Roman" w:hAnsi="Times New Roman"/>
          <w:color w:val="000000"/>
          <w:sz w:val="24"/>
        </w:rPr>
        <w:t>P</w:t>
      </w:r>
      <w:r w:rsidR="006B1CCF">
        <w:rPr>
          <w:rFonts w:ascii="Times New Roman" w:hAnsi="Times New Roman"/>
          <w:color w:val="000000"/>
          <w:sz w:val="24"/>
        </w:rPr>
        <w:t xml:space="preserve">lein mandat; </w:t>
      </w:r>
    </w:p>
    <w:p w14:paraId="3B045C4A" w14:textId="61CB0B52" w:rsidR="006B1CCF" w:rsidRPr="005107DF" w:rsidRDefault="00DE0595" w:rsidP="006B1CCF">
      <w:pPr>
        <w:pStyle w:val="ListParagraph"/>
        <w:numPr>
          <w:ilvl w:val="0"/>
          <w:numId w:val="250"/>
        </w:numPr>
        <w:spacing w:after="240" w:line="240" w:lineRule="auto"/>
        <w:ind w:left="714" w:hanging="357"/>
        <w:jc w:val="both"/>
        <w:rPr>
          <w:rFonts w:ascii="Times New Roman" w:hAnsi="Times New Roman"/>
          <w:color w:val="000000"/>
          <w:sz w:val="24"/>
          <w:szCs w:val="24"/>
        </w:rPr>
      </w:pPr>
      <w:r>
        <w:rPr>
          <w:rFonts w:ascii="Times New Roman" w:hAnsi="Times New Roman"/>
          <w:color w:val="000000"/>
          <w:sz w:val="24"/>
        </w:rPr>
        <w:t>M</w:t>
      </w:r>
      <w:r w:rsidR="006B1CCF">
        <w:rPr>
          <w:rFonts w:ascii="Times New Roman" w:hAnsi="Times New Roman"/>
          <w:color w:val="000000"/>
          <w:sz w:val="24"/>
        </w:rPr>
        <w:t>andat ad hoc.</w:t>
      </w:r>
    </w:p>
    <w:p w14:paraId="31554F59" w14:textId="77777777" w:rsidR="006B1CCF" w:rsidRPr="005107DF" w:rsidRDefault="006B1CCF" w:rsidP="006B1CCF">
      <w:pPr>
        <w:spacing w:after="240" w:line="240" w:lineRule="auto"/>
        <w:jc w:val="both"/>
        <w:rPr>
          <w:rFonts w:ascii="Times New Roman" w:eastAsia="Times New Roman" w:hAnsi="Times New Roman" w:cs="Times New Roman"/>
          <w:i/>
          <w:color w:val="000000"/>
          <w:sz w:val="24"/>
          <w:szCs w:val="24"/>
          <w:u w:val="single"/>
        </w:rPr>
      </w:pPr>
      <w:r>
        <w:rPr>
          <w:rFonts w:ascii="Times New Roman" w:hAnsi="Times New Roman"/>
          <w:i/>
          <w:color w:val="000000"/>
          <w:sz w:val="24"/>
          <w:u w:val="single"/>
        </w:rPr>
        <w:t>Plein mandat</w:t>
      </w:r>
    </w:p>
    <w:p w14:paraId="30D1DE01"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Une entité qui satisfait à tous les critères susmentionnés peut demander à son PCN d’envoyer une demande d’enregistrement à l’équipe de coordination du jumelage. Un organisme pleinement mandaté peut participer à tous les projets de jumelage après avoir été inscrit sur la liste des organismes pleinement mandatés sur la page internet de la DG NEAR.</w:t>
      </w:r>
    </w:p>
    <w:p w14:paraId="7E3E8994" w14:textId="7ED7F79D"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Il est entendu qu’outre le respect des critères susmentionnés, l’entité devra disposer d’un </w:t>
      </w:r>
      <w:r>
        <w:rPr>
          <w:rFonts w:ascii="Times New Roman" w:hAnsi="Times New Roman"/>
          <w:b/>
          <w:sz w:val="24"/>
        </w:rPr>
        <w:t>personnel permanent suffisant et proportionné</w:t>
      </w:r>
      <w:r>
        <w:rPr>
          <w:rFonts w:ascii="Times New Roman" w:hAnsi="Times New Roman"/>
          <w:color w:val="000000"/>
          <w:sz w:val="24"/>
        </w:rPr>
        <w:t xml:space="preserve">, c’est-à-dire que le personnel permanent doit être proportionnel aux exigences du projet afin d’éviter la nécessité de recourir à la sous-traitance ou d’employer temporairement des experts pour mener à bien les missions. </w:t>
      </w:r>
    </w:p>
    <w:p w14:paraId="4030DBF7" w14:textId="77777777" w:rsidR="006B1CCF" w:rsidRPr="005107DF" w:rsidRDefault="006B1CCF" w:rsidP="006B1CCF">
      <w:pPr>
        <w:spacing w:after="240" w:line="240" w:lineRule="auto"/>
        <w:jc w:val="both"/>
        <w:rPr>
          <w:rFonts w:ascii="Times New Roman" w:eastAsia="Times New Roman" w:hAnsi="Times New Roman" w:cs="Times New Roman"/>
          <w:i/>
          <w:color w:val="000000"/>
          <w:sz w:val="24"/>
          <w:szCs w:val="24"/>
          <w:u w:val="single"/>
        </w:rPr>
      </w:pPr>
      <w:r>
        <w:rPr>
          <w:rFonts w:ascii="Times New Roman" w:hAnsi="Times New Roman"/>
          <w:i/>
          <w:color w:val="000000"/>
          <w:sz w:val="24"/>
          <w:u w:val="single"/>
        </w:rPr>
        <w:t>Mandat ad hoc</w:t>
      </w:r>
    </w:p>
    <w:p w14:paraId="2D736D78" w14:textId="06B8FD1B"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 organisme ou une autre entité semi-publique qui satisfait aux critères officiels, mais qui ne peut apporter qu’une contribution limitée et spécialisée à un projet de jumelage, peut se voir accorder un mandat «</w:t>
      </w:r>
      <w:r>
        <w:rPr>
          <w:rFonts w:ascii="Times New Roman" w:hAnsi="Times New Roman"/>
          <w:sz w:val="24"/>
        </w:rPr>
        <w:t>ad hoc». Lorsqu’il demande un enregistrement avec un statut ad hoc, le PCN de l’État membre précise le projet de jumelage concerné. Ces organismes ne sont pas inscrits sur la liste publique figurant sur la page internet relative au jumelage</w:t>
      </w:r>
      <w:r>
        <w:rPr>
          <w:rFonts w:ascii="Times New Roman" w:hAnsi="Times New Roman"/>
          <w:color w:val="000000"/>
          <w:sz w:val="24"/>
          <w:vertAlign w:val="superscript"/>
        </w:rPr>
        <w:footnoteReference w:id="11"/>
      </w:r>
      <w:r>
        <w:rPr>
          <w:rFonts w:ascii="Times New Roman" w:hAnsi="Times New Roman"/>
          <w:color w:val="000000"/>
          <w:sz w:val="24"/>
        </w:rPr>
        <w:t>.</w:t>
      </w:r>
    </w:p>
    <w:p w14:paraId="403B6D29" w14:textId="4DE87AC5"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universités et les instituts de recherche publics satisfaisant aux critères et dont l’expertise spécialisée répond aux besoins mis en évidence dans les fiches de jumelage sont des exemples d’entités pouvant devenir des organismes mandatés ad hoc.</w:t>
      </w:r>
    </w:p>
    <w:p w14:paraId="42D78C32"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personnel minimum requis pour pouvoir bénéficier du statut d’organisme mandaté ad hoc dépend de chaque projet de jumelage.</w:t>
      </w:r>
    </w:p>
    <w:p w14:paraId="622A2CE2" w14:textId="77777777" w:rsidR="006B1CCF" w:rsidRPr="005107DF" w:rsidRDefault="006B1CCF" w:rsidP="006B1CCF">
      <w:pPr>
        <w:spacing w:after="240" w:line="240" w:lineRule="auto"/>
        <w:jc w:val="both"/>
        <w:rPr>
          <w:rFonts w:ascii="Times New Roman" w:eastAsia="Times New Roman" w:hAnsi="Times New Roman" w:cs="Times New Roman"/>
          <w:i/>
          <w:color w:val="000000"/>
          <w:sz w:val="24"/>
          <w:szCs w:val="24"/>
          <w:u w:val="single"/>
        </w:rPr>
      </w:pPr>
      <w:r>
        <w:rPr>
          <w:rFonts w:ascii="Times New Roman" w:hAnsi="Times New Roman"/>
          <w:i/>
          <w:color w:val="000000"/>
          <w:sz w:val="24"/>
          <w:u w:val="single"/>
        </w:rPr>
        <w:t>Organismes généraux de gestion</w:t>
      </w:r>
    </w:p>
    <w:p w14:paraId="015447CA" w14:textId="77777777" w:rsidR="00821043" w:rsidRDefault="006B1CCF" w:rsidP="006B1CCF">
      <w:pPr>
        <w:spacing w:after="240" w:line="240" w:lineRule="auto"/>
        <w:jc w:val="both"/>
        <w:rPr>
          <w:rFonts w:ascii="Times New Roman" w:hAnsi="Times New Roman" w:cs="Times New Roman"/>
          <w:sz w:val="24"/>
          <w:szCs w:val="24"/>
        </w:rPr>
      </w:pPr>
      <w:r>
        <w:rPr>
          <w:rFonts w:ascii="Times New Roman" w:hAnsi="Times New Roman"/>
          <w:color w:val="000000"/>
          <w:sz w:val="24"/>
        </w:rPr>
        <w:t>Les organismes généraux de gestion mis en place dans certains États membres en vue d’assurer la gestion financière et logistique et/ou les fonctions de paiement au service des administrations publiques peuvent bénéficier d’un plein mandat s’ils satisfont aux critères susmentionnés.</w:t>
      </w:r>
    </w:p>
    <w:p w14:paraId="161F8CE2" w14:textId="77777777" w:rsidR="00821043" w:rsidRDefault="006B1CCF" w:rsidP="006B1CCF">
      <w:pPr>
        <w:spacing w:after="240" w:line="240" w:lineRule="auto"/>
        <w:jc w:val="both"/>
        <w:rPr>
          <w:rFonts w:ascii="Times New Roman" w:hAnsi="Times New Roman" w:cs="Times New Roman"/>
          <w:sz w:val="24"/>
        </w:rPr>
      </w:pPr>
      <w:r>
        <w:rPr>
          <w:rFonts w:ascii="Times New Roman" w:hAnsi="Times New Roman"/>
          <w:sz w:val="24"/>
        </w:rPr>
        <w:t>Dans le cas où l’État membre prévoirait d’utiliser un organisme mandaté pour assurer la gestion financière et logistique, y compris les fonctions de paiement, cet organisme doit être mentionné dans le contrat (dans les conditions particulières).</w:t>
      </w:r>
    </w:p>
    <w:p w14:paraId="0708C853" w14:textId="536C807F" w:rsidR="006B1CCF" w:rsidRPr="005107DF" w:rsidRDefault="006B1CCF" w:rsidP="006B1CCF">
      <w:pPr>
        <w:spacing w:after="240" w:line="240" w:lineRule="auto"/>
        <w:jc w:val="both"/>
        <w:rPr>
          <w:rFonts w:ascii="Times New Roman" w:eastAsia="Times New Roman" w:hAnsi="Times New Roman" w:cs="Times New Roman"/>
          <w:sz w:val="24"/>
          <w:szCs w:val="24"/>
        </w:rPr>
      </w:pPr>
      <w:r>
        <w:rPr>
          <w:rFonts w:ascii="Times New Roman" w:hAnsi="Times New Roman"/>
          <w:sz w:val="24"/>
        </w:rPr>
        <w:lastRenderedPageBreak/>
        <w:t xml:space="preserve">Si une telle entité a été soumise à l’évaluation des six piliers, elle ne doit pas soumettre d’enregistrement en tant qu’organisme mandaté, mais est considérée comme un organisme pleinement mandaté éligible. </w:t>
      </w:r>
    </w:p>
    <w:p w14:paraId="6922445B" w14:textId="77777777" w:rsidR="006B1CCF" w:rsidRPr="005107DF" w:rsidRDefault="006B1CCF" w:rsidP="006B1CCF">
      <w:pPr>
        <w:pStyle w:val="Heading4"/>
      </w:pPr>
      <w:r>
        <w:t xml:space="preserve">4.1.4.3 Enregistrement des organismes mandatés </w:t>
      </w:r>
    </w:p>
    <w:p w14:paraId="3F28C301" w14:textId="280417D0" w:rsidR="003356CD" w:rsidRDefault="006B1CCF" w:rsidP="006B1CCF">
      <w:pPr>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L’équipe de coordination du jumelage </w:t>
      </w:r>
      <w:r>
        <w:rPr>
          <w:rFonts w:ascii="Times New Roman" w:hAnsi="Times New Roman"/>
          <w:b/>
          <w:color w:val="000000"/>
          <w:sz w:val="24"/>
        </w:rPr>
        <w:t>enregistre</w:t>
      </w:r>
      <w:r>
        <w:rPr>
          <w:rFonts w:ascii="Times New Roman" w:hAnsi="Times New Roman"/>
          <w:color w:val="000000"/>
          <w:sz w:val="24"/>
        </w:rPr>
        <w:t xml:space="preserve"> les demandes dans une liste ouverte d’entités mandatées pour agir au nom des administrations publiques sur la base des documents fournis à l’annexe C17. </w:t>
      </w:r>
    </w:p>
    <w:p w14:paraId="55E6685B" w14:textId="19CDD99A" w:rsidR="00AD4235" w:rsidRDefault="003356CD" w:rsidP="006B1CCF">
      <w:pPr>
        <w:jc w:val="both"/>
        <w:rPr>
          <w:rFonts w:ascii="Times New Roman" w:eastAsia="Times New Roman" w:hAnsi="Times New Roman" w:cs="Times New Roman"/>
          <w:color w:val="000000"/>
          <w:sz w:val="24"/>
          <w:szCs w:val="24"/>
        </w:rPr>
      </w:pPr>
      <w:r>
        <w:rPr>
          <w:rFonts w:ascii="Times New Roman" w:hAnsi="Times New Roman"/>
          <w:color w:val="000000"/>
          <w:sz w:val="24"/>
        </w:rPr>
        <w:t>Le statut d’organisme mandaté doit être enregistré avant la soumission d’une proposition par l’État membre concerné.</w:t>
      </w:r>
    </w:p>
    <w:p w14:paraId="27C68A34" w14:textId="77777777" w:rsidR="00D0198E" w:rsidRPr="005107DF" w:rsidRDefault="00D0198E" w:rsidP="007338F0">
      <w:pPr>
        <w:pStyle w:val="Heading3"/>
      </w:pPr>
      <w:bookmarkStart w:id="191" w:name="_Toc462416447"/>
      <w:bookmarkStart w:id="192" w:name="_Toc464459866"/>
      <w:bookmarkStart w:id="193" w:name="_Toc476063248"/>
      <w:bookmarkStart w:id="194" w:name="_Toc476067730"/>
      <w:bookmarkStart w:id="195" w:name="_Toc517434374"/>
      <w:bookmarkStart w:id="196" w:name="_Toc2860937"/>
      <w:bookmarkEnd w:id="186"/>
      <w:bookmarkEnd w:id="187"/>
      <w:bookmarkEnd w:id="188"/>
      <w:bookmarkEnd w:id="189"/>
      <w:bookmarkEnd w:id="190"/>
      <w:r>
        <w:t xml:space="preserve">4.1.5 Recrues temporaires et </w:t>
      </w:r>
      <w:bookmarkEnd w:id="191"/>
      <w:bookmarkEnd w:id="192"/>
      <w:bookmarkEnd w:id="193"/>
      <w:bookmarkEnd w:id="194"/>
      <w:r>
        <w:t>retraités</w:t>
      </w:r>
      <w:bookmarkEnd w:id="195"/>
      <w:bookmarkEnd w:id="196"/>
    </w:p>
    <w:p w14:paraId="06B0B739"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rPr>
      </w:pPr>
      <w:r>
        <w:rPr>
          <w:rFonts w:ascii="Times New Roman" w:hAnsi="Times New Roman"/>
          <w:color w:val="000000"/>
          <w:sz w:val="24"/>
        </w:rPr>
        <w:t>Les administrations ou les organismes mandatés d’un État membre peuvent, à titre exceptionnel, recruter des membres du personnel avec des contrats temporaires. Le supérieur hiérarchique sous l’autorité duquel ils travaillent et l’entité chargée de les assister doivent être identifiés afin de préciser leur relation avec l’administration ou l’organisme mandaté. L’administration ou l’organisme mandaté de l’État membre concerné est pleinement responsable de l’éligibilité et de la qualité des services fournis par ces experts et garantit l’absence de tout conflit d’intérêts.</w:t>
      </w:r>
    </w:p>
    <w:p w14:paraId="4471C060" w14:textId="7FB11110" w:rsidR="002D71AC" w:rsidRPr="005107DF" w:rsidRDefault="00D0198E" w:rsidP="002D71AC">
      <w:pPr>
        <w:spacing w:after="240" w:line="240" w:lineRule="auto"/>
        <w:jc w:val="both"/>
        <w:rPr>
          <w:rFonts w:ascii="Times New Roman" w:eastAsia="Calibri" w:hAnsi="Times New Roman" w:cs="Times New Roman"/>
          <w:color w:val="000000"/>
          <w:sz w:val="24"/>
          <w:szCs w:val="24"/>
        </w:rPr>
      </w:pPr>
      <w:r>
        <w:rPr>
          <w:rFonts w:ascii="Times New Roman" w:hAnsi="Times New Roman"/>
          <w:color w:val="000000"/>
          <w:sz w:val="24"/>
        </w:rPr>
        <w:t>Étant donné qu’il est important que tout expert mobilisé dans le cadre d’un jumelage connaisse parfaitement les styles, les méthodes et les approches de travail des administrations ou des organismes mandatés de l’État membre chargés de la mise en œuvre du projet, un agent temporaire peut être lié par contrat à ces organismes pour une période minimale de six mois avant leur participation à l’activité pertinente du projet de jumelage. Seuls les membres du personnel des organismes mandatés, et non du personnel de ses affiliés, sont considérés comme éligibles.</w:t>
      </w:r>
    </w:p>
    <w:p w14:paraId="5AEE0554"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rPr>
      </w:pPr>
      <w:r>
        <w:rPr>
          <w:rFonts w:ascii="Times New Roman" w:hAnsi="Times New Roman"/>
          <w:color w:val="000000"/>
          <w:sz w:val="24"/>
        </w:rPr>
        <w:t xml:space="preserve">Les anciens fonctionnaires ou agents assimilés de l’État membre ayant pris leur retraite moins de trois ans avant la date de diffusion de la fiche de jumelage peuvent être réengagés en tant qu’agents temporaires en vue de leur contribution à un projet de jumelage. Cette réintégration doit être officialisée par un contrat.  </w:t>
      </w:r>
    </w:p>
    <w:p w14:paraId="784F5B47"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rPr>
      </w:pPr>
      <w:r>
        <w:rPr>
          <w:rFonts w:ascii="Times New Roman" w:hAnsi="Times New Roman"/>
          <w:color w:val="000000"/>
          <w:sz w:val="24"/>
        </w:rPr>
        <w:t>Les administrations ou organismes mandatés de l’État membre et l’expert concerné restent seuls responsables du respect de la législation nationale relative à la possibilité, pour un fonctionnaire ou un agent assimilé retraité, d’exercer une activité professionnelle.</w:t>
      </w:r>
    </w:p>
    <w:p w14:paraId="176DA4FD"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rPr>
      </w:pPr>
      <w:r>
        <w:rPr>
          <w:rFonts w:ascii="Times New Roman" w:hAnsi="Times New Roman"/>
          <w:color w:val="000000"/>
          <w:sz w:val="24"/>
        </w:rPr>
        <w:t>Les agents temporaires ou réengagés ne peuvent occuper la position de chef de projet.</w:t>
      </w:r>
    </w:p>
    <w:p w14:paraId="645F2A7E" w14:textId="77777777" w:rsidR="00D0198E" w:rsidRPr="005107DF" w:rsidRDefault="00D0198E" w:rsidP="007338F0">
      <w:pPr>
        <w:pStyle w:val="Heading3"/>
      </w:pPr>
      <w:bookmarkStart w:id="197" w:name="_Toc462416448"/>
      <w:bookmarkStart w:id="198" w:name="_Toc464459867"/>
      <w:bookmarkStart w:id="199" w:name="_Toc476063249"/>
      <w:bookmarkStart w:id="200" w:name="_Toc476067731"/>
      <w:bookmarkStart w:id="201" w:name="_Toc517434375"/>
      <w:bookmarkStart w:id="202" w:name="_Toc2860938"/>
      <w:r>
        <w:t>4.1.6 Le conseiller résident de jumelage (CRJ)</w:t>
      </w:r>
      <w:bookmarkEnd w:id="197"/>
      <w:bookmarkEnd w:id="198"/>
      <w:bookmarkEnd w:id="199"/>
      <w:bookmarkEnd w:id="200"/>
      <w:bookmarkEnd w:id="201"/>
      <w:bookmarkEnd w:id="202"/>
    </w:p>
    <w:p w14:paraId="31EE0089" w14:textId="77777777" w:rsidR="00D0198E" w:rsidRPr="005107DF" w:rsidRDefault="00D0198E" w:rsidP="007338F0">
      <w:pPr>
        <w:pStyle w:val="Heading4"/>
      </w:pPr>
      <w:bookmarkStart w:id="203" w:name="_Toc462416449"/>
      <w:bookmarkStart w:id="204" w:name="_Toc464459868"/>
      <w:bookmarkStart w:id="205" w:name="_Toc476063250"/>
      <w:bookmarkStart w:id="206" w:name="_Toc476067732"/>
      <w:r>
        <w:t xml:space="preserve">4.1.6.1 Observations </w:t>
      </w:r>
      <w:bookmarkEnd w:id="203"/>
      <w:bookmarkEnd w:id="204"/>
      <w:bookmarkEnd w:id="205"/>
      <w:bookmarkEnd w:id="206"/>
      <w:r>
        <w:t>générales</w:t>
      </w:r>
    </w:p>
    <w:p w14:paraId="12975CA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CRJ pourra exercer ses activités dans tous les domaines où ses services sont jugés nécessaires conformément au contrat de subvention de jumelage, à condition qu’il n’y ait pas de conflit d’intérêts avec son institution d’origine (administration publique, organisme ou autre entité semi-publique).</w:t>
      </w:r>
    </w:p>
    <w:p w14:paraId="53CAB7E1" w14:textId="77777777" w:rsidR="002D71AC" w:rsidRPr="005107DF" w:rsidRDefault="002D71AC" w:rsidP="002D71AC">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Il peut provenir d’une administration ou d’un organisme mandaté (plein mandat ou mandat ad hoc) d’un État membre. </w:t>
      </w:r>
    </w:p>
    <w:p w14:paraId="22FD0F9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 xml:space="preserve">Le CRJ, en sa qualité de représentant d’un État membre, ne peut engager l’administration bénéficiaire et/ou l’UE. </w:t>
      </w:r>
    </w:p>
    <w:p w14:paraId="614B5643" w14:textId="77777777" w:rsidR="00D0198E" w:rsidRPr="005107DF" w:rsidRDefault="002D71AC"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Il peut avoir des contacts avec sa propre ambassade et recevoir son assistance comme tout autre ressortissant en pays étranger. Toutefois, lors de l’exercice de ses fonctions, le CRJ doit agir dans le seul intérêt de l’administration bénéficiaire et de l’UE.</w:t>
      </w:r>
    </w:p>
    <w:p w14:paraId="22393CB5"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Le CRJ qui est appelé à réagir à une question à laquelle il porte un intérêt personnel et qui pourrait avoir une incidence sur son indépendance doit immédiatement en informer le CP de l’État membre. Celui-ci décide de la marche à suivre en accord avec l’administration contractante et la délégation de l’UE (lorsque celle-ci n’est pas l’administration contractante).</w:t>
      </w:r>
    </w:p>
    <w:p w14:paraId="08DAA29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CRJ observe la plus grande discrétion quant aux informations dont il prend connaissance dans le cadre de l’exécution de sa mission.</w:t>
      </w:r>
    </w:p>
    <w:p w14:paraId="469CC64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Il doit s’abstenir de tout acte et, en particulier, de toute expression publique d’opinions qui reflètent sa position personnelle. </w:t>
      </w:r>
    </w:p>
    <w:p w14:paraId="076FBE4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CRJ ne communique, sous quelque forme que ce soit, aucun document ni aucune information qui n’aurait pas été rendu public, sans l’autorisation expresse de l’administration contractante et de la délégation de l’UE (lorsque celle-ci n’est pas l’administration contractante). Il reste lié par cette obligation après la fin de la période de détachement.</w:t>
      </w:r>
    </w:p>
    <w:p w14:paraId="64E388E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CRJ, agissant seul ou collectivement, s’abstient de publier des éléments liés à ses activités au sein de l’administration bénéficiaire ou de l’UE, ou de provoquer la publication de tels éléments, s’il n’y a pas été autorisé par la Commission (siège ou délégation) et par l’administration bénéficiaire, conformément aux modalités et règles en vigueur dans le pays d’accueil. </w:t>
      </w:r>
    </w:p>
    <w:p w14:paraId="0806E67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Tout résultat obtenu par le CRJ dans le cadre de l’exécution de sa mission devient la propriété du bénéficiaire. Le bénéficiaire accorde à la Commission le droit d’utiliser librement les résultats de ce travail, à condition que cela n’influence pas les intérêts du bénéficiaire et que les résultats ne soient pas utilisés à des fins commerciales.</w:t>
      </w:r>
    </w:p>
    <w:p w14:paraId="0BC4756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CRJ réside sur le lieu de sa mission ou à une distance peu éloignée de celui-ci, selon ce qui est compatible avec la bonne exécution de ses tâches.</w:t>
      </w:r>
    </w:p>
    <w:p w14:paraId="0AD94BF6" w14:textId="02E28511"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À titre exceptionnel, il peut s’agir d’un agent recruté temporairement sous contrat par son administration d’origine, à condition que ce contrat intègre pleinement le CRJ au sein de l’administration/de l’organisme mandaté de l’État membre. Ce CRJ doit donc être lié par contrat à l’institution de l’État membre au moins six mois avant sa mission, à compter du début de la période de mise en œuvre.</w:t>
      </w:r>
    </w:p>
    <w:p w14:paraId="4D43D7C9" w14:textId="77777777" w:rsidR="00D0198E" w:rsidRPr="005107DF" w:rsidRDefault="00D0198E" w:rsidP="007338F0">
      <w:pPr>
        <w:pStyle w:val="Heading4"/>
      </w:pPr>
      <w:bookmarkStart w:id="207" w:name="_Toc462416450"/>
      <w:bookmarkStart w:id="208" w:name="_Toc464459869"/>
      <w:bookmarkStart w:id="209" w:name="_Toc476063251"/>
      <w:bookmarkStart w:id="210" w:name="_Toc476067733"/>
      <w:r>
        <w:t xml:space="preserve">4.1.6.2 L’origine du CRJ </w:t>
      </w:r>
      <w:bookmarkEnd w:id="207"/>
      <w:bookmarkEnd w:id="208"/>
      <w:bookmarkEnd w:id="209"/>
      <w:bookmarkEnd w:id="210"/>
    </w:p>
    <w:p w14:paraId="3EBA156F" w14:textId="77777777" w:rsidR="00D0198E" w:rsidRPr="005107DF" w:rsidRDefault="00733461"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Les fonctionnaires ou agents assimilés d’un État membre sont des fonctionnaires ou autres agents contractuels d’une administration ou d’un organisme mandaté agréé d’un État membre qui sont mobilisés en tant que CRJ en vue de la mise en œuvre d’un projet de jumelage conformément au point 4.1.4. </w:t>
      </w:r>
      <w:r>
        <w:rPr>
          <w:rFonts w:ascii="Times New Roman" w:hAnsi="Times New Roman"/>
          <w:color w:val="000000"/>
          <w:sz w:val="24"/>
        </w:rPr>
        <w:t xml:space="preserve">Un État membre peut proposer en tant que CRJ un ancien employé d’une institution publique ou d’un organisme mandaté parti à la retraite moins de trois ans avant la date de diffusion de la fiche de jumelage. </w:t>
      </w:r>
    </w:p>
    <w:p w14:paraId="03D50DE2" w14:textId="77777777" w:rsidR="00D0198E" w:rsidRPr="005107DF" w:rsidRDefault="00D0198E" w:rsidP="007338F0">
      <w:pPr>
        <w:pStyle w:val="Heading4"/>
      </w:pPr>
      <w:bookmarkStart w:id="211" w:name="_Toc462416451"/>
      <w:bookmarkStart w:id="212" w:name="_Toc464459870"/>
      <w:bookmarkStart w:id="213" w:name="_Toc476063252"/>
      <w:bookmarkStart w:id="214" w:name="_Toc476067734"/>
      <w:r>
        <w:lastRenderedPageBreak/>
        <w:t xml:space="preserve">4.1.6.3 Tâches </w:t>
      </w:r>
      <w:bookmarkEnd w:id="211"/>
      <w:bookmarkEnd w:id="212"/>
      <w:bookmarkEnd w:id="213"/>
      <w:bookmarkEnd w:id="214"/>
      <w:r>
        <w:t>générales</w:t>
      </w:r>
    </w:p>
    <w:p w14:paraId="1F82405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CRJ est le pilier d’un projet de jumelage pendant toute la durée de celui-ci et est responsable de sa mise en œuvre quotidienne. </w:t>
      </w:r>
    </w:p>
    <w:p w14:paraId="62EA132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Au plus tard six semaines après son arrivée dans le pays bénéficiaire, le CRJ élabore le plan de travail initial en étroite collaboration avec l’ensemble des acteurs concernés et sur la base des résultats que devrait produire le projet. Après signature du plan de travail initial par les deux chefs de projet, le CRJ veille à la mise en œuvre correcte et en temps voulu des activités conformément aux plans de travail initial et ultérieurs.</w:t>
      </w:r>
    </w:p>
    <w:p w14:paraId="48EDB40E" w14:textId="66D2E70A"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CRJ est censé offrir des conseils et une assistance technique aux représentants de l’administration bénéficiaire. Il tient le CP du bénéficiaire informé de la mise en œuvre et présente des rapports réguliers au CP de l’État membre. S’il y a lieu, il doit également contribuer activement aux tâches de surveillance du secteur menées dans le pays bénéficiaire.</w:t>
      </w:r>
    </w:p>
    <w:p w14:paraId="622164B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Durant la mise en œuvre du projet, le CRJ met régulièrement à jour le plan de travail qui doit être transmis au comité de pilotage du projet sous l’autorité du CP de l’État membre.</w:t>
      </w:r>
    </w:p>
    <w:p w14:paraId="36217BF9" w14:textId="77777777" w:rsidR="00D0198E" w:rsidRPr="005107DF" w:rsidRDefault="00D0198E" w:rsidP="007338F0">
      <w:pPr>
        <w:pStyle w:val="Heading4"/>
      </w:pPr>
      <w:bookmarkStart w:id="215" w:name="_Toc462416452"/>
      <w:bookmarkStart w:id="216" w:name="_Toc464459871"/>
      <w:bookmarkStart w:id="217" w:name="_Toc476063253"/>
      <w:bookmarkStart w:id="218" w:name="_Toc476067735"/>
      <w:r>
        <w:t>4.1.6.4 Qualifications</w:t>
      </w:r>
      <w:bookmarkEnd w:id="215"/>
      <w:bookmarkEnd w:id="216"/>
      <w:bookmarkEnd w:id="217"/>
      <w:bookmarkEnd w:id="218"/>
    </w:p>
    <w:p w14:paraId="3D9DE1D7" w14:textId="69E00DD0" w:rsidR="001665BC" w:rsidRPr="005107DF" w:rsidRDefault="001665BC" w:rsidP="00CE024A">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 CRJ proposé pour un projet de jumelage doit posséder soit un diplôme universitaire, soit au moins huit ans d’expérience professionnelle dans le secteur pertinent en lien avec la mise en œuvre de l’acquis de l’Union et/ou les objectifs stratégiques et les résultats/produits obligatoires convenus par l’UE et la ou les administrations bénéficiaires définies dans la fiche de jumelage. Un CRJ ayant un diplôme universitaire doit posséder au moins trois ans d’expérience professionnelle spécifique.</w:t>
      </w:r>
    </w:p>
    <w:p w14:paraId="77406D1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Outre une bonne connaissance du domaine du projet de jumelage, le CRJ doit également posséder une expérience de la structure et de la mise en œuvre institutionnelles dans le secteur concerné. La connaissance comparative des systèmes d’autres États membres, ainsi que de bonnes capacités de gestion et de communication et des compétences linguistiques constituent d’importants atouts. Les connaissances spécialisées peuvent être fournies par le ou les chefs de projet de l’État membre et/ou des experts de courte durée.</w:t>
      </w:r>
    </w:p>
    <w:p w14:paraId="7DA5914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profil du CRJ est évalué en même temps que celui du reste de l’équipe (en particulier le CP de l’État membre et les responsables de volets) et le manque d’expérience du CRJ peut être compensé par la qualité du chef de projet des responsables de volets faisant partie de l’équipe.</w:t>
      </w:r>
    </w:p>
    <w:p w14:paraId="53C311C1" w14:textId="77777777" w:rsidR="00D0198E" w:rsidRPr="005107DF" w:rsidRDefault="00D0198E" w:rsidP="007338F0">
      <w:pPr>
        <w:pStyle w:val="Heading4"/>
      </w:pPr>
      <w:bookmarkStart w:id="219" w:name="_Toc462416453"/>
      <w:bookmarkStart w:id="220" w:name="_Toc464459872"/>
      <w:bookmarkStart w:id="221" w:name="_Toc476063254"/>
      <w:bookmarkStart w:id="222" w:name="_Toc476067736"/>
      <w:r>
        <w:t>4.1.6.5 Statut et conditions de travail</w:t>
      </w:r>
      <w:bookmarkEnd w:id="219"/>
      <w:bookmarkEnd w:id="220"/>
      <w:bookmarkEnd w:id="221"/>
      <w:bookmarkEnd w:id="222"/>
    </w:p>
    <w:p w14:paraId="7D8D058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Le CRJ maintient sa relation d’emploi rémunéré et continue d’occuper son poste d’origine tout au long de la période de détachement. Tous les coûts doivent être remboursés sur le budget du projet de jumelage. Afin de pouvoir se concentrer sur l’essence du projet, le CRJ</w:t>
      </w:r>
      <w:r>
        <w:rPr>
          <w:rFonts w:ascii="Times New Roman" w:hAnsi="Times New Roman"/>
          <w:color w:val="000000"/>
          <w:sz w:val="24"/>
        </w:rPr>
        <w:t xml:space="preserve"> reçoit normalement de l’État membre le soutien nécessaire pour les tâches logistiques, comptables et administratives.</w:t>
      </w:r>
    </w:p>
    <w:p w14:paraId="261A2C3E" w14:textId="0F4BD696" w:rsidR="00D0198E" w:rsidRPr="005107DF" w:rsidRDefault="00D0198E" w:rsidP="00D0198E">
      <w:pPr>
        <w:spacing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L’institution qui détache le CRJ est indemnisée sur la base d’une déclaration comptable analytique conformément à l’annexe B et selon les modalités décrites à l’annexe A7 du contrat de subvention de jumelage. </w:t>
      </w:r>
    </w:p>
    <w:p w14:paraId="5520077C" w14:textId="77777777" w:rsidR="00D0198E" w:rsidRPr="005107DF" w:rsidRDefault="00D0198E" w:rsidP="001628B5">
      <w:pPr>
        <w:spacing w:after="240" w:line="240" w:lineRule="auto"/>
        <w:jc w:val="both"/>
        <w:rPr>
          <w:rFonts w:ascii="Times New Roman" w:eastAsia="Times New Roman" w:hAnsi="Times New Roman" w:cs="Times New Roman"/>
          <w:color w:val="000000"/>
          <w:sz w:val="24"/>
          <w:szCs w:val="20"/>
        </w:rPr>
      </w:pPr>
      <w:r>
        <w:rPr>
          <w:rFonts w:ascii="Times New Roman" w:hAnsi="Times New Roman"/>
          <w:sz w:val="24"/>
        </w:rPr>
        <w:t xml:space="preserve">Dans leurs déclarations comptables analytiques, les États membres prennent soin de préciser tous les éléments devant être pris en considération conformément à l’annexe B. </w:t>
      </w:r>
    </w:p>
    <w:p w14:paraId="48CC0C6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lastRenderedPageBreak/>
        <w:t>Le CRJ et les membres de sa famille proche qui l’accompagnent de manière permanente ont droit aux mêmes avantages et privilèges que ceux généralement accordés par le bénéficiaire aux autres travailleurs expatriés dans le cadre de tout autre accord bilatéral ou multilatéral ou au titre de programmes de coopération technique et/ou financière.</w:t>
      </w:r>
    </w:p>
    <w:p w14:paraId="57044B31" w14:textId="77777777" w:rsidR="00D0198E" w:rsidRPr="005107DF" w:rsidRDefault="00D0198E" w:rsidP="00D0198E">
      <w:pPr>
        <w:spacing w:after="240" w:line="240" w:lineRule="auto"/>
        <w:jc w:val="both"/>
        <w:rPr>
          <w:rFonts w:ascii="Times New Roman" w:eastAsia="Times New Roman" w:hAnsi="Times New Roman" w:cs="Times New Roman"/>
          <w:sz w:val="24"/>
          <w:szCs w:val="20"/>
        </w:rPr>
      </w:pPr>
      <w:r>
        <w:rPr>
          <w:rFonts w:ascii="Times New Roman" w:hAnsi="Times New Roman"/>
          <w:color w:val="000000"/>
          <w:sz w:val="24"/>
        </w:rPr>
        <w:t xml:space="preserve">Le CRJ est invité à demander une «lettre de mission» à la délégation de l’UE dans le pays d’accueil avant son départ afin de faciliter les procédures d’entrée en fonctions. Il est également conseillé au CRJ de demander un permis de séjour et de travail à l’ambassade du pays d’accueil dans son pays d’origine avant son arrivée dans le pays bénéficiaire. </w:t>
      </w:r>
    </w:p>
    <w:p w14:paraId="5AC5821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L’horaire de travail en vigueur au sein de l’administration bénéficiaire définit l’horaire du CRJ, qui doit travailler à temps plein. La gestion et le contrôle des jours de congé et du temps de travail relèvent de la responsabilité du CP de l’État membre, sur la base de la contribution du CP du bénéficiaire ou de l’homologue du CRJ.</w:t>
      </w:r>
    </w:p>
    <w:p w14:paraId="661CD71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L’administration bénéficiaire est informée à l’avance de tout congé autorisé du CRJ (accordé au préalable par le CP de l’État membre) et aussi rapidement que possible de tout congé de maladie et de sa durée.</w:t>
      </w:r>
    </w:p>
    <w:p w14:paraId="7B757229" w14:textId="77777777" w:rsidR="00D237C3"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CRJ peut exceptionnellement, avec l’autorisation des CP du bénéficiaire et de l’État membre, intervenir en tant qu’expert de courte durée dans un autre projet de jumelage ou dans le cadre d’activités TAIEX pendant un maximum de 10 jours ouvrables par an. Les frais de voyage et l’indemnité journalière seront alors versés par l’autre projet et aucune rémunération supplémentaire ne sera due. L’indemnité journalière forfaitaire fixée dans le contrat de jumelage est maintenue même pour les jours d’affectation à l’autre projet.</w:t>
      </w:r>
    </w:p>
    <w:p w14:paraId="63A98E0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conseiller résident de jumelage se conforme à la législation fiscale de son pays d’origine en ce qui concerne les revenus perçus lors de son détachement sur le lieu de sa mission. </w:t>
      </w:r>
    </w:p>
    <w:p w14:paraId="7ABB45A3"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éventuelles exonérations des droits de douane, des droits d’importation, des taxes et autres charges fiscales applicables au CRJ sont régies par le ou les accords relatifs à la mise en œuvre de l’assistance financière de l’Union qui ont été signés entre la Commission et le bénéficiaire et/ou par le statut accordé au CRJ par l’État membre détachant celui-ci.</w:t>
      </w:r>
    </w:p>
    <w:p w14:paraId="7D6B71E7" w14:textId="77777777" w:rsidR="00D0198E" w:rsidRPr="005107DF" w:rsidRDefault="00D0198E" w:rsidP="007338F0">
      <w:pPr>
        <w:pStyle w:val="Heading4"/>
      </w:pPr>
      <w:bookmarkStart w:id="223" w:name="_Toc462416454"/>
      <w:bookmarkStart w:id="224" w:name="_Toc464459873"/>
      <w:bookmarkStart w:id="225" w:name="_Toc476063255"/>
      <w:bookmarkStart w:id="226" w:name="_Toc476067737"/>
      <w:r>
        <w:t>4.1.6.6 Formation au siège de la Commission</w:t>
      </w:r>
      <w:bookmarkEnd w:id="223"/>
      <w:bookmarkEnd w:id="224"/>
      <w:bookmarkEnd w:id="225"/>
      <w:bookmarkEnd w:id="226"/>
    </w:p>
    <w:p w14:paraId="1DFD9625" w14:textId="5952D936" w:rsidR="00D0198E" w:rsidRPr="005107DF" w:rsidRDefault="0028452E" w:rsidP="00D0198E">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CRJ reçoit une formation préparatoire au siège de la Commission avant ou peu après son arrivée dans le pays bénéficiaire. Cette formation porte notamment sur les dispositions techniques du manuel de jumelage, sur le cadre politique et de coopération de l’UE et/ou sur la législation la plus récente de l’UE dans le domaine d’action/secteur concerné.</w:t>
      </w:r>
    </w:p>
    <w:p w14:paraId="5375D9B3" w14:textId="77777777" w:rsidR="00DA4534" w:rsidRPr="005107DF" w:rsidRDefault="00DA4534" w:rsidP="00DA4534">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chef de projet du bénéficiaire ou l’homologue du CRJ peuvent assister à la formation avec le CRJ du même projet. La participation du chef de projet du bénéficiaire ne peut être déléguée à une tierce personne, sauf à l’homologue du CRJ. La formation étant en principe dispensée en anglais et en français (interprétation simultanée fournie), les personnes qui ne maîtrisent aucune de ces langues devraient s’abstenir de participer.</w:t>
      </w:r>
    </w:p>
    <w:p w14:paraId="6B2D7C52" w14:textId="77777777" w:rsidR="00DA4534" w:rsidRPr="005107DF" w:rsidRDefault="00DA4534" w:rsidP="00DA4534">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participation du chef de projet du bénéficiaire ou de l’homologue du CRJ doit être convenue avec le chef de projet de l’État membre. </w:t>
      </w:r>
    </w:p>
    <w:p w14:paraId="4B073CE4" w14:textId="77777777" w:rsidR="00DA4534" w:rsidRPr="005107DF" w:rsidRDefault="00DA4534" w:rsidP="00DA4534">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chefs de projet des États membres peuvent également assister à la formation s’ils le souhaitent, mais les coûts correspondants ne seront pas éligibles à un remboursement sur le budget du jumelage.</w:t>
      </w:r>
    </w:p>
    <w:p w14:paraId="6FB7CE44" w14:textId="77777777" w:rsidR="00D0198E" w:rsidRPr="005107DF" w:rsidRDefault="00D0198E" w:rsidP="007338F0">
      <w:pPr>
        <w:pStyle w:val="Heading4"/>
      </w:pPr>
      <w:bookmarkStart w:id="227" w:name="_Toc462416455"/>
      <w:bookmarkStart w:id="228" w:name="_Toc464459874"/>
      <w:bookmarkStart w:id="229" w:name="_Toc476063256"/>
      <w:bookmarkStart w:id="230" w:name="_Toc476067738"/>
      <w:r>
        <w:lastRenderedPageBreak/>
        <w:t xml:space="preserve">4.1.6.7 Durée et nombre de détachements </w:t>
      </w:r>
      <w:bookmarkEnd w:id="227"/>
      <w:bookmarkEnd w:id="228"/>
      <w:bookmarkEnd w:id="229"/>
      <w:bookmarkEnd w:id="230"/>
    </w:p>
    <w:p w14:paraId="797105E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CRJ est détaché pendant toute la période de mise en œuvre du projet de jumelage, conformément à la déclaration de disponibilité soumise en même temps que la proposition de l’État membre. Lorsqu’il propose le CRJ, l’État membre doit veiller à ce que sa relation contractuelle avec l’administration d’origine reste inchangée pendant toute la durée prévue du projet.</w:t>
      </w:r>
    </w:p>
    <w:p w14:paraId="7FFD65C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Bien que le détachement prenne officiellement fin lors de l’expiration de la période de mise en œuvre, le CRJ participe à l’élaboration du rapport final et à toutes les autres tâches liées à la clôture du projet. En outre, entre 6 et 12 mois après la clôture du projet de jumelage, il peut être invité à participer à une mission d’évaluation du jumelage (voir le point 5.11.2).</w:t>
      </w:r>
    </w:p>
    <w:p w14:paraId="3736A045" w14:textId="7CC7B146" w:rsidR="00D0198E" w:rsidRPr="005107DF" w:rsidRDefault="0063192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Un CRJ peut exercer sa fonction lors de quatre projets de jumelage au maximum. Il ne peut y avoir plus de deux missions de jumelage successives, sans interruption entre elles. Une pause entre deux projets de jumelage doit durer au moins douze mois, sans interruption, à partir du jour suivant la fin de la dernière mission jusqu’à la date de limite de soumission des propositions pour le projet de jumelage suivant.</w:t>
      </w:r>
    </w:p>
    <w:p w14:paraId="45AF3F39" w14:textId="77777777" w:rsidR="00D0198E" w:rsidRPr="005107DF" w:rsidRDefault="00D0198E" w:rsidP="007338F0">
      <w:pPr>
        <w:pStyle w:val="Heading4"/>
      </w:pPr>
      <w:bookmarkStart w:id="231" w:name="_Toc462416456"/>
      <w:bookmarkStart w:id="232" w:name="_Toc464459875"/>
      <w:bookmarkStart w:id="233" w:name="_Toc476063257"/>
      <w:bookmarkStart w:id="234" w:name="_Toc476067739"/>
      <w:r>
        <w:t>4.1.6.8 Remplacement du CRJ</w:t>
      </w:r>
      <w:bookmarkEnd w:id="231"/>
      <w:bookmarkEnd w:id="232"/>
      <w:bookmarkEnd w:id="233"/>
      <w:bookmarkEnd w:id="234"/>
    </w:p>
    <w:p w14:paraId="6F19447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Aucun projet de jumelage ne peut se poursuivre sans conseiller résident de jumelage, et ce à n’importe quelle étape de sa mise en œuvre. Si cela est justifié et dans des circonstances exceptionnelles qui ne sont pas liées à l’exercice d’autres fonctions actives nécessitant un remplacement temporaire du CRJ au cours de la mise en œuvre du projet, l’État membre peut détacher son chef de projet pour une période maximale de deux mois afin d’assurer ce remplacement temporaire. En cas de consortium, un chef de projet junior peut être désigné sous réserve de l’approbation du chef de projet du </w:t>
      </w:r>
      <w:r>
        <w:rPr>
          <w:rFonts w:ascii="Times New Roman" w:hAnsi="Times New Roman"/>
          <w:sz w:val="24"/>
        </w:rPr>
        <w:t>bénéficiaire</w:t>
      </w:r>
      <w:r>
        <w:rPr>
          <w:rFonts w:ascii="Times New Roman" w:hAnsi="Times New Roman"/>
          <w:color w:val="000000"/>
          <w:sz w:val="24"/>
        </w:rPr>
        <w:t>. Lorsqu’un remplacement temporaire est nécessaire, le CP de l’État membre doit en informer sans délai l’administration contractante, le CP du bénéficiaire et la délégation de l’UE (lorsque celle-ci n’est pas l’administration contractante). Si des circonstances exceptionnelles requièrent le remplacement du CRJ et si cela est justifié, le CP de l’État membre doit informer l’administration contractante, le CP du bénéficiaire et toutes les parties prenantes de la date probable de remplacement et des motifs de celui-ci, en soumettant le CV d’un ou de plusieurs candidats potentiels proposés.</w:t>
      </w:r>
    </w:p>
    <w:p w14:paraId="1A47D00E" w14:textId="7D95CDBB" w:rsidR="005F01D5"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Étant donné qu’il est également tenu compte du profil et de l’expérience du CRJ proposé lors de la sélection d’une proposition d’un État membre, le profil et l’expérience de tout candidat proposé pour le remplacement doivent être au moins équivalents à ceux du CRJ qui est remplacé, comme indiqué dans la fiche de jumelage.</w:t>
      </w:r>
    </w:p>
    <w:p w14:paraId="3764BCD6" w14:textId="3F8C9E0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À la demande de l’administration contractante et/ou de l’administration bénéficiaire, le CRJ proposé passe finalement un entretien par vidéoconférence. Tous les coûts liés au remplacement du CRJ seront supportés par l’État membre.</w:t>
      </w:r>
    </w:p>
    <w:p w14:paraId="2EAD205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la personne de remplacement suggérée par l’État membre ne satisfait pas aux exigences et que le CRJ à remplacer ne peut différer la fin de son détachement, la mise en œuvre du projet peut être suspendue (voir le point 5.10). Cette suspension est notifiée par écrit, par lettre ou par moyen électronique, à l’administration contractante, à la délégation de l’UE (si celle-ci n’est pas l’administration contractante) ainsi qu’à l’équipe de coordination du jumelage. La période de suspension débute à la date spécifiée dans la notification ou à la date du message électronique, en l’absence d’indication expresse.</w:t>
      </w:r>
    </w:p>
    <w:p w14:paraId="42BF08E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Si le CRJ doit être remplacé pour des raisons médicales ou dans des circonstances exceptionnelles et que la procédure de remplacement décrite ci-dessus ne peut être appliquée, le CP de l’État membre, le CP du bénéficiaire, l’administration contractante et la délégation de l’UE (lorsque celle-ci n’est pas l’administration contractante) décident ensemble si la mise en œuvre du projet doit être suspendue ou si elle peut se poursuivre jusqu’au détachement d’un nouveau CRJ. La période comprise entre le départ du CRJ et l’arrivée de son successeur ne peut en aucun cas excéder deux mois.</w:t>
      </w:r>
    </w:p>
    <w:p w14:paraId="35C4F7C2" w14:textId="77777777" w:rsidR="00D0198E" w:rsidRPr="005107DF" w:rsidRDefault="00D0198E" w:rsidP="007338F0">
      <w:pPr>
        <w:pStyle w:val="Heading4"/>
      </w:pPr>
      <w:bookmarkStart w:id="235" w:name="_Toc476063258"/>
      <w:bookmarkStart w:id="236" w:name="_Toc476067740"/>
      <w:bookmarkStart w:id="237" w:name="_Toc462416457"/>
      <w:bookmarkStart w:id="238" w:name="_Toc464459876"/>
      <w:r>
        <w:t xml:space="preserve">4.1.6.9 Cessation de la mission du CRJ </w:t>
      </w:r>
      <w:bookmarkEnd w:id="235"/>
      <w:bookmarkEnd w:id="236"/>
      <w:r>
        <w:rPr>
          <w:highlight w:val="yellow"/>
        </w:rPr>
        <w:t xml:space="preserve"> </w:t>
      </w:r>
      <w:bookmarkEnd w:id="237"/>
      <w:bookmarkEnd w:id="238"/>
    </w:p>
    <w:p w14:paraId="60619AA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L’administration contractante et l’État membre peuvent, par consensus et après consultation du CP du bénéficiaire et de la délégation de l’UE (lorsque celle-ci n’est pas l’administration contractante), mettre fin au détachement à tout moment.</w:t>
      </w:r>
    </w:p>
    <w:p w14:paraId="1B76D5F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S’il est mis fin au détachement du CRJ, le CP de l’État membre soumet le CV d’un ou plusieurs candidats au remplacement (voir le point 4.1.6.8). </w:t>
      </w:r>
    </w:p>
    <w:p w14:paraId="38FAD0F3" w14:textId="77777777" w:rsidR="00D0198E" w:rsidRPr="005107DF" w:rsidRDefault="00D0198E" w:rsidP="007338F0">
      <w:pPr>
        <w:pStyle w:val="Heading4"/>
      </w:pPr>
      <w:bookmarkStart w:id="239" w:name="_Toc462416458"/>
      <w:bookmarkStart w:id="240" w:name="_Toc464459877"/>
      <w:bookmarkStart w:id="241" w:name="_Toc476063259"/>
      <w:bookmarkStart w:id="242" w:name="_Toc476067741"/>
      <w:r>
        <w:t>4.1.6.10 Assistant(s)du CRJ</w:t>
      </w:r>
      <w:bookmarkEnd w:id="239"/>
      <w:bookmarkEnd w:id="240"/>
      <w:bookmarkEnd w:id="241"/>
      <w:bookmarkEnd w:id="242"/>
    </w:p>
    <w:p w14:paraId="092ED5EB"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CRJ est soutenu par un assistant de projet à temps plein réalisant des tâches générales liées au projet et fournissant des services de traduction et d’interprétation lorsque cela est nécessaire. Lorsqu’au vu de la nature du projet, il est raisonnable de prévoir que le volume de traduction et/ou d’interprétation demandé sera important, un assistant linguistique peut également être engagé. </w:t>
      </w:r>
    </w:p>
    <w:p w14:paraId="64D15177"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sz w:val="24"/>
          <w:szCs w:val="20"/>
        </w:rPr>
      </w:pPr>
      <w:r>
        <w:rPr>
          <w:rFonts w:ascii="Times New Roman" w:hAnsi="Times New Roman"/>
          <w:color w:val="000000"/>
          <w:sz w:val="24"/>
        </w:rPr>
        <w:t>Jusqu’à ce que le CRJ puisse choisir et engager un assistant, l’administration bénéficiaire met à sa disposition un membre de son personnel afin de le soutenir dans ses tâches quotidiennes.</w:t>
      </w:r>
    </w:p>
    <w:p w14:paraId="4D2F2BCE" w14:textId="13E8BC53"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Avant de choisir un assistant avec l’aide de l’administration contractante et de la délégation de l’UE (lorsque celle-ci n’est pas l’administration contractante), un minimum de trois candidats doivent passer un entretien. Ceux-ci ne doivent pas avoir entretenu de relations contractuelles avec l’administration bénéficiaire au cours des six mois précédant leur engagement. Le choix final de l’assistant ou des assistants revient au CRJ et au CP de l’État membre.</w:t>
      </w:r>
    </w:p>
    <w:p w14:paraId="25B0550E"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un assistant doit être remplacé, une nouvelle procédure de recrutement sera lancée. Toutefois, si à l’occasion de la sélection initiale, d’autres candidats présentant le profil adéquat avaient été détectés et qu’un classement par ordre de préférence avait été établi (et joint au rapport intermédiaire trimestriel), la liste peut être utilisée pour engager un nouvel assistant du CRJ.</w:t>
      </w:r>
    </w:p>
    <w:p w14:paraId="78BBBE0B"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bénéficiaire peut également envisager de détacher un de ses fonctionnaires pour assurer la fonction d’assistant. Toutefois, dans ce cas, aucune compensation financière ne sera accordée sur le budget du jumelage et le bénéficiaire supportera l’ensemble des coûts liés à la rémunération de l’assistant du CRJ. Durant le détachement, le ou les assistants du CRJ sont mis à la disposition exclusive de ce dernier, auquel ils doivent rendre compte.</w:t>
      </w:r>
    </w:p>
    <w:p w14:paraId="5576A288" w14:textId="77777777" w:rsidR="00D0198E" w:rsidRPr="005107DF" w:rsidRDefault="00D0198E" w:rsidP="007338F0">
      <w:pPr>
        <w:pStyle w:val="Heading3"/>
      </w:pPr>
      <w:bookmarkStart w:id="243" w:name="_Toc462416459"/>
      <w:bookmarkStart w:id="244" w:name="_Toc464459878"/>
      <w:bookmarkStart w:id="245" w:name="_Toc476063260"/>
      <w:bookmarkStart w:id="246" w:name="_Toc476067742"/>
      <w:bookmarkStart w:id="247" w:name="_Toc517434376"/>
      <w:bookmarkStart w:id="248" w:name="_Toc2860939"/>
      <w:r>
        <w:t>4.1.7 Experts de courte durée</w:t>
      </w:r>
      <w:bookmarkEnd w:id="243"/>
      <w:bookmarkEnd w:id="244"/>
      <w:bookmarkEnd w:id="245"/>
      <w:bookmarkEnd w:id="246"/>
      <w:bookmarkEnd w:id="247"/>
      <w:bookmarkEnd w:id="248"/>
    </w:p>
    <w:p w14:paraId="43462308"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institutions de l’État membre seront choisies comme partenaires de jumelage par le bénéficiaire en raison de leurs connaissances spécifiques et de leurs systèmes administratifs. Par conséquent, les experts de courte durée mis à disposition pour la mise en œuvre d’un projet de jumelage doivent être pleinement intégrés dans les institutions de l’État membre participant à la mise à disposition de l’expertise requise. Les experts de courte durée sont </w:t>
      </w:r>
      <w:r>
        <w:rPr>
          <w:rFonts w:ascii="Times New Roman" w:hAnsi="Times New Roman"/>
          <w:color w:val="000000"/>
          <w:sz w:val="24"/>
        </w:rPr>
        <w:lastRenderedPageBreak/>
        <w:t>donc des fonctionnaires ou agents assimilés d’une administration publique ou d’un organisme mandaté d’un État membre. Ils offrent leur expertise sous la responsabilité générale du CP de l’État membre et sous la coordination et supervision du CRJ.</w:t>
      </w:r>
    </w:p>
    <w:p w14:paraId="74BACBC2"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experts de courte durée apportent la majeure partie du soutien à l’administration bénéficiaire sous la forme d’activités spécifiques menées dans le pays bénéficiaire, notamment des ateliers, des séminaires, des séances de formation, des réunions avec des fonctionnaires de l’administration bénéficiaire, des séances de rédaction conjointes, etc. Avant et après leur mission dans le pays bénéficiaire, ils doivent consacrer le temps nécessaire à la préparation de ces activités et à l’élaboration de comptes rendus. Les projets de jumelage qui visent à aider les bénéficiaires à élaborer de nouveaux actes législatifs, et en particulier à aligner leur législation sur</w:t>
      </w:r>
      <w:r>
        <w:rPr>
          <w:rFonts w:ascii="Times New Roman" w:hAnsi="Times New Roman"/>
          <w:i/>
          <w:color w:val="000000"/>
          <w:sz w:val="24"/>
        </w:rPr>
        <w:t xml:space="preserve"> </w:t>
      </w:r>
      <w:r>
        <w:rPr>
          <w:rFonts w:ascii="Times New Roman" w:hAnsi="Times New Roman"/>
          <w:color w:val="000000"/>
          <w:sz w:val="24"/>
        </w:rPr>
        <w:t>l’acquis de l’Union, doivent garantir, le cas échéant, un nombre suffisant d’experts de courte durée pour la réalisation des analyses d’impact et/ou l’organisation de consultations des parties prenantes, et ce afin de garantir un processus d’élaboration des politiques inclusif et reposant sur des éléments de preuve.</w:t>
      </w:r>
    </w:p>
    <w:p w14:paraId="3D27DA39" w14:textId="187E99DB" w:rsidR="00D0198E" w:rsidRPr="005107DF" w:rsidRDefault="00A07581"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Dans le cas où une expertise imprévue deviendrait nécessaire aux fins de la réalisation des résultats obligatoires au cours de la mise en œuvre, il peut être fait appel à des fonctionnaires ou agents assimilés d’une autre administration/d’un autre État membre n’ayant pas de relation contractuelle avec le projet, en accord avec l’administration bénéficiaire. Le CP de l’État membre veille à ce que les compétences et la disponibilité de ces experts supplémentaires correspondent aux exigences du projet et définit les conditions et les modalités de leur participation. </w:t>
      </w:r>
      <w:r>
        <w:rPr>
          <w:rFonts w:ascii="Times New Roman" w:hAnsi="Times New Roman"/>
          <w:sz w:val="24"/>
        </w:rPr>
        <w:t>La contribution totale accumulée de cette expertise supplémentaire peut uniquement être budgétisée sous la rubrique budgétaire III «Résultats obligatoires» et ne peut dépasser 5 % du total de la rubrique budgétaire concernée établi dans le plan de travail initial.</w:t>
      </w:r>
    </w:p>
    <w:p w14:paraId="3CEB8337" w14:textId="379C848C"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exceptionnellement, une expertise spécifique nécessaire à la mise en œuvre du projet n’est pas disponible au sein d’une administration publique ou d’un organisme mandaté, le recours à un expert du secteur privé peut être envisagé. Dans le cadre d’un projet de jumelage, la contribution d’un expert de courte durée issu du secteur privé est régie en tant qu’apport du secteur privé.</w:t>
      </w:r>
    </w:p>
    <w:p w14:paraId="3215ABE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Étant donné qu’un projet de jumelage est décrit grâce à différents volets correspondant à des résultats/produits obligatoires, il est important que toutes les activités relatives à un volet soient mises en œuvre de manière cohérente. Afin de garantir cette cohérence, l’État membre désigne pour chaque volet un expert de courte durée qui, outre sa contribution directe à chaque activité, assure la fonction de responsable du volet et coordonne, en collaboration étroite avec le CRJ, l’intervention de l’ensemble des autres experts de l’État membre mobilisés pour le même volet.</w:t>
      </w:r>
    </w:p>
    <w:p w14:paraId="04706502" w14:textId="77777777" w:rsidR="00D0198E" w:rsidRPr="005107DF" w:rsidRDefault="00D0198E" w:rsidP="007338F0">
      <w:pPr>
        <w:pStyle w:val="Heading2"/>
      </w:pPr>
      <w:bookmarkStart w:id="249" w:name="_Toc462416460"/>
      <w:bookmarkStart w:id="250" w:name="_Toc464459879"/>
      <w:bookmarkStart w:id="251" w:name="_Toc476063261"/>
      <w:bookmarkStart w:id="252" w:name="_Toc476067743"/>
      <w:bookmarkStart w:id="253" w:name="_Toc517434377"/>
      <w:bookmarkStart w:id="254" w:name="_Toc2860940"/>
      <w:r>
        <w:t xml:space="preserve">4.2 Le </w:t>
      </w:r>
      <w:bookmarkEnd w:id="249"/>
      <w:bookmarkEnd w:id="250"/>
      <w:bookmarkEnd w:id="251"/>
      <w:bookmarkEnd w:id="252"/>
      <w:r>
        <w:t>bénéficiaire</w:t>
      </w:r>
      <w:bookmarkEnd w:id="253"/>
      <w:bookmarkEnd w:id="254"/>
      <w:r>
        <w:t xml:space="preserve"> </w:t>
      </w:r>
    </w:p>
    <w:p w14:paraId="66DFB805" w14:textId="77777777" w:rsidR="00D0198E" w:rsidRPr="005107DF" w:rsidRDefault="00D0198E" w:rsidP="007338F0">
      <w:pPr>
        <w:pStyle w:val="Heading3"/>
      </w:pPr>
      <w:bookmarkStart w:id="255" w:name="_Toc462416461"/>
      <w:bookmarkStart w:id="256" w:name="_Toc464459880"/>
      <w:bookmarkStart w:id="257" w:name="_Toc476063262"/>
      <w:bookmarkStart w:id="258" w:name="_Toc476067744"/>
      <w:bookmarkStart w:id="259" w:name="_Toc517434378"/>
      <w:bookmarkStart w:id="260" w:name="_Toc2860941"/>
      <w:r>
        <w:t xml:space="preserve">4.2.1 Responsabilité </w:t>
      </w:r>
      <w:bookmarkEnd w:id="255"/>
      <w:bookmarkEnd w:id="256"/>
      <w:bookmarkEnd w:id="257"/>
      <w:bookmarkEnd w:id="258"/>
      <w:r>
        <w:t>générale</w:t>
      </w:r>
      <w:bookmarkEnd w:id="259"/>
      <w:bookmarkEnd w:id="260"/>
    </w:p>
    <w:p w14:paraId="2FA37DCC" w14:textId="77777777" w:rsidR="00D0198E" w:rsidRPr="005107DF" w:rsidRDefault="0033029F"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L’administration bénéficiaire est tenue d’assurer la réussite du projet de jumelage et de garantir la propriété et la durabilité des résultats au cours de toutes les étapes. Il est important que tous les acteurs du côté du bénéficiaire coopèrent pleinement avec les experts de l’État membre au cours de la mise en œuvre. Il convient de garantir des ressources, en particulier des ressources humaines, stables et adéquates aux niveaux politique et institutionnel.</w:t>
      </w:r>
    </w:p>
    <w:p w14:paraId="2E1DB6C1" w14:textId="77777777" w:rsidR="00D0198E" w:rsidRPr="005107DF" w:rsidRDefault="00D0198E" w:rsidP="007338F0">
      <w:pPr>
        <w:pStyle w:val="Heading3"/>
      </w:pPr>
      <w:bookmarkStart w:id="261" w:name="_Toc462416462"/>
      <w:bookmarkStart w:id="262" w:name="_Toc464459881"/>
      <w:bookmarkStart w:id="263" w:name="_Toc476063263"/>
      <w:bookmarkStart w:id="264" w:name="_Toc476067745"/>
      <w:bookmarkStart w:id="265" w:name="_Toc517434379"/>
      <w:bookmarkStart w:id="266" w:name="_Toc2860942"/>
      <w:r>
        <w:lastRenderedPageBreak/>
        <w:t>4.2.2 Point de contact national du bénéficiaire</w:t>
      </w:r>
      <w:bookmarkEnd w:id="261"/>
      <w:bookmarkEnd w:id="262"/>
      <w:bookmarkEnd w:id="263"/>
      <w:bookmarkEnd w:id="264"/>
      <w:bookmarkEnd w:id="265"/>
      <w:bookmarkEnd w:id="266"/>
    </w:p>
    <w:p w14:paraId="44F8D411"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Chaque bénéficiaire désigne un point de contact national pour le jumelage</w:t>
      </w:r>
      <w:r>
        <w:rPr>
          <w:rFonts w:ascii="Times New Roman" w:hAnsi="Times New Roman"/>
          <w:color w:val="000000"/>
          <w:sz w:val="24"/>
          <w:vertAlign w:val="superscript"/>
        </w:rPr>
        <w:footnoteReference w:id="12"/>
      </w:r>
      <w:r>
        <w:rPr>
          <w:rFonts w:ascii="Times New Roman" w:hAnsi="Times New Roman"/>
          <w:color w:val="000000"/>
          <w:sz w:val="24"/>
        </w:rPr>
        <w:t>, qui agit en tant qu’interlocuteur pour toutes les questions générales relatives aux activités de jumelage. Le PCN du bénéficiaire joue un rôle important dans le développement et la coordination des activités de jumelage. Il assure, entre autres, les tâches suivantes:</w:t>
      </w:r>
    </w:p>
    <w:p w14:paraId="18EC74BB"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rPr>
      </w:pPr>
    </w:p>
    <w:p w14:paraId="4246FAA2"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jouer le rôle de point de communication central entre la Commission et le pays bénéficiaire au sujet de questions liées au jumelage, ainsi que de point de contact central pour les autres pays partenaires et les PCN des États membres;</w:t>
      </w:r>
    </w:p>
    <w:p w14:paraId="3809E46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transmettre les informations aux institutions concernées du pays bénéficiaire et conseiller celles-ci sur la procédure à suivre et le développement des projets de jumelage et les contrats ultérieurs;</w:t>
      </w:r>
    </w:p>
    <w:p w14:paraId="6E8B3AAC"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suivre la mise en œuvre des activités de jumelage dans le pays bénéficiaire et aider à éliminer les obstacles administratifs horizontaux;</w:t>
      </w:r>
    </w:p>
    <w:p w14:paraId="6E56C5B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assurer la formation des administrations bénéficiaires concernées par le jumelage et leur fournir des orientations en ce qui concerne les aspects réglementaires, financiers et techniques du manuel de jumelage;</w:t>
      </w:r>
    </w:p>
    <w:p w14:paraId="11EC6A7B"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participer aux réunions organisées par la Commission à l’intention des PCN du bénéficiaire et de l’État membre.</w:t>
      </w:r>
    </w:p>
    <w:p w14:paraId="35BDB88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Une fois le PCN désigné, chaque bénéficiaire communique à l’équipe de coordination du jumelage le nom et les coordonnées de celui-ci et signale tout changement relatif à cette fonction. L’équipe de coordination du jumelage publie la liste des PCN des États membres sur le site internet relatif au jumelage.</w:t>
      </w:r>
    </w:p>
    <w:p w14:paraId="4A5D6764" w14:textId="77777777" w:rsidR="00D0198E" w:rsidRPr="005107DF" w:rsidRDefault="00D0198E" w:rsidP="007338F0">
      <w:pPr>
        <w:pStyle w:val="Heading3"/>
      </w:pPr>
      <w:bookmarkStart w:id="267" w:name="_Toc517434380"/>
      <w:bookmarkStart w:id="268" w:name="_Toc2860943"/>
      <w:bookmarkStart w:id="269" w:name="_Toc462416463"/>
      <w:bookmarkStart w:id="270" w:name="_Toc464459882"/>
      <w:r>
        <w:t>4.2.3 Le chef de projet (CP) du bénéficiaire</w:t>
      </w:r>
      <w:bookmarkEnd w:id="267"/>
      <w:bookmarkEnd w:id="268"/>
      <w:r>
        <w:t xml:space="preserve"> </w:t>
      </w:r>
      <w:bookmarkEnd w:id="269"/>
      <w:bookmarkEnd w:id="270"/>
    </w:p>
    <w:p w14:paraId="7C54385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CP du bénéficiaire est nommé par l’administration bénéficiaire et doit opérer au niveau politique approprié afin de diriger le projet. Il se voit confier le pouvoir et la responsabilité de garantir l’existence de conditions idéales pour la mise en œuvre des activités et la pleine appropriation des résultats obtenus. Il est le principal interlocuteur du chef de projet de l’État membre. Les deux chefs de projet travaillent en étroite collaboration et assurent la direction et la coordination de l’ensemble du projet. Le CP du bénéficiaire doit consacrer une partie de son temps de travail à la supervision du projet.</w:t>
      </w:r>
    </w:p>
    <w:p w14:paraId="4601AF8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CP du bénéficiaire est également mentionné dans le contrat de subvention de jumelage et il paraphe les annexes A1 et A3 en tant que personne chargée de la mise en œuvre du projet au sein de l’administration bénéficiaire. Toute modification du chef de projet du bénéficiaire doit être notifiée par écrit conformément aux procédures décrites au point 5.9.</w:t>
      </w:r>
    </w:p>
    <w:p w14:paraId="49B8A789" w14:textId="77777777" w:rsidR="00D0198E" w:rsidRPr="005107DF" w:rsidRDefault="00D0198E" w:rsidP="007338F0">
      <w:pPr>
        <w:pStyle w:val="Heading3"/>
      </w:pPr>
      <w:bookmarkStart w:id="271" w:name="_Toc462416464"/>
      <w:bookmarkStart w:id="272" w:name="_Toc464459883"/>
      <w:bookmarkStart w:id="273" w:name="_Toc476063264"/>
      <w:bookmarkStart w:id="274" w:name="_Toc476067746"/>
      <w:bookmarkStart w:id="275" w:name="_Toc517434381"/>
      <w:bookmarkStart w:id="276" w:name="_Toc2860944"/>
      <w:r>
        <w:t>4.2.4 L’homologue du CRJ</w:t>
      </w:r>
      <w:bookmarkEnd w:id="271"/>
      <w:bookmarkEnd w:id="272"/>
      <w:bookmarkEnd w:id="273"/>
      <w:bookmarkEnd w:id="274"/>
      <w:bookmarkEnd w:id="275"/>
      <w:bookmarkEnd w:id="276"/>
    </w:p>
    <w:p w14:paraId="4C00218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Afin de faciliter la communication et l’échange d’informations entre les partenaires de mise en œuvre, le bénéficiaire doit, pour chaque projet de jumelage, désigner un membre de son personnel comme homologue du CRJ. Celui-ci doit parler couramment la langue utilisée dans le cadre du projet et soutenir le CRJ dans ses contacts avec l’administration bénéficiaire dès que cela est nécessaire. Il doit donc bien connaître la structure et les compétences de </w:t>
      </w:r>
      <w:r>
        <w:rPr>
          <w:rFonts w:ascii="Times New Roman" w:hAnsi="Times New Roman"/>
          <w:color w:val="000000"/>
          <w:sz w:val="24"/>
        </w:rPr>
        <w:lastRenderedPageBreak/>
        <w:t>l’administration bénéficiaire et être en mesure de jouer le rôle de facilitateur en ce qui concerne l’organisation et la mise en œuvre des activités.</w:t>
      </w:r>
    </w:p>
    <w:p w14:paraId="3C128A4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L’homologue du CRJ soutient également le CP du bénéficiaire dans la coordination quotidienne des activités.</w:t>
      </w:r>
    </w:p>
    <w:p w14:paraId="2E4F06DB" w14:textId="77777777" w:rsidR="00D0198E" w:rsidRPr="005107DF" w:rsidRDefault="00D0198E" w:rsidP="007338F0">
      <w:pPr>
        <w:pStyle w:val="Heading3"/>
      </w:pPr>
      <w:bookmarkStart w:id="277" w:name="_Toc462416465"/>
      <w:bookmarkStart w:id="278" w:name="_Toc464459884"/>
      <w:bookmarkStart w:id="279" w:name="_Toc476063265"/>
      <w:bookmarkStart w:id="280" w:name="_Toc476067747"/>
      <w:bookmarkStart w:id="281" w:name="_Toc517434382"/>
      <w:bookmarkStart w:id="282" w:name="_Toc2860945"/>
      <w:r>
        <w:t>4.2.5 L’entité centrale de financement et de contrats/l’unité gestionnaire du programme</w:t>
      </w:r>
      <w:bookmarkEnd w:id="277"/>
      <w:bookmarkEnd w:id="278"/>
      <w:bookmarkEnd w:id="279"/>
      <w:bookmarkEnd w:id="280"/>
      <w:bookmarkEnd w:id="281"/>
      <w:bookmarkEnd w:id="282"/>
    </w:p>
    <w:p w14:paraId="28C6C33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Aux fins de la mise en œuvre des projets de jumelage, l’</w:t>
      </w:r>
      <w:r>
        <w:rPr>
          <w:rFonts w:ascii="Times New Roman" w:hAnsi="Times New Roman"/>
          <w:sz w:val="24"/>
        </w:rPr>
        <w:t xml:space="preserve">entité centrale de financement et de contrats/l’unité gestionnaire du programme (ECFC/UGP) </w:t>
      </w:r>
      <w:r>
        <w:rPr>
          <w:rFonts w:ascii="Times New Roman" w:hAnsi="Times New Roman"/>
          <w:color w:val="000000"/>
          <w:sz w:val="24"/>
        </w:rPr>
        <w:t>est un service de l’administration bénéficiaire qui s’est vu confier par l’UE un certain nombre de tâches liées à l’exécution du budget. Les tâches généralement attribuées à l’ECFC/UGP peuvent, dans certaines circonstances, être réalisées par d’autres institutions auxquelles la Commission a délégué des compétences spécifiques liées à la mise en œuvre des projets de jumelage.</w:t>
      </w:r>
    </w:p>
    <w:p w14:paraId="6C3C160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L’étendue de ses responsabilités dépend du niveau de délégation prévu dans l’accord conclu entre l’UE et les bénéficiaires et dans les accords établis au sein du pays bénéficiaire.</w:t>
      </w:r>
    </w:p>
    <w:p w14:paraId="58251C53" w14:textId="77777777" w:rsidR="00D0198E" w:rsidRPr="005107DF" w:rsidRDefault="00D0198E" w:rsidP="007338F0">
      <w:pPr>
        <w:pStyle w:val="Heading4"/>
      </w:pPr>
      <w:bookmarkStart w:id="283" w:name="_Toc462416466"/>
      <w:bookmarkStart w:id="284" w:name="_Toc464459885"/>
      <w:bookmarkStart w:id="285" w:name="_Toc476063266"/>
      <w:bookmarkStart w:id="286" w:name="_Toc476067748"/>
      <w:r>
        <w:t>4.2.5.1 Rôle de l’ECFC/UGP en gestion directe</w:t>
      </w:r>
      <w:bookmarkEnd w:id="283"/>
      <w:bookmarkEnd w:id="284"/>
      <w:bookmarkEnd w:id="285"/>
      <w:bookmarkEnd w:id="286"/>
    </w:p>
    <w:p w14:paraId="31EDAF9F" w14:textId="519A73F4" w:rsidR="00D0198E" w:rsidRPr="00703EAC"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w:t>
      </w:r>
      <w:r>
        <w:rPr>
          <w:rFonts w:ascii="Times New Roman" w:hAnsi="Times New Roman"/>
          <w:color w:val="000000"/>
          <w:sz w:val="24"/>
          <w:u w:val="single"/>
        </w:rPr>
        <w:t>gestion directe</w:t>
      </w:r>
      <w:r>
        <w:rPr>
          <w:rFonts w:ascii="Times New Roman" w:hAnsi="Times New Roman"/>
          <w:color w:val="000000"/>
          <w:sz w:val="24"/>
        </w:rPr>
        <w:t xml:space="preserve">, lorsque la Commission est l’administration contractante, l’ECFC/UGP (si elle est déjà en place) peut jouer un rôle important dans l’appui au cycle complet du projet. Elle doit participer au contrôle de la qualité des fiches de jumelage et des contrats. </w:t>
      </w:r>
      <w:r w:rsidRPr="008E3976">
        <w:rPr>
          <w:rFonts w:ascii="Times New Roman" w:hAnsi="Times New Roman"/>
          <w:color w:val="000000"/>
          <w:sz w:val="24"/>
        </w:rPr>
        <w:t>L’ECFC/UGP doit également jouer le rôle de point de communication central entre la Commission et l’administration bénéficiaire.</w:t>
      </w:r>
    </w:p>
    <w:p w14:paraId="06772E06" w14:textId="784C7925" w:rsidR="00D0198E" w:rsidRPr="005107DF" w:rsidRDefault="00D0198E" w:rsidP="000A67D6">
      <w:pPr>
        <w:pStyle w:val="Heading4"/>
        <w:ind w:left="1843" w:hanging="763"/>
      </w:pPr>
      <w:bookmarkStart w:id="287" w:name="_Toc462416467"/>
      <w:bookmarkStart w:id="288" w:name="_Toc464459886"/>
      <w:bookmarkStart w:id="289" w:name="_Toc476063267"/>
      <w:bookmarkStart w:id="290" w:name="_Toc476067749"/>
      <w:r w:rsidRPr="005A5556">
        <w:t>4.2.5.2 Rôle de l’ECFC/UGP en gestion indire</w:t>
      </w:r>
      <w:r w:rsidR="000A67D6">
        <w:t>cte avec contrôle ex ante ou ex-</w:t>
      </w:r>
      <w:r w:rsidRPr="005A5556">
        <w:t>post</w:t>
      </w:r>
      <w:bookmarkEnd w:id="287"/>
      <w:bookmarkEnd w:id="288"/>
      <w:bookmarkEnd w:id="289"/>
      <w:bookmarkEnd w:id="290"/>
    </w:p>
    <w:p w14:paraId="252D45B1" w14:textId="77777777" w:rsidR="00D0198E" w:rsidRPr="005107DF" w:rsidRDefault="00D0198E" w:rsidP="00D0198E">
      <w:pPr>
        <w:spacing w:after="240" w:line="240" w:lineRule="auto"/>
        <w:jc w:val="both"/>
        <w:rPr>
          <w:rFonts w:ascii="Times New Roman" w:eastAsia="Times New Roman" w:hAnsi="Times New Roman" w:cs="Times New Roman"/>
          <w:bCs/>
          <w:color w:val="000000"/>
          <w:sz w:val="24"/>
          <w:szCs w:val="24"/>
        </w:rPr>
      </w:pPr>
      <w:r>
        <w:rPr>
          <w:rFonts w:ascii="Times New Roman" w:hAnsi="Times New Roman"/>
          <w:color w:val="000000"/>
          <w:sz w:val="24"/>
        </w:rPr>
        <w:t xml:space="preserve">L’accord conclu entre l’UE et le bénéficiaire définit la portée et le niveau du contrôle ex ante. En </w:t>
      </w:r>
      <w:r>
        <w:rPr>
          <w:rFonts w:ascii="Times New Roman" w:hAnsi="Times New Roman"/>
          <w:color w:val="000000"/>
          <w:sz w:val="24"/>
          <w:u w:val="single"/>
        </w:rPr>
        <w:t>gestion indirecte</w:t>
      </w:r>
      <w:r>
        <w:rPr>
          <w:rFonts w:ascii="Times New Roman" w:hAnsi="Times New Roman"/>
          <w:color w:val="000000"/>
          <w:sz w:val="24"/>
        </w:rPr>
        <w:t>, l’ECFC/UGP devient l’administration contractante pour les projets de jumelage mis en œuvre dans le pays bénéficiaire.</w:t>
      </w:r>
    </w:p>
    <w:p w14:paraId="46D4D4D3" w14:textId="518408D1" w:rsidR="005A5556" w:rsidRPr="00703EAC" w:rsidRDefault="00D0198E" w:rsidP="00D0198E">
      <w:pPr>
        <w:spacing w:after="240" w:line="240" w:lineRule="auto"/>
        <w:jc w:val="both"/>
        <w:rPr>
          <w:rFonts w:ascii="Times New Roman" w:hAnsi="Times New Roman"/>
          <w:color w:val="000000"/>
          <w:sz w:val="24"/>
        </w:rPr>
      </w:pPr>
      <w:r>
        <w:rPr>
          <w:rFonts w:ascii="Times New Roman" w:hAnsi="Times New Roman"/>
          <w:color w:val="000000"/>
          <w:sz w:val="24"/>
        </w:rPr>
        <w:t xml:space="preserve">La responsabilité générale de l’ECFC/UGP signifie que celle-ci doit être dotée de l’autorité nécessaire pour assurer une supervision efficace (en ce qui concerne les aspects tant financiers qu’opérationnels) de l’administration bénéficiaire, qui héberge et met en œuvre le projet de jumelage. La participation de l’ECFC/UGP ne doit cependant pas compromettre le degré d’engagement et d’appropriation du projet par l’administration bénéficiaire et l’État membre étant donné que l’administration bénéficiaire négocie le plan de travail détaillé avec ses homologues de l’État membre sélectionné et qu’ils le </w:t>
      </w:r>
      <w:r w:rsidR="00703EAC">
        <w:rPr>
          <w:rFonts w:ascii="Times New Roman" w:hAnsi="Times New Roman"/>
          <w:color w:val="000000"/>
          <w:sz w:val="24"/>
        </w:rPr>
        <w:t>mettent conjointement en œuvre.</w:t>
      </w:r>
    </w:p>
    <w:p w14:paraId="59AFD7E3" w14:textId="76CECB28" w:rsidR="005A5556" w:rsidRPr="00703EAC" w:rsidRDefault="00D0198E" w:rsidP="005A5556">
      <w:pPr>
        <w:pStyle w:val="Heading5"/>
        <w:rPr>
          <w:b/>
          <w:sz w:val="24"/>
          <w:szCs w:val="24"/>
        </w:rPr>
      </w:pPr>
      <w:r w:rsidRPr="00703EAC">
        <w:rPr>
          <w:b/>
          <w:sz w:val="24"/>
          <w:szCs w:val="24"/>
        </w:rPr>
        <w:t>4.2.5.2.1 Rôle spécifique de l’ECFC/UGP en ges</w:t>
      </w:r>
      <w:r w:rsidR="000A67D6">
        <w:rPr>
          <w:b/>
          <w:sz w:val="24"/>
          <w:szCs w:val="24"/>
        </w:rPr>
        <w:t>tion indirecte avec contrôle ex-</w:t>
      </w:r>
      <w:r w:rsidRPr="00703EAC">
        <w:rPr>
          <w:b/>
          <w:sz w:val="24"/>
          <w:szCs w:val="24"/>
        </w:rPr>
        <w:t xml:space="preserve">ante </w:t>
      </w:r>
    </w:p>
    <w:p w14:paraId="471D5EEA" w14:textId="6852A042"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w:t>
      </w:r>
      <w:r>
        <w:rPr>
          <w:rFonts w:ascii="Times New Roman" w:hAnsi="Times New Roman"/>
          <w:color w:val="000000"/>
          <w:sz w:val="24"/>
          <w:u w:val="single"/>
        </w:rPr>
        <w:t>gestion indirecte</w:t>
      </w:r>
      <w:r w:rsidR="000A67D6">
        <w:rPr>
          <w:rFonts w:ascii="Times New Roman" w:hAnsi="Times New Roman"/>
          <w:color w:val="000000"/>
          <w:sz w:val="24"/>
        </w:rPr>
        <w:t xml:space="preserve"> avec contrôle ex-</w:t>
      </w:r>
      <w:r>
        <w:rPr>
          <w:rFonts w:ascii="Times New Roman" w:hAnsi="Times New Roman"/>
          <w:color w:val="000000"/>
          <w:sz w:val="24"/>
        </w:rPr>
        <w:t>ante, l’ECFC/UGP, en tant qu’administration contractante:</w:t>
      </w:r>
    </w:p>
    <w:p w14:paraId="4CCF0AC7"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assiste/conseille l’administration bénéficiaire lors de la préparation des fiches de jumelage;</w:t>
      </w:r>
    </w:p>
    <w:p w14:paraId="3DDD50FB"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soumet le projet final de fiche de jumelage à la délégation de l’UE pour contrôle ex ante. La délégation de l’UE transmet les fiches de jumelage à l’équipe de coordination du jumelage afin d’obtenir l’avis du groupe interservices de jumelage (GISJ): </w:t>
      </w:r>
    </w:p>
    <w:p w14:paraId="6E787B1B" w14:textId="77777777" w:rsidR="00626B9A" w:rsidRPr="005107DF" w:rsidRDefault="00626B9A" w:rsidP="00626B9A">
      <w:pPr>
        <w:spacing w:after="0" w:line="240" w:lineRule="auto"/>
        <w:ind w:left="1134" w:firstLine="12"/>
        <w:jc w:val="both"/>
        <w:rPr>
          <w:rFonts w:ascii="Times New Roman" w:hAnsi="Times New Roman" w:cs="Times New Roman"/>
          <w:color w:val="000000"/>
          <w:sz w:val="24"/>
          <w:szCs w:val="24"/>
        </w:rPr>
      </w:pPr>
      <w:r>
        <w:rPr>
          <w:rFonts w:ascii="Times New Roman" w:hAnsi="Times New Roman"/>
          <w:color w:val="000000"/>
          <w:sz w:val="24"/>
        </w:rPr>
        <w:t>- si l’avis du GISJ propose que des modifications soient apportées (approbation avec commentaires), l’administration contractante étudie les modifications proposées et celles qu’elle accepte sont apportées;</w:t>
      </w:r>
    </w:p>
    <w:p w14:paraId="1F17B76B" w14:textId="4BE114A4" w:rsidR="00626B9A" w:rsidRPr="005107DF" w:rsidRDefault="00626B9A" w:rsidP="00626B9A">
      <w:pPr>
        <w:spacing w:after="0" w:line="240" w:lineRule="auto"/>
        <w:ind w:left="1134" w:firstLine="12"/>
        <w:jc w:val="both"/>
        <w:rPr>
          <w:rFonts w:ascii="Times New Roman" w:hAnsi="Times New Roman" w:cs="Times New Roman"/>
          <w:color w:val="000000"/>
          <w:sz w:val="24"/>
          <w:szCs w:val="24"/>
        </w:rPr>
      </w:pPr>
      <w:r>
        <w:rPr>
          <w:rFonts w:ascii="Times New Roman" w:hAnsi="Times New Roman"/>
          <w:color w:val="000000"/>
          <w:sz w:val="24"/>
        </w:rPr>
        <w:lastRenderedPageBreak/>
        <w:t xml:space="preserve">- si l’avis du GISJ exige que des modifications soient apportées (approbation avec conditions), l’administration contractante intègre les modifications proposées; </w:t>
      </w:r>
    </w:p>
    <w:p w14:paraId="6BE43A0B" w14:textId="14E1A641" w:rsidR="00626B9A" w:rsidRPr="005107DF" w:rsidRDefault="00626B9A" w:rsidP="00626B9A">
      <w:pPr>
        <w:spacing w:after="0" w:line="240" w:lineRule="auto"/>
        <w:ind w:left="1134" w:firstLine="12"/>
        <w:jc w:val="both"/>
        <w:rPr>
          <w:rFonts w:ascii="Times New Roman" w:hAnsi="Times New Roman" w:cs="Times New Roman"/>
          <w:color w:val="000000"/>
          <w:sz w:val="24"/>
          <w:szCs w:val="24"/>
        </w:rPr>
      </w:pPr>
      <w:r>
        <w:rPr>
          <w:rFonts w:ascii="Times New Roman" w:hAnsi="Times New Roman"/>
          <w:color w:val="000000"/>
          <w:sz w:val="24"/>
        </w:rPr>
        <w:t>- si l’avis du GISJ est un «rejet», l’administration contractante devra soumettre une nouvelle fois la fiche et recommencer la procédure;</w:t>
      </w:r>
    </w:p>
    <w:p w14:paraId="2D939E59"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complète l’annexe C9 et l’envoie à la délégation de l’UE pour publication sur le site internet de la Commission (la délégation de l’UE informe ensuite l’ECFC/UGP de la référence de la publication);</w:t>
      </w:r>
    </w:p>
    <w:p w14:paraId="132E9AF8"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 communique la fiche de jumelage aux PCN des États membres;</w:t>
      </w:r>
    </w:p>
    <w:p w14:paraId="7DFBDF60"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reçoit les propositions de jumelage soumises par les États membres;</w:t>
      </w:r>
    </w:p>
    <w:p w14:paraId="42B56A6C"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notifie les propositions soumises aux PCN des États membres;</w:t>
      </w:r>
    </w:p>
    <w:p w14:paraId="44C09783"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informe l’administration bénéficiaire des modalités de sélection prévues, notamment où et quand les propositions de jumelage reçues pourront être examinées; </w:t>
      </w:r>
    </w:p>
    <w:p w14:paraId="2B81541C"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vérifie que les propositions répondent à toutes les exigences prévues (conformité administrative et critères d’éligibilité);</w:t>
      </w:r>
    </w:p>
    <w:p w14:paraId="1B846FA5"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organise et préside les réunions préparatoires du comité de sélection;</w:t>
      </w:r>
    </w:p>
    <w:p w14:paraId="42BBCCA1"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notifie les résultats de la procédure de sélection et</w:t>
      </w:r>
      <w:r>
        <w:rPr>
          <w:rFonts w:ascii="Times New Roman" w:hAnsi="Times New Roman"/>
          <w:sz w:val="24"/>
        </w:rPr>
        <w:t xml:space="preserve"> informe tous les PCN des États membres de la proposition sélectionnée, en ajoutant en copie la délégation de l’UE (lorsque celle-ci n’est pas l’administration contractante) et l’équipe de coordination du jumelage;</w:t>
      </w:r>
      <w:r>
        <w:rPr>
          <w:rFonts w:ascii="Times New Roman" w:hAnsi="Times New Roman"/>
          <w:color w:val="000000"/>
          <w:sz w:val="24"/>
        </w:rPr>
        <w:t xml:space="preserve"> </w:t>
      </w:r>
    </w:p>
    <w:p w14:paraId="39A62577"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veille à la préparation correcte et en temps opportun du contrat de subvention de jumelage et le soumet à la délégation de l’UE pour contrôle ex ante;</w:t>
      </w:r>
    </w:p>
    <w:p w14:paraId="35F80C11"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signe le contrat de subvention de jumelage et les éventuels avenants en tant qu’administration contractante et veille à ce que le CP du bénéficiaire paraphe les annexes A1 et A3; </w:t>
      </w:r>
    </w:p>
    <w:p w14:paraId="07F3A6BF"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assiste/conseille les partenaires de jumelage lors de l’élaboration du plan de travail initial et des plans de travail ultérieurs;</w:t>
      </w:r>
    </w:p>
    <w:p w14:paraId="29509434"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effectue les paiements (si cela est prévu) après avoir reçu l’aval de la délégation de l’UE (le cas échéant);</w:t>
      </w:r>
    </w:p>
    <w:p w14:paraId="135245D1"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participe aux réunions trimestrielles du comité de pilotage du projet;</w:t>
      </w:r>
    </w:p>
    <w:p w14:paraId="564D1BDF"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approuve les rapports intermédiaires et le rapport final après avoir reçu l’aval de la délégation de l’UE (le cas échéant, conformément aux accords conclus entre la délégation de l’UE et le pays bénéficiaire);</w:t>
      </w:r>
    </w:p>
    <w:p w14:paraId="673315A6" w14:textId="77777777" w:rsidR="00626B9A"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surveille et évalue la mise en œuvre du projet de jumelage.</w:t>
      </w:r>
    </w:p>
    <w:p w14:paraId="1E103934" w14:textId="77777777" w:rsidR="00D0198E" w:rsidRPr="005107DF" w:rsidRDefault="00D0198E" w:rsidP="005A5556">
      <w:pPr>
        <w:tabs>
          <w:tab w:val="num" w:pos="709"/>
        </w:tabs>
        <w:spacing w:after="0" w:line="240" w:lineRule="auto"/>
        <w:jc w:val="both"/>
        <w:rPr>
          <w:rFonts w:ascii="Times New Roman" w:eastAsia="Times New Roman" w:hAnsi="Times New Roman" w:cs="Times New Roman"/>
          <w:b/>
          <w:color w:val="000000"/>
          <w:sz w:val="24"/>
          <w:szCs w:val="24"/>
        </w:rPr>
      </w:pPr>
    </w:p>
    <w:p w14:paraId="6F6F3C5B" w14:textId="67D41979" w:rsidR="00D0198E" w:rsidRPr="00703EAC" w:rsidRDefault="00D0198E" w:rsidP="007338F0">
      <w:pPr>
        <w:pStyle w:val="Heading5"/>
        <w:rPr>
          <w:rFonts w:eastAsia="SimSun"/>
          <w:b/>
          <w:sz w:val="24"/>
          <w:szCs w:val="24"/>
        </w:rPr>
      </w:pPr>
      <w:bookmarkStart w:id="291" w:name="_Toc462416468"/>
      <w:bookmarkStart w:id="292" w:name="_Toc464459887"/>
      <w:bookmarkStart w:id="293" w:name="_Toc476063268"/>
      <w:bookmarkStart w:id="294" w:name="_Toc476067750"/>
      <w:r w:rsidRPr="00703EAC">
        <w:rPr>
          <w:b/>
          <w:sz w:val="24"/>
          <w:szCs w:val="24"/>
        </w:rPr>
        <w:t>4.2.5.2.2 Rôle spécifique de l’ECFC/UGP en ges</w:t>
      </w:r>
      <w:r w:rsidR="000A67D6">
        <w:rPr>
          <w:b/>
          <w:sz w:val="24"/>
          <w:szCs w:val="24"/>
        </w:rPr>
        <w:t>tion indirecte avec contrôle ex-</w:t>
      </w:r>
      <w:r w:rsidRPr="00703EAC">
        <w:rPr>
          <w:b/>
          <w:sz w:val="24"/>
          <w:szCs w:val="24"/>
        </w:rPr>
        <w:t xml:space="preserve">post </w:t>
      </w:r>
      <w:bookmarkEnd w:id="291"/>
      <w:bookmarkEnd w:id="292"/>
      <w:r w:rsidRPr="00703EAC">
        <w:rPr>
          <w:b/>
          <w:sz w:val="24"/>
          <w:szCs w:val="24"/>
        </w:rPr>
        <w:t xml:space="preserve"> </w:t>
      </w:r>
      <w:bookmarkEnd w:id="293"/>
      <w:bookmarkEnd w:id="294"/>
    </w:p>
    <w:p w14:paraId="196B5F4E" w14:textId="32B0CA12"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w:t>
      </w:r>
      <w:r>
        <w:rPr>
          <w:rFonts w:ascii="Times New Roman" w:hAnsi="Times New Roman"/>
          <w:color w:val="000000"/>
          <w:sz w:val="24"/>
          <w:u w:val="single"/>
        </w:rPr>
        <w:t>gestion indirecte</w:t>
      </w:r>
      <w:r w:rsidR="000A67D6">
        <w:rPr>
          <w:rFonts w:ascii="Times New Roman" w:hAnsi="Times New Roman"/>
          <w:color w:val="000000"/>
          <w:sz w:val="24"/>
        </w:rPr>
        <w:t xml:space="preserve"> avec contrôle ex-</w:t>
      </w:r>
      <w:r>
        <w:rPr>
          <w:rFonts w:ascii="Times New Roman" w:hAnsi="Times New Roman"/>
          <w:color w:val="000000"/>
          <w:sz w:val="24"/>
        </w:rPr>
        <w:t>post, l’ECFC/UGP, en tant qu’administration contractante:</w:t>
      </w:r>
    </w:p>
    <w:p w14:paraId="4733EAB5"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assiste/conseille l’administration bénéficiaire lors de l’élaboration de la fiche de jumelage;</w:t>
      </w:r>
    </w:p>
    <w:p w14:paraId="2DC00483" w14:textId="72BBA0CD"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consulte la délégation de l’UE sur le projet de fiche de jumelage (facultatif);</w:t>
      </w:r>
    </w:p>
    <w:p w14:paraId="3A79D880"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transmet le projet final de fiche de jumelage à l’équipe de coordination du jumelage afin d’obtenir l’avis du groupe interservices de jumelage (GISJ) (facultatif);</w:t>
      </w:r>
    </w:p>
    <w:p w14:paraId="6F738834" w14:textId="2314C7E5" w:rsidR="00626B9A" w:rsidRPr="005107DF" w:rsidRDefault="00626B9A" w:rsidP="00626B9A">
      <w:pPr>
        <w:tabs>
          <w:tab w:val="num" w:pos="3272"/>
        </w:tabs>
        <w:spacing w:after="0" w:line="240" w:lineRule="auto"/>
        <w:ind w:left="1134"/>
        <w:jc w:val="both"/>
        <w:rPr>
          <w:rFonts w:ascii="Times New Roman" w:eastAsia="Times New Roman" w:hAnsi="Times New Roman" w:cs="Times New Roman"/>
          <w:color w:val="000000"/>
          <w:sz w:val="24"/>
          <w:szCs w:val="24"/>
        </w:rPr>
      </w:pPr>
      <w:r>
        <w:rPr>
          <w:rFonts w:ascii="Times New Roman" w:hAnsi="Times New Roman"/>
          <w:color w:val="000000"/>
          <w:sz w:val="24"/>
        </w:rPr>
        <w:t>- si l’avis du GISJ propose que des modifications soient apportées (approbation avec commentaires), l’administration contractante étudie les modifications proposées et celles qu’elle accepte sont apportées;</w:t>
      </w:r>
    </w:p>
    <w:p w14:paraId="3E3D2DB3" w14:textId="6F455390" w:rsidR="00626B9A" w:rsidRPr="005107DF" w:rsidRDefault="00626B9A" w:rsidP="00626B9A">
      <w:pPr>
        <w:tabs>
          <w:tab w:val="num" w:pos="3272"/>
        </w:tabs>
        <w:spacing w:after="0" w:line="240" w:lineRule="auto"/>
        <w:ind w:left="1134"/>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 si l’avis du GISJ exige que des modifications soient apportées (approbation avec conditions), l’administration contractante intègre les modifications proposées; </w:t>
      </w:r>
    </w:p>
    <w:p w14:paraId="4C0EFAC7" w14:textId="0CF3DB9A" w:rsidR="00626B9A" w:rsidRPr="005107DF" w:rsidRDefault="00626B9A" w:rsidP="00626B9A">
      <w:pPr>
        <w:tabs>
          <w:tab w:val="num" w:pos="3272"/>
        </w:tabs>
        <w:spacing w:after="0" w:line="240" w:lineRule="auto"/>
        <w:ind w:left="1134"/>
        <w:jc w:val="both"/>
        <w:rPr>
          <w:rFonts w:ascii="Times New Roman" w:eastAsia="Times New Roman" w:hAnsi="Times New Roman" w:cs="Times New Roman"/>
          <w:color w:val="000000"/>
          <w:sz w:val="24"/>
          <w:szCs w:val="24"/>
        </w:rPr>
      </w:pPr>
      <w:r>
        <w:rPr>
          <w:rFonts w:ascii="Times New Roman" w:hAnsi="Times New Roman"/>
          <w:color w:val="000000"/>
          <w:sz w:val="24"/>
        </w:rPr>
        <w:t>- si l’avis du GISJ est un «rejet», l’administration contractante devra soumettre une nouvelle fois la fiche et recommencer la procédure;</w:t>
      </w:r>
    </w:p>
    <w:p w14:paraId="75B77A75"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complète l’annexe C9 et l’envoie à la délégation de l’UE pour publication sur le site internet de la Commission (la délégation de l’UE informe ensuite l’ECFC/UGP de la référence de la publication);</w:t>
      </w:r>
    </w:p>
    <w:p w14:paraId="1AE1D65D"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 communique la fiche de jumelage aux PCN des États membres;</w:t>
      </w:r>
    </w:p>
    <w:p w14:paraId="64E96B00"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reçoit les propositions de jumelage soumises par les États membres;</w:t>
      </w:r>
    </w:p>
    <w:p w14:paraId="69BAC832"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notifie les propositions soumises aux PCN des États membres;</w:t>
      </w:r>
    </w:p>
    <w:p w14:paraId="3D9F2744"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informe l’administration bénéficiaire des modalités de sélection prévues, notamment où et quand les propositions de jumelage reçues pourront être examinées; </w:t>
      </w:r>
    </w:p>
    <w:p w14:paraId="1DB23445"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vérifie que les propositions répondent à toutes les exigences prévues (conformité administrative et critères d’éligibilité);</w:t>
      </w:r>
    </w:p>
    <w:p w14:paraId="588C095E"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organise et préside les réunions du comité de sélection;</w:t>
      </w:r>
    </w:p>
    <w:p w14:paraId="0F502DDF" w14:textId="6310B945"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invite la délégation de l’UE au comité de sélection à titre d’observatrice, le cas échéant;</w:t>
      </w:r>
    </w:p>
    <w:p w14:paraId="11FC8BDF"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notifie les résultats de la procédure de sélection et</w:t>
      </w:r>
      <w:r>
        <w:rPr>
          <w:rFonts w:ascii="Times New Roman" w:hAnsi="Times New Roman"/>
          <w:sz w:val="24"/>
        </w:rPr>
        <w:t xml:space="preserve"> informe tous les PCN des États membres de la proposition sélectionnée, en ajoutant en copie la délégation de l’UE (lorsque celle-ci n’est pas l’administration contractante) et l’équipe de coordination du jumelage;</w:t>
      </w:r>
      <w:r>
        <w:rPr>
          <w:rFonts w:ascii="Times New Roman" w:hAnsi="Times New Roman"/>
          <w:color w:val="000000"/>
          <w:sz w:val="24"/>
        </w:rPr>
        <w:t xml:space="preserve"> </w:t>
      </w:r>
    </w:p>
    <w:p w14:paraId="208EA4E8"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veille à la préparation correcte et en temps opportun du contrat de subvention de jumelage;</w:t>
      </w:r>
    </w:p>
    <w:p w14:paraId="1B592948" w14:textId="77777777" w:rsidR="00626B9A" w:rsidRPr="005107DF" w:rsidRDefault="00626B9A" w:rsidP="00626B9A">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signe le contrat de subvention de jumelage et les éventuels avenants en tant qu’administration contractante et veille à ce que le CP du bénéficiaire paraphe les annexes A1 et A3;</w:t>
      </w:r>
    </w:p>
    <w:p w14:paraId="46917032"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assiste/conseille les partenaires de jumelage lors de l’élaboration du plan de travail initial et des plans de travail ultérieurs;</w:t>
      </w:r>
    </w:p>
    <w:p w14:paraId="5489FB1D"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effectue les paiements (si cela est prévu);</w:t>
      </w:r>
    </w:p>
    <w:p w14:paraId="4C737647"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participe aux réunions trimestrielles du comité de pilotage du projet;</w:t>
      </w:r>
    </w:p>
    <w:p w14:paraId="048D6D78" w14:textId="0FA28DB9"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invite la délégation de l’UE aux réunions du comité de pilotage du projet à titre d’observatrice (le cas échéant);</w:t>
      </w:r>
    </w:p>
    <w:p w14:paraId="40AD48BE"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approuve les rapports intermédiaires et le rapport final;</w:t>
      </w:r>
    </w:p>
    <w:p w14:paraId="52CC8B0C" w14:textId="77777777" w:rsidR="00626B9A" w:rsidRPr="005107DF" w:rsidRDefault="00626B9A" w:rsidP="00626B9A">
      <w:pPr>
        <w:numPr>
          <w:ilvl w:val="0"/>
          <w:numId w:val="15"/>
        </w:numPr>
        <w:tabs>
          <w:tab w:val="num" w:pos="284"/>
          <w:tab w:val="num" w:pos="709"/>
        </w:tabs>
        <w:spacing w:after="240" w:line="240" w:lineRule="auto"/>
        <w:ind w:left="709" w:hanging="283"/>
        <w:jc w:val="both"/>
        <w:rPr>
          <w:rFonts w:ascii="Times New Roman" w:eastAsia="Times New Roman" w:hAnsi="Times New Roman" w:cs="Times New Roman"/>
          <w:sz w:val="24"/>
          <w:szCs w:val="24"/>
        </w:rPr>
      </w:pPr>
      <w:r>
        <w:rPr>
          <w:rFonts w:ascii="Times New Roman" w:hAnsi="Times New Roman"/>
          <w:color w:val="000000"/>
          <w:sz w:val="24"/>
        </w:rPr>
        <w:t>surveille et évalue la mise en œuvre du projet de jumelage.</w:t>
      </w:r>
    </w:p>
    <w:p w14:paraId="461CC21D" w14:textId="77777777" w:rsidR="00D0198E" w:rsidRPr="005107DF" w:rsidRDefault="00D0198E" w:rsidP="007338F0">
      <w:pPr>
        <w:pStyle w:val="Heading3"/>
      </w:pPr>
      <w:bookmarkStart w:id="295" w:name="_Toc462416469"/>
      <w:bookmarkStart w:id="296" w:name="_Toc464459888"/>
      <w:bookmarkStart w:id="297" w:name="_Toc476063269"/>
      <w:bookmarkStart w:id="298" w:name="_Toc476067751"/>
      <w:bookmarkStart w:id="299" w:name="_Toc517434383"/>
      <w:bookmarkStart w:id="300" w:name="_Toc2860946"/>
      <w:r>
        <w:t xml:space="preserve">4.2.6 Autres tâches du </w:t>
      </w:r>
      <w:bookmarkEnd w:id="295"/>
      <w:bookmarkEnd w:id="296"/>
      <w:bookmarkEnd w:id="297"/>
      <w:bookmarkEnd w:id="298"/>
      <w:r>
        <w:t>bénéficiaire</w:t>
      </w:r>
      <w:bookmarkEnd w:id="299"/>
      <w:bookmarkEnd w:id="300"/>
    </w:p>
    <w:p w14:paraId="584FB8E3"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Les membres du personnel doivent consacrer une partie importante de leur temps au projet de jumelage tout au long de celui-ci. Les membres du personnel de l’administration bénéficiaire participent activement à toutes les activités pertinentes, travaillent en collaboration avec le CRJ et les experts de courte durée, préparent les réunions, les formations, les visites d’étude, etc., et participent à celles-ci. La participation qui est attendue du bénéficiaire doit être détaillée dans la description des activités dans le plan de travail.</w:t>
      </w:r>
    </w:p>
    <w:p w14:paraId="0574BAF4"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En outre, l’administration bénéficiaire sélectionne, pour chaque volet du projet de jumelage, un homologue du responsable de volets, c’est-à-dire un membre de son personnel qui jouera le rôle d’interlocuteur permanent du responsable de volet de l’État membre qui coordonne les activités visant à obtenir un résultat/produit obligatoire spécifique. Le nom et la fonction des homologues des responsables de volets sont communiqués à l’administration contractante au plus tard le jour de la réunion du comité de sélection.</w:t>
      </w:r>
    </w:p>
    <w:p w14:paraId="6A34D7FD"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bénéficiaire met également à la disposition des États membres toutes les infrastructures nécessaires à la réalisation de leurs missions. Un bureau adéquatement équipé doit en particulier être mis à la disposition du CRJ et de son ou ses assistants dès le jour de leur arrivée. Le bénéficiaire doit fournir gratuitement des salles de réunions et de formation en vue </w:t>
      </w:r>
      <w:r>
        <w:rPr>
          <w:rFonts w:ascii="Times New Roman" w:hAnsi="Times New Roman"/>
          <w:color w:val="000000"/>
          <w:sz w:val="24"/>
        </w:rPr>
        <w:lastRenderedPageBreak/>
        <w:t xml:space="preserve">de la mise en œuvre des activités du projet ainsi que des installations de conférence. L’utilisation de locaux différents devant être loués doit être pleinement et dûment justifiée. </w:t>
      </w:r>
    </w:p>
    <w:p w14:paraId="084EEB5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L’administration bénéficiaire met également à disposition un membre de son personnel afin d’assister le CRJ jusqu’à l’achèvement de la procédure de sélection et de recrutement du ou des assistants de ce dernier (voir le point 4.1.6.10).</w:t>
      </w:r>
    </w:p>
    <w:p w14:paraId="56A727B2" w14:textId="77777777" w:rsidR="00D0198E" w:rsidRPr="005107DF" w:rsidRDefault="00D0198E" w:rsidP="007338F0">
      <w:pPr>
        <w:pStyle w:val="Heading2"/>
      </w:pPr>
      <w:bookmarkStart w:id="301" w:name="_Toc462416470"/>
      <w:bookmarkStart w:id="302" w:name="_Toc464459889"/>
      <w:bookmarkStart w:id="303" w:name="_Toc476063270"/>
      <w:bookmarkStart w:id="304" w:name="_Toc476067752"/>
      <w:bookmarkStart w:id="305" w:name="_Toc517434384"/>
      <w:bookmarkStart w:id="306" w:name="_Toc2860947"/>
      <w:r>
        <w:t>4.3 La Commission européenne</w:t>
      </w:r>
      <w:bookmarkEnd w:id="301"/>
      <w:bookmarkEnd w:id="302"/>
      <w:bookmarkEnd w:id="303"/>
      <w:bookmarkEnd w:id="304"/>
      <w:bookmarkEnd w:id="305"/>
      <w:bookmarkEnd w:id="306"/>
    </w:p>
    <w:p w14:paraId="65AAAF41" w14:textId="77777777" w:rsidR="00D0198E" w:rsidRPr="005107DF" w:rsidRDefault="00D0198E" w:rsidP="007338F0">
      <w:pPr>
        <w:pStyle w:val="Heading3"/>
      </w:pPr>
      <w:bookmarkStart w:id="307" w:name="_Toc462416471"/>
      <w:bookmarkStart w:id="308" w:name="_Toc464459890"/>
      <w:bookmarkStart w:id="309" w:name="_Toc476063271"/>
      <w:bookmarkStart w:id="310" w:name="_Toc476067753"/>
      <w:bookmarkStart w:id="311" w:name="_Toc517434385"/>
      <w:bookmarkStart w:id="312" w:name="_Toc2860948"/>
      <w:r>
        <w:t xml:space="preserve">4.3.1 Observations </w:t>
      </w:r>
      <w:bookmarkEnd w:id="307"/>
      <w:bookmarkEnd w:id="308"/>
      <w:bookmarkEnd w:id="309"/>
      <w:bookmarkEnd w:id="310"/>
      <w:r>
        <w:t>générales</w:t>
      </w:r>
      <w:bookmarkEnd w:id="311"/>
      <w:bookmarkEnd w:id="312"/>
    </w:p>
    <w:p w14:paraId="6012376A"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La Commission met à disposition les fonds nécessaires à la mise en œuvre des projets de jumelage au titre d’une convention de financement conclue avec le pays bénéficiaire. </w:t>
      </w:r>
    </w:p>
    <w:p w14:paraId="35E4BF71"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À la suite de la procédure de sélection (voir le point 2.4), l’État membre sélectionné (ou l’État membre principal, en cas de consortium) reçoit une subvention dont la valeur maximale est précisée dans la fiche de jumelage afin de couvrir les dépenses engagées dans le cadre de la mise en œuvre du projet. La Commission fixe le cadre juridique, financier et réglementaire des projets de jumelage. Ses différents services interviennent en tant que facilitateurs et gardiens d’une application juste, transparente et cohérente des règles de jumelage.</w:t>
      </w:r>
      <w:r>
        <w:rPr>
          <w:rFonts w:ascii="Times New Roman" w:hAnsi="Times New Roman"/>
          <w:color w:val="000000"/>
          <w:sz w:val="24"/>
        </w:rPr>
        <w:t xml:space="preserve"> Ils doivent notamment assurer une coordination centrale du jumelage et travailler en liaison avec le réseau des PCN de l’État membre et du pays bénéficiaire.</w:t>
      </w:r>
    </w:p>
    <w:p w14:paraId="2391150A" w14:textId="77777777" w:rsidR="00D0198E" w:rsidRPr="005107DF" w:rsidRDefault="00D0198E" w:rsidP="007338F0">
      <w:pPr>
        <w:pStyle w:val="Heading3"/>
      </w:pPr>
      <w:bookmarkStart w:id="313" w:name="_Toc462416472"/>
      <w:bookmarkStart w:id="314" w:name="_Toc464459891"/>
      <w:bookmarkStart w:id="315" w:name="_Toc476063272"/>
      <w:bookmarkStart w:id="316" w:name="_Toc476067754"/>
      <w:bookmarkStart w:id="317" w:name="_Toc517434386"/>
      <w:bookmarkStart w:id="318" w:name="_Toc2860949"/>
      <w:r>
        <w:t>4.3.2 L’équipe de coordination du jumelage</w:t>
      </w:r>
      <w:bookmarkEnd w:id="313"/>
      <w:bookmarkEnd w:id="314"/>
      <w:bookmarkEnd w:id="315"/>
      <w:bookmarkEnd w:id="316"/>
      <w:bookmarkEnd w:id="317"/>
      <w:bookmarkEnd w:id="318"/>
    </w:p>
    <w:p w14:paraId="0FE0E2F3"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sz w:val="24"/>
          <w:szCs w:val="24"/>
        </w:rPr>
      </w:pPr>
      <w:r>
        <w:rPr>
          <w:rFonts w:ascii="Times New Roman" w:hAnsi="Times New Roman"/>
          <w:sz w:val="24"/>
        </w:rPr>
        <w:t>La coordination centrale des activités de jumelage est assurée par l’équipe de coordination du jumelage de la DG NEAR, dont les tâches couvrent les éléments suivants:</w:t>
      </w:r>
    </w:p>
    <w:p w14:paraId="416F2E3D"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assurer la coordination générale, notamment l’établissement et la mise à jour des règles et procédures de jumelage au moyen du manuel de jumelage;</w:t>
      </w:r>
    </w:p>
    <w:p w14:paraId="614DA935"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offrir des conseils lors de la programmation/planification;</w:t>
      </w:r>
    </w:p>
    <w:p w14:paraId="7B61484B" w14:textId="77777777" w:rsidR="00D0198E" w:rsidRPr="005107DF" w:rsidRDefault="00D0198E" w:rsidP="002F499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enregistrer les organismes mandatés;</w:t>
      </w:r>
    </w:p>
    <w:p w14:paraId="5E1F509E"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fournir aux PCN des États membres des données statistiques sur les projets de jumelage, notamment des indications concernant les prochaines diffusions de fiches de jumelage;</w:t>
      </w:r>
    </w:p>
    <w:p w14:paraId="7264A279"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gérer les procédures du </w:t>
      </w:r>
      <w:r>
        <w:rPr>
          <w:rFonts w:ascii="Times New Roman" w:hAnsi="Times New Roman"/>
          <w:sz w:val="24"/>
        </w:rPr>
        <w:t>groupe interservices</w:t>
      </w:r>
      <w:r>
        <w:rPr>
          <w:rFonts w:ascii="Times New Roman" w:hAnsi="Times New Roman"/>
          <w:color w:val="000000"/>
          <w:sz w:val="24"/>
        </w:rPr>
        <w:t xml:space="preserve"> de jumelage;</w:t>
      </w:r>
    </w:p>
    <w:p w14:paraId="19B9FD70"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informer deux fois par an les PCN des États membres des propositions soumises et des résultats de la sélection pour chaque fiche de jumelage diffusée;</w:t>
      </w:r>
    </w:p>
    <w:p w14:paraId="0F3C605F"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fournir une formation aux CRJ, aux homologues du CRJ et aux CP; </w:t>
      </w:r>
    </w:p>
    <w:p w14:paraId="1A49D636" w14:textId="77777777" w:rsidR="00D0198E" w:rsidRPr="005107DF" w:rsidRDefault="00D0198E" w:rsidP="00D0198E">
      <w:pPr>
        <w:numPr>
          <w:ilvl w:val="0"/>
          <w:numId w:val="15"/>
        </w:numPr>
        <w:tabs>
          <w:tab w:val="num" w:pos="709"/>
          <w:tab w:val="num" w:pos="862"/>
        </w:tabs>
        <w:spacing w:after="0" w:line="240" w:lineRule="auto"/>
        <w:ind w:left="862"/>
        <w:jc w:val="both"/>
        <w:rPr>
          <w:rFonts w:ascii="Times New Roman" w:eastAsia="Times New Roman" w:hAnsi="Times New Roman" w:cs="Times New Roman"/>
          <w:i/>
          <w:color w:val="000000"/>
          <w:sz w:val="24"/>
          <w:szCs w:val="24"/>
        </w:rPr>
      </w:pPr>
      <w:r>
        <w:rPr>
          <w:rFonts w:ascii="Times New Roman" w:hAnsi="Times New Roman"/>
          <w:sz w:val="24"/>
        </w:rPr>
        <w:t>fournir une formation aux coordinateurs de jumelage au sein des délégations de l’UE et des entités bénéficiaires;</w:t>
      </w:r>
    </w:p>
    <w:p w14:paraId="1DAB83DA"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i/>
          <w:color w:val="000000"/>
          <w:sz w:val="24"/>
          <w:szCs w:val="24"/>
        </w:rPr>
      </w:pPr>
      <w:r>
        <w:rPr>
          <w:rFonts w:ascii="Times New Roman" w:hAnsi="Times New Roman"/>
          <w:sz w:val="24"/>
        </w:rPr>
        <w:t>offrir des conseils au sujet des règles et procédures de jumelage fixées dans le manuel de jumelage aux administrations contractantes, aux PCN des États membres et des bénéficiaires, etc.</w:t>
      </w:r>
    </w:p>
    <w:p w14:paraId="57EDF871"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sz w:val="24"/>
          <w:szCs w:val="24"/>
        </w:rPr>
      </w:pPr>
      <w:r>
        <w:rPr>
          <w:rFonts w:ascii="Times New Roman" w:hAnsi="Times New Roman"/>
          <w:sz w:val="24"/>
        </w:rPr>
        <w:t>organiser les réunions des PCN;</w:t>
      </w:r>
    </w:p>
    <w:p w14:paraId="5F60F45F" w14:textId="20026047" w:rsidR="00D0198E" w:rsidRPr="005107DF" w:rsidRDefault="00D0198E" w:rsidP="00D0198E">
      <w:pPr>
        <w:numPr>
          <w:ilvl w:val="0"/>
          <w:numId w:val="15"/>
        </w:numPr>
        <w:tabs>
          <w:tab w:val="num" w:pos="284"/>
          <w:tab w:val="num" w:pos="709"/>
        </w:tabs>
        <w:spacing w:after="240" w:line="240" w:lineRule="auto"/>
        <w:ind w:left="709" w:hanging="283"/>
        <w:jc w:val="both"/>
        <w:rPr>
          <w:rFonts w:ascii="Times New Roman" w:eastAsia="Times New Roman" w:hAnsi="Times New Roman" w:cs="Times New Roman"/>
          <w:color w:val="000000"/>
          <w:sz w:val="24"/>
          <w:szCs w:val="24"/>
        </w:rPr>
      </w:pPr>
      <w:r>
        <w:rPr>
          <w:rFonts w:ascii="Times New Roman" w:hAnsi="Times New Roman"/>
          <w:sz w:val="24"/>
        </w:rPr>
        <w:t>promouvoir le jumelage et diffuser des informations à ce sujet afin d’assurer sa visibilité, également au sein des institutions de l’UE.</w:t>
      </w:r>
    </w:p>
    <w:p w14:paraId="258BBAE1" w14:textId="77777777" w:rsidR="00D0198E" w:rsidRPr="005107DF" w:rsidRDefault="00D0198E" w:rsidP="007338F0">
      <w:pPr>
        <w:pStyle w:val="Heading3"/>
      </w:pPr>
      <w:bookmarkStart w:id="319" w:name="_Toc462416473"/>
      <w:bookmarkStart w:id="320" w:name="_Toc464459892"/>
      <w:bookmarkStart w:id="321" w:name="_Toc476063273"/>
      <w:bookmarkStart w:id="322" w:name="_Toc476067755"/>
      <w:bookmarkStart w:id="323" w:name="_Toc517434387"/>
      <w:bookmarkStart w:id="324" w:name="_Toc2860950"/>
      <w:r>
        <w:lastRenderedPageBreak/>
        <w:t>4.3.3 Rôle général de la Commission</w:t>
      </w:r>
      <w:bookmarkEnd w:id="319"/>
      <w:bookmarkEnd w:id="320"/>
      <w:bookmarkEnd w:id="321"/>
      <w:bookmarkEnd w:id="322"/>
      <w:bookmarkEnd w:id="323"/>
      <w:bookmarkEnd w:id="324"/>
    </w:p>
    <w:p w14:paraId="7C8CFF75" w14:textId="77777777" w:rsidR="00D0198E" w:rsidRPr="005107DF" w:rsidRDefault="00D0198E" w:rsidP="007338F0">
      <w:pPr>
        <w:pStyle w:val="Heading4"/>
      </w:pPr>
      <w:bookmarkStart w:id="325" w:name="_Toc462416474"/>
      <w:bookmarkStart w:id="326" w:name="_Toc464459893"/>
      <w:bookmarkStart w:id="327" w:name="_Toc476063274"/>
      <w:bookmarkStart w:id="328" w:name="_Toc476067756"/>
      <w:r>
        <w:t>4.3.3.1 Rôle de la Commission (délégation de l’UE) en gestion directe</w:t>
      </w:r>
      <w:bookmarkEnd w:id="325"/>
      <w:bookmarkEnd w:id="326"/>
      <w:bookmarkEnd w:id="327"/>
      <w:bookmarkEnd w:id="328"/>
    </w:p>
    <w:p w14:paraId="483134C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w:t>
      </w:r>
      <w:r>
        <w:rPr>
          <w:rFonts w:ascii="Times New Roman" w:hAnsi="Times New Roman"/>
          <w:color w:val="000000"/>
          <w:sz w:val="24"/>
          <w:u w:val="single"/>
        </w:rPr>
        <w:t>gestion directe</w:t>
      </w:r>
      <w:r>
        <w:rPr>
          <w:rFonts w:ascii="Times New Roman" w:hAnsi="Times New Roman"/>
          <w:color w:val="000000"/>
          <w:sz w:val="24"/>
        </w:rPr>
        <w:t>, la délégation de l’UE:</w:t>
      </w:r>
    </w:p>
    <w:p w14:paraId="22C260C8"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assiste/conseille les administrations bénéficiaires lors de l’élaboration des fiches de jumelage;</w:t>
      </w:r>
    </w:p>
    <w:p w14:paraId="16078BC3" w14:textId="77777777" w:rsidR="00BB7FB2" w:rsidRPr="005107DF" w:rsidRDefault="00BB7FB2" w:rsidP="00BB7FB2">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transmet le projet final de fiche de jumelage à l’équipe de coordination du jumelage afin d’obtenir l’avis du </w:t>
      </w:r>
      <w:r>
        <w:rPr>
          <w:rFonts w:ascii="Times New Roman" w:hAnsi="Times New Roman"/>
          <w:i/>
          <w:sz w:val="24"/>
        </w:rPr>
        <w:t xml:space="preserve"> </w:t>
      </w:r>
      <w:r>
        <w:rPr>
          <w:rFonts w:ascii="Times New Roman" w:hAnsi="Times New Roman"/>
          <w:color w:val="000000"/>
          <w:sz w:val="24"/>
        </w:rPr>
        <w:t>groupe interservices de jumelage (GISJ);</w:t>
      </w:r>
    </w:p>
    <w:p w14:paraId="3A8966AC" w14:textId="6CAC1E90" w:rsidR="00BB7FB2" w:rsidRPr="005107DF" w:rsidRDefault="00BB7FB2" w:rsidP="00BB7FB2">
      <w:pPr>
        <w:tabs>
          <w:tab w:val="num" w:pos="3272"/>
        </w:tabs>
        <w:spacing w:after="0" w:line="240" w:lineRule="auto"/>
        <w:ind w:left="1134"/>
        <w:jc w:val="both"/>
        <w:rPr>
          <w:rFonts w:ascii="Times New Roman" w:eastAsia="Times New Roman" w:hAnsi="Times New Roman" w:cs="Times New Roman"/>
          <w:color w:val="000000"/>
          <w:sz w:val="24"/>
          <w:szCs w:val="24"/>
        </w:rPr>
      </w:pPr>
      <w:r>
        <w:rPr>
          <w:rFonts w:ascii="Times New Roman" w:hAnsi="Times New Roman"/>
          <w:color w:val="000000"/>
          <w:sz w:val="24"/>
        </w:rPr>
        <w:t>- si l’avis du GISJ propose que des modifications soient apportées (approbation avec commentaires), l’administration contractante étudie les modifications proposées et celles qu’elle accepte sont apportées;</w:t>
      </w:r>
    </w:p>
    <w:p w14:paraId="44349C1E" w14:textId="221D6EAE" w:rsidR="00BB7FB2" w:rsidRPr="005107DF" w:rsidRDefault="00BB7FB2" w:rsidP="00BB7FB2">
      <w:pPr>
        <w:tabs>
          <w:tab w:val="num" w:pos="3272"/>
        </w:tabs>
        <w:spacing w:after="0" w:line="240" w:lineRule="auto"/>
        <w:ind w:left="1134"/>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 si l’avis du GISJ exige que des modifications soient apportées (approbation avec conditions), l’administration contractante intègre les modifications proposées; </w:t>
      </w:r>
    </w:p>
    <w:p w14:paraId="3155F740" w14:textId="5E2BC022" w:rsidR="00BB7FB2" w:rsidRPr="005107DF" w:rsidRDefault="00BB7FB2" w:rsidP="00BB7FB2">
      <w:pPr>
        <w:tabs>
          <w:tab w:val="num" w:pos="3272"/>
        </w:tabs>
        <w:spacing w:after="0" w:line="240" w:lineRule="auto"/>
        <w:ind w:left="1134"/>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 si l’avis du GISJ est un «rejet», l’administration contractante devra soumettre une nouvelle fois la fiche et recommencer la procédure; </w:t>
      </w:r>
    </w:p>
    <w:p w14:paraId="49FB2F9C" w14:textId="4F76B7A9" w:rsidR="00BB7FB2" w:rsidRPr="005107DF" w:rsidRDefault="009A4ED5"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complète l’annexe C9 (ou C9bis) et l’envoie pour publication sur le site internet de la Commission; </w:t>
      </w:r>
    </w:p>
    <w:p w14:paraId="445E59F3"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communique la fiche de jumelage aux PCN des États membres, lors de la réception de la référence de la publication;</w:t>
      </w:r>
    </w:p>
    <w:p w14:paraId="72AD96CA"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reçoit les propositions de jumelage soumises par les États membres;</w:t>
      </w:r>
    </w:p>
    <w:p w14:paraId="087EC995"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notifie les propositions soumises aux PCN des États membres;</w:t>
      </w:r>
    </w:p>
    <w:p w14:paraId="030818E6"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informe l’administration bénéficiaire des modalités de sélection prévues, notamment où et quand les propositions de jumelage reçues pourront être examinées; </w:t>
      </w:r>
    </w:p>
    <w:p w14:paraId="68AFD2C5"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vérifie que les propositions répondent à toutes les exigences prévues (conformité administrative et critères d’éligibilité);</w:t>
      </w:r>
    </w:p>
    <w:p w14:paraId="3C35B7A5"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organise et préside les réunions préparatoires du comité de sélection;</w:t>
      </w:r>
    </w:p>
    <w:p w14:paraId="73D30AE2" w14:textId="77777777" w:rsidR="00BB7FB2" w:rsidRPr="005107DF" w:rsidRDefault="00BB7FB2" w:rsidP="00BB7FB2">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notifie les résultats de la procédure de sélection et</w:t>
      </w:r>
      <w:r>
        <w:rPr>
          <w:rFonts w:ascii="Times New Roman" w:hAnsi="Times New Roman"/>
          <w:sz w:val="24"/>
        </w:rPr>
        <w:t xml:space="preserve"> informe tous les PCN des États membres de la proposition sélectionnée, en ajoutant en copie la délégation de l’UE (lorsque celle-ci n’est pas l’administration contractante) et l’équipe de coordination du jumelage;</w:t>
      </w:r>
      <w:r>
        <w:rPr>
          <w:rFonts w:ascii="Times New Roman" w:hAnsi="Times New Roman"/>
          <w:color w:val="000000"/>
          <w:sz w:val="24"/>
        </w:rPr>
        <w:t xml:space="preserve"> </w:t>
      </w:r>
    </w:p>
    <w:p w14:paraId="0255670F"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veille à la préparation correcte et en temps opportun du contrat de subvention de jumelage;</w:t>
      </w:r>
    </w:p>
    <w:p w14:paraId="215F4DBE"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signe le contrat de subvention de jumelage et les éventuels avenants en tant qu’administration contractante et veille à ce que le CP du bénéficiaire paraphe les annexes A1 et A3;</w:t>
      </w:r>
    </w:p>
    <w:p w14:paraId="60363AB4"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assiste/conseille les partenaires de jumelage lors de l’élaboration du plan de travail initial et des plans de travail ultérieurs;</w:t>
      </w:r>
    </w:p>
    <w:p w14:paraId="1B770394"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au début du projet, informe les partenaires de jumelage des projets de réforme horizontale de l’administration publique qui ont une influence sur le projet de jumelage;</w:t>
      </w:r>
    </w:p>
    <w:p w14:paraId="3FD105BB"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effectue les paiements;</w:t>
      </w:r>
    </w:p>
    <w:p w14:paraId="50D59CEA"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participe aux réunions trimestrielles du comité de pilotage du projet;</w:t>
      </w:r>
    </w:p>
    <w:p w14:paraId="2DF1AFE0"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approuve les rapports intermédiaires et le rapport final;</w:t>
      </w:r>
    </w:p>
    <w:p w14:paraId="2BF4E950" w14:textId="77777777" w:rsidR="009A4ED5"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surveille et évalue la mise en œuvre des projets de jumelage;</w:t>
      </w:r>
    </w:p>
    <w:p w14:paraId="6DA759BB" w14:textId="77777777" w:rsidR="00BB7FB2" w:rsidRPr="005107DF" w:rsidRDefault="009A4ED5"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introduit la demande de lancement des missions d’évaluation du jumelage.</w:t>
      </w:r>
    </w:p>
    <w:p w14:paraId="2B6828F6" w14:textId="77777777" w:rsidR="00D0198E" w:rsidRPr="005107DF" w:rsidRDefault="00D0198E" w:rsidP="00D0198E">
      <w:pPr>
        <w:spacing w:after="0" w:line="240" w:lineRule="auto"/>
        <w:ind w:left="284"/>
        <w:jc w:val="both"/>
        <w:rPr>
          <w:rFonts w:ascii="Times New Roman" w:eastAsia="Times New Roman" w:hAnsi="Times New Roman" w:cs="Times New Roman"/>
          <w:color w:val="000000"/>
          <w:sz w:val="24"/>
          <w:szCs w:val="24"/>
        </w:rPr>
      </w:pPr>
    </w:p>
    <w:p w14:paraId="55F81DA3" w14:textId="77777777" w:rsidR="00D0198E" w:rsidRPr="005107DF" w:rsidRDefault="00D0198E" w:rsidP="007338F0">
      <w:pPr>
        <w:pStyle w:val="Heading4"/>
      </w:pPr>
      <w:bookmarkStart w:id="329" w:name="_Toc462416475"/>
      <w:bookmarkStart w:id="330" w:name="_Toc464459894"/>
      <w:bookmarkStart w:id="331" w:name="_Toc476063275"/>
      <w:bookmarkStart w:id="332" w:name="_Toc476067757"/>
      <w:r>
        <w:lastRenderedPageBreak/>
        <w:t>4.3.2.2 Rôle de la Commission (délégation de l’UE) en gestion indirecte avec contrôle ex ante</w:t>
      </w:r>
      <w:bookmarkEnd w:id="329"/>
      <w:bookmarkEnd w:id="330"/>
      <w:bookmarkEnd w:id="331"/>
      <w:bookmarkEnd w:id="332"/>
    </w:p>
    <w:p w14:paraId="2A95EB5E" w14:textId="73D5E1FE" w:rsidR="00D0198E" w:rsidRPr="005107DF" w:rsidRDefault="00D0198E" w:rsidP="00D0198E">
      <w:pPr>
        <w:spacing w:after="240" w:line="240" w:lineRule="auto"/>
        <w:jc w:val="both"/>
        <w:rPr>
          <w:rFonts w:ascii="Times New Roman" w:eastAsia="Times New Roman" w:hAnsi="Times New Roman" w:cs="Times New Roman"/>
          <w:bCs/>
          <w:color w:val="000000"/>
          <w:sz w:val="24"/>
          <w:szCs w:val="24"/>
        </w:rPr>
      </w:pPr>
      <w:r>
        <w:rPr>
          <w:rFonts w:ascii="Times New Roman" w:hAnsi="Times New Roman"/>
          <w:color w:val="000000"/>
          <w:sz w:val="24"/>
        </w:rPr>
        <w:t xml:space="preserve">En cas de </w:t>
      </w:r>
      <w:r>
        <w:rPr>
          <w:rFonts w:ascii="Times New Roman" w:hAnsi="Times New Roman"/>
          <w:color w:val="000000"/>
          <w:sz w:val="24"/>
          <w:u w:val="single"/>
        </w:rPr>
        <w:t>gestion indirecte avec contrôle ex ante</w:t>
      </w:r>
      <w:r>
        <w:rPr>
          <w:rFonts w:ascii="Times New Roman" w:hAnsi="Times New Roman"/>
          <w:color w:val="000000"/>
          <w:sz w:val="24"/>
        </w:rPr>
        <w:t xml:space="preserve">, la délégation de l’UE assure les tâches qui lui ont été confiées dans l’accord conclu avec le pays bénéficiaire. La délégation de l’UE se concentre particulièrement sur le contenu de la fiche de jumelage, l’évaluation et la sélection des propositions, le projet de contrat (et les éventuels avenants), le plan de travail détaillé, la gestion financière et l’approbation des rapports. En fonction de l’accord signé avec le bénéficiaire, la délégation de l’UE exerce ses fonctions, qui </w:t>
      </w:r>
      <w:r>
        <w:rPr>
          <w:rFonts w:ascii="Times New Roman" w:hAnsi="Times New Roman"/>
          <w:b/>
          <w:color w:val="000000"/>
          <w:sz w:val="24"/>
        </w:rPr>
        <w:t>peuvent</w:t>
      </w:r>
      <w:r>
        <w:rPr>
          <w:rFonts w:ascii="Times New Roman" w:hAnsi="Times New Roman"/>
          <w:color w:val="000000"/>
          <w:sz w:val="24"/>
        </w:rPr>
        <w:t xml:space="preserve"> notamment être les suivantes: </w:t>
      </w:r>
    </w:p>
    <w:p w14:paraId="54733B95" w14:textId="6F4BD471" w:rsidR="00500524" w:rsidRPr="005107DF" w:rsidRDefault="00500524"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diffusion du projet final de la fiche de jumelage à l’équipe de coordination du jumelage à Bruxelles;</w:t>
      </w:r>
    </w:p>
    <w:p w14:paraId="63C19313" w14:textId="4B21E6F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approbation des fiches de jumelage;</w:t>
      </w:r>
    </w:p>
    <w:p w14:paraId="143438D7" w14:textId="77777777" w:rsidR="00A4531F" w:rsidRPr="005107DF" w:rsidRDefault="00A4531F" w:rsidP="00A4531F">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remplissage de l’annexe C9 (ou C9bis) et envoi de celle-ci pour publication sur le site internet de la Commission;</w:t>
      </w:r>
    </w:p>
    <w:p w14:paraId="32754A07"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participation en tant qu’observateur aux réunions de sélection;</w:t>
      </w:r>
    </w:p>
    <w:p w14:paraId="58A5B1AD"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offre d’une assistance/de conseils aux partenaires de jumelage en ce qui concerne l’élaboration du contrat de subvention de jumelage;</w:t>
      </w:r>
    </w:p>
    <w:p w14:paraId="679E3075"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approbation du contrat de subvention de jumelage (conditions particulières) et des éventuels avenants;</w:t>
      </w:r>
    </w:p>
    <w:p w14:paraId="3AB5E6F3" w14:textId="77777777" w:rsidR="00D0198E" w:rsidRPr="005107DF"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sur demande, offre d’une assistance/de conseils aux partenaires de jumelage lors de l’élaboration du plan de travail initial et des plans de travail ultérieurs;</w:t>
      </w:r>
    </w:p>
    <w:p w14:paraId="6F69C813" w14:textId="77777777" w:rsidR="00D0198E" w:rsidRPr="005107DF" w:rsidRDefault="00D0198E" w:rsidP="00D0198E">
      <w:pPr>
        <w:numPr>
          <w:ilvl w:val="0"/>
          <w:numId w:val="15"/>
        </w:numPr>
        <w:tabs>
          <w:tab w:val="num" w:pos="709"/>
          <w:tab w:val="num" w:pos="862"/>
        </w:tabs>
        <w:spacing w:after="0" w:line="240" w:lineRule="auto"/>
        <w:ind w:left="862"/>
        <w:jc w:val="both"/>
        <w:rPr>
          <w:rFonts w:ascii="Times New Roman" w:eastAsia="Times New Roman" w:hAnsi="Times New Roman" w:cs="Times New Roman"/>
          <w:color w:val="000000"/>
          <w:sz w:val="24"/>
          <w:szCs w:val="24"/>
        </w:rPr>
      </w:pPr>
      <w:r>
        <w:rPr>
          <w:rFonts w:ascii="Times New Roman" w:hAnsi="Times New Roman"/>
          <w:color w:val="000000"/>
          <w:sz w:val="24"/>
        </w:rPr>
        <w:t>approbation des demandes de paiement (si applicable dans le pays bénéficiaire);</w:t>
      </w:r>
    </w:p>
    <w:p w14:paraId="482D6BE6"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participation en tant qu’observateur aux réunions trimestrielles du comité de pilotage du projet;</w:t>
      </w:r>
    </w:p>
    <w:p w14:paraId="11913F15"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approbation des rapports intermédiaires et du rapport final (si applicable conformément aux accords conclus entre l’UE et le</w:t>
      </w:r>
      <w:r>
        <w:rPr>
          <w:rFonts w:ascii="Times New Roman" w:hAnsi="Times New Roman"/>
          <w:sz w:val="24"/>
        </w:rPr>
        <w:t xml:space="preserve"> </w:t>
      </w:r>
      <w:r>
        <w:rPr>
          <w:rFonts w:ascii="Times New Roman" w:hAnsi="Times New Roman"/>
          <w:color w:val="000000"/>
          <w:sz w:val="24"/>
        </w:rPr>
        <w:t>bénéficiaire);</w:t>
      </w:r>
    </w:p>
    <w:p w14:paraId="0C2DCB05" w14:textId="77777777" w:rsidR="009A4ED5" w:rsidRPr="0019382C"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sz w:val="24"/>
          <w:szCs w:val="24"/>
        </w:rPr>
      </w:pPr>
      <w:r>
        <w:rPr>
          <w:rFonts w:ascii="Times New Roman" w:hAnsi="Times New Roman"/>
          <w:color w:val="000000"/>
          <w:sz w:val="24"/>
        </w:rPr>
        <w:t>surveillance et évaluation de la mise en œuvre des projets de jumelage;</w:t>
      </w:r>
    </w:p>
    <w:p w14:paraId="53D22FBE" w14:textId="77777777" w:rsidR="00D0198E" w:rsidRPr="0019382C" w:rsidRDefault="009A4ED5" w:rsidP="009A4ED5">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introduction de la demande de lancement des missions d’évaluation du jumelage.</w:t>
      </w:r>
    </w:p>
    <w:p w14:paraId="417E7D51" w14:textId="77777777" w:rsidR="00D0198E" w:rsidRPr="005107DF" w:rsidRDefault="00D0198E" w:rsidP="00D0198E">
      <w:pPr>
        <w:spacing w:after="0" w:line="240" w:lineRule="auto"/>
        <w:rPr>
          <w:rFonts w:ascii="Times New Roman" w:eastAsia="Times New Roman" w:hAnsi="Times New Roman" w:cs="Times New Roman"/>
          <w:sz w:val="24"/>
          <w:szCs w:val="24"/>
        </w:rPr>
      </w:pPr>
    </w:p>
    <w:p w14:paraId="2C9A587B" w14:textId="1142276B" w:rsidR="00D0198E" w:rsidRPr="005107DF" w:rsidRDefault="00D0198E" w:rsidP="007338F0">
      <w:pPr>
        <w:pStyle w:val="Heading4"/>
      </w:pPr>
      <w:bookmarkStart w:id="333" w:name="_Toc462416476"/>
      <w:bookmarkStart w:id="334" w:name="_Toc464459895"/>
      <w:bookmarkStart w:id="335" w:name="_Toc476063276"/>
      <w:bookmarkStart w:id="336" w:name="_Toc476067758"/>
      <w:r>
        <w:t>4.3.3.3 Rôle de la Commission (délégation de l’UE) en gestion indirecte avec contrôle ex</w:t>
      </w:r>
      <w:r w:rsidR="0099656C">
        <w:t>-</w:t>
      </w:r>
      <w:r>
        <w:t>post</w:t>
      </w:r>
      <w:bookmarkEnd w:id="333"/>
      <w:bookmarkEnd w:id="334"/>
      <w:bookmarkEnd w:id="335"/>
      <w:bookmarkEnd w:id="336"/>
    </w:p>
    <w:p w14:paraId="3841282C" w14:textId="23927831" w:rsidR="00D0198E" w:rsidRPr="005107DF" w:rsidRDefault="00D0198E" w:rsidP="00D0198E">
      <w:pPr>
        <w:spacing w:after="0" w:line="240" w:lineRule="auto"/>
        <w:jc w:val="both"/>
        <w:rPr>
          <w:rFonts w:ascii="Times New Roman" w:eastAsia="Times New Roman" w:hAnsi="Times New Roman" w:cs="Times New Roman"/>
          <w:bCs/>
          <w:color w:val="000000"/>
          <w:sz w:val="24"/>
          <w:szCs w:val="24"/>
        </w:rPr>
      </w:pPr>
      <w:r>
        <w:rPr>
          <w:rFonts w:ascii="Times New Roman" w:hAnsi="Times New Roman"/>
          <w:color w:val="000000"/>
          <w:sz w:val="24"/>
        </w:rPr>
        <w:t xml:space="preserve">En </w:t>
      </w:r>
      <w:r>
        <w:rPr>
          <w:rFonts w:ascii="Times New Roman" w:hAnsi="Times New Roman"/>
          <w:color w:val="000000"/>
          <w:sz w:val="24"/>
          <w:u w:val="single"/>
        </w:rPr>
        <w:t>gestion indirecte avec contrôle ex post</w:t>
      </w:r>
      <w:r>
        <w:rPr>
          <w:rFonts w:ascii="Times New Roman" w:hAnsi="Times New Roman"/>
          <w:color w:val="000000"/>
          <w:sz w:val="24"/>
        </w:rPr>
        <w:t xml:space="preserve">, la Commission se concentre principalement sur le suivi des progrès accomplis en vue de l’obtention et de la pérennisation des résultats/produits obligatoires, mais peut tout de même offrir un soutien pour faciliter la bonne mise en œuvre des projets de jumelage.  </w:t>
      </w:r>
    </w:p>
    <w:p w14:paraId="36AEF062" w14:textId="77777777" w:rsidR="00D0198E" w:rsidRPr="005107DF" w:rsidRDefault="00D0198E" w:rsidP="00D0198E">
      <w:pPr>
        <w:rPr>
          <w:rFonts w:ascii="Times New Roman" w:hAnsi="Times New Roman" w:cs="Times New Roman"/>
        </w:rPr>
      </w:pPr>
    </w:p>
    <w:p w14:paraId="7048B59E" w14:textId="77777777" w:rsidR="00D0198E" w:rsidRPr="005107DF" w:rsidRDefault="00D0198E">
      <w:pPr>
        <w:rPr>
          <w:rFonts w:ascii="Times New Roman" w:hAnsi="Times New Roman" w:cs="Times New Roman"/>
        </w:rPr>
      </w:pPr>
      <w:r>
        <w:br w:type="page"/>
      </w:r>
    </w:p>
    <w:p w14:paraId="306C5C52" w14:textId="77777777" w:rsidR="00D0198E" w:rsidRPr="005107DF" w:rsidRDefault="00D0198E" w:rsidP="007338F0">
      <w:pPr>
        <w:pStyle w:val="Heading1"/>
        <w:pBdr>
          <w:bottom w:val="single" w:sz="4" w:space="1" w:color="auto"/>
        </w:pBdr>
        <w:ind w:left="357" w:hanging="357"/>
      </w:pPr>
      <w:bookmarkStart w:id="337" w:name="_Toc462416477"/>
      <w:bookmarkStart w:id="338" w:name="_Toc464459896"/>
      <w:bookmarkStart w:id="339" w:name="_Toc476063277"/>
      <w:bookmarkStart w:id="340" w:name="_Toc476067759"/>
      <w:bookmarkStart w:id="341" w:name="_Toc517434388"/>
      <w:bookmarkStart w:id="342" w:name="_Toc2860951"/>
      <w:r>
        <w:lastRenderedPageBreak/>
        <w:t>Section 5: la conception</w:t>
      </w:r>
      <w:bookmarkEnd w:id="337"/>
      <w:bookmarkEnd w:id="338"/>
      <w:bookmarkEnd w:id="339"/>
      <w:bookmarkEnd w:id="340"/>
      <w:r>
        <w:t xml:space="preserve"> et la gestion du projet</w:t>
      </w:r>
      <w:bookmarkEnd w:id="341"/>
      <w:bookmarkEnd w:id="342"/>
    </w:p>
    <w:p w14:paraId="481E7B3F" w14:textId="77777777" w:rsidR="00D0198E" w:rsidRPr="005107DF" w:rsidRDefault="00D0198E" w:rsidP="000A67D6">
      <w:pPr>
        <w:pStyle w:val="Heading2"/>
        <w:ind w:left="567" w:hanging="567"/>
      </w:pPr>
      <w:bookmarkStart w:id="343" w:name="_Toc462416478"/>
      <w:bookmarkStart w:id="344" w:name="_Toc464459897"/>
      <w:bookmarkStart w:id="345" w:name="_Toc476063278"/>
      <w:bookmarkStart w:id="346" w:name="_Toc476067760"/>
      <w:bookmarkStart w:id="347" w:name="_Toc517434389"/>
      <w:bookmarkStart w:id="348" w:name="_Toc2860952"/>
      <w:r>
        <w:t xml:space="preserve">5.1 Informations de base dans le </w:t>
      </w:r>
      <w:bookmarkEnd w:id="343"/>
      <w:bookmarkEnd w:id="344"/>
      <w:r>
        <w:t>contrat de subvention de jumelage</w:t>
      </w:r>
      <w:bookmarkEnd w:id="345"/>
      <w:bookmarkEnd w:id="346"/>
      <w:bookmarkEnd w:id="347"/>
      <w:bookmarkEnd w:id="348"/>
      <w:r>
        <w:t xml:space="preserve">  </w:t>
      </w:r>
    </w:p>
    <w:p w14:paraId="546B085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fiche de jumelage reflète la situation réelle à un moment donné. Étant donné que les besoins recensés par l’administration bénéficiaire peuvent évoluer, il est important que l’assistance fournie grâce au jumelage soit déployée dès que possible. Tous les acteurs doivent donc concentrer leurs efforts sur la conclusion rapide des étapes préparatoires menant à la signature du contrat de subvention de jumelage et au début de son exécution.</w:t>
      </w:r>
    </w:p>
    <w:p w14:paraId="292BAD0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contrat de subvention de jumelage est élaboré au moyen d’une série de modèles et comprend les éléments définis au point 3.1.2. L’administration contractante note en particulier qu’il convient uniquement de décider des détails des activités lors de la préparation du plan de travail initial (et de ses mises à jour ultérieures).</w:t>
      </w:r>
    </w:p>
    <w:p w14:paraId="0B999A9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les résultats/produits obligatoires, tels que détaillés dans la fiche de jumelage, devaient exceptionnellement être adaptés ou affinés, cela doit être reflété dans la description des volets figurant à l’annexe A1 du contrat de subvention de jumelage.</w:t>
      </w:r>
    </w:p>
    <w:p w14:paraId="1ECC83C6" w14:textId="77777777" w:rsidR="00D0198E" w:rsidRPr="005107DF" w:rsidRDefault="00D0198E" w:rsidP="007338F0">
      <w:pPr>
        <w:pStyle w:val="Heading2"/>
      </w:pPr>
      <w:bookmarkStart w:id="349" w:name="_Toc462416479"/>
      <w:bookmarkStart w:id="350" w:name="_Toc464459898"/>
      <w:bookmarkStart w:id="351" w:name="_Toc476063279"/>
      <w:bookmarkStart w:id="352" w:name="_Toc476067761"/>
      <w:bookmarkStart w:id="353" w:name="_Toc517434390"/>
      <w:bookmarkStart w:id="354" w:name="_Toc2860953"/>
      <w:r>
        <w:t xml:space="preserve">5.2 Description des activités dans le </w:t>
      </w:r>
      <w:bookmarkEnd w:id="349"/>
      <w:bookmarkEnd w:id="350"/>
      <w:bookmarkEnd w:id="351"/>
      <w:bookmarkEnd w:id="352"/>
      <w:r>
        <w:t>plan de travail</w:t>
      </w:r>
      <w:bookmarkEnd w:id="353"/>
      <w:bookmarkEnd w:id="354"/>
    </w:p>
    <w:p w14:paraId="26E81281" w14:textId="77777777" w:rsidR="00D0198E" w:rsidRPr="005107DF" w:rsidRDefault="00D0198E" w:rsidP="007338F0">
      <w:pPr>
        <w:pStyle w:val="Heading3"/>
      </w:pPr>
      <w:bookmarkStart w:id="355" w:name="_Toc462416480"/>
      <w:bookmarkStart w:id="356" w:name="_Toc464459899"/>
      <w:bookmarkStart w:id="357" w:name="_Toc476063280"/>
      <w:bookmarkStart w:id="358" w:name="_Toc476067762"/>
      <w:bookmarkStart w:id="359" w:name="_Toc517434391"/>
      <w:bookmarkStart w:id="360" w:name="_Toc2860954"/>
      <w:r>
        <w:t>5.2.1 Dispositions générales</w:t>
      </w:r>
      <w:bookmarkEnd w:id="355"/>
      <w:bookmarkEnd w:id="356"/>
      <w:bookmarkEnd w:id="357"/>
      <w:bookmarkEnd w:id="358"/>
      <w:bookmarkEnd w:id="359"/>
      <w:bookmarkEnd w:id="360"/>
    </w:p>
    <w:p w14:paraId="301AB4F5" w14:textId="7B90EBE3" w:rsidR="000B0A4C" w:rsidRPr="005107DF" w:rsidRDefault="000B0A4C" w:rsidP="003524E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Par souci de clarté, toute référence au «plan de travail initial» doit être comprise en ce sens qu’il s’agit du premier plan de travail évolutif couvrant au moins les six premiers mois.</w:t>
      </w:r>
    </w:p>
    <w:p w14:paraId="2E73CCFB" w14:textId="017991B7" w:rsidR="00D0198E" w:rsidRPr="005107DF" w:rsidRDefault="003524E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ce qui concerne la procédure d’approbation des plans de travail initial et évolutifs et des budgets correspondants, veuillez vous référer au point 3.1.2. Dès son arrivée dans le pays bénéficiaire, le CRJ prend immédiatement contact avec l’administration bénéficiaire afin de définir les premières activités à réaliser en tenant compte de la description générale (logique d’intervention) de l’action figurant à l’annexe A1 du contrat de subvention de jumelage, et en particulier des délais indicatifs pour la réalisation des objectifs des volets (si de tels délais sont prévus). Le CP du bénéficiaire et l’homologue du CRJ doivent être disponibles afin d’offrir un soutien au CRJ et de coopérer avec celui-ci. Il incombe au CP du bénéficiaire de veiller à ce que le CRJ dispose des conditions de travail adéquates pour exercer ses fonctions de manière professionnelle et efficace dès le départ. </w:t>
      </w:r>
    </w:p>
    <w:p w14:paraId="2B8B753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Dans les quatre à six semaines suivant l’arrivée du CRJ, celui-ci élabore un plan de travail détaillé pour les six premiers mois d’activité, soit la période couverte par le plan de travail initial. </w:t>
      </w:r>
    </w:p>
    <w:p w14:paraId="201C125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Jusqu’à ce que le CRJ puisse choisir et engager un ou plusieurs assistants (voir le point 4.1.6.10), l’administration bénéficiaire met également à sa disposition un membre de son personnel afin de le soutenir dans ses tâches quotidiennes.</w:t>
      </w:r>
    </w:p>
    <w:p w14:paraId="6FF7CA1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plan de travail initial de 6 mois sert de base à l’élaboration d’un plan de travail évolutif, qui comprend des détails complémentaires sur les activités supplémentaires et/ou clôturées. </w:t>
      </w:r>
      <w:r>
        <w:rPr>
          <w:rFonts w:ascii="Times New Roman" w:hAnsi="Times New Roman"/>
          <w:color w:val="000000"/>
          <w:sz w:val="24"/>
        </w:rPr>
        <w:lastRenderedPageBreak/>
        <w:t xml:space="preserve">En tant que document évolutif, le plan de travail doit être régulièrement mis à jour pour y répertorier les progrès accomplis, les évolutions prévues ou imprévues, la disponibilité des experts des États membres et des bénéficiaires, etc., avec toujours comme objectif la réalisation des résultats/produits obligatoires. Les mises à jour initiale et ultérieures du plan de travail sont officialisées lors de chaque réunion trimestrielle du comité de pilotage du projet (voir le point 5.2.4). </w:t>
      </w:r>
    </w:p>
    <w:p w14:paraId="10111A0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plan de travail se compose de deux parties: la description des activités dans chaque volet et dans les différentes rubriques budgétaires. Les activités doivent être identifiées par la même référence et le même intitulé dans les deux parties, de sorte que les coûts puissent être associés de manière claire et non ambiguë à chaque rubrique budgétaire et les activités à chaque volet. Les activités à mettre en œuvre doivent être énumérées dans l’ordre afin de constituer ensemble une méthodologie pour l’obtention des résultats/produits obligatoires.</w:t>
      </w:r>
    </w:p>
    <w:p w14:paraId="7B1FEBE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plan de travail doit mentionner expressément les entités bénéficiaires concernées par les activités, le personnel responsable de la mobilisation des ressources humaines et logistiques, les ressources financières que devra éventuellement fournir le bénéficiaire et le calendrier des actions à exécuter en parallèle ou en complément des activités réalisées par les experts des États membres.</w:t>
      </w:r>
    </w:p>
    <w:p w14:paraId="12A9348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Afin de renforcer les capacités à long terme de l’administration bénéficiaire, le plan de travail doit inclure des activités visant à améliorer la préparation des documents officiels, comme des documents d'orientation pour une nouvelle législation, des analyses d’impact, des consultations des parties prenantes internes et externes, etc.</w:t>
      </w:r>
    </w:p>
    <w:p w14:paraId="00515A4B" w14:textId="77777777" w:rsidR="00D0198E" w:rsidRPr="005107DF" w:rsidRDefault="00D0198E" w:rsidP="007338F0">
      <w:pPr>
        <w:pStyle w:val="Heading3"/>
      </w:pPr>
      <w:bookmarkStart w:id="361" w:name="_Toc462416481"/>
      <w:bookmarkStart w:id="362" w:name="_Toc464459900"/>
      <w:bookmarkStart w:id="363" w:name="_Toc476063281"/>
      <w:bookmarkStart w:id="364" w:name="_Toc476067763"/>
      <w:bookmarkStart w:id="365" w:name="_Toc517434392"/>
      <w:bookmarkStart w:id="366" w:name="_Toc2860955"/>
      <w:r>
        <w:t>5.2.2 Le</w:t>
      </w:r>
      <w:bookmarkEnd w:id="361"/>
      <w:bookmarkEnd w:id="362"/>
      <w:bookmarkEnd w:id="363"/>
      <w:bookmarkEnd w:id="364"/>
      <w:r>
        <w:t xml:space="preserve"> plan de travail initial</w:t>
      </w:r>
      <w:bookmarkEnd w:id="365"/>
      <w:bookmarkEnd w:id="366"/>
    </w:p>
    <w:p w14:paraId="4C019FA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plan de travail initial constitue la base d’une mise en œuvre efficace et en temps opportun de l’ensemble du projet. Le CRJ et son homologue y consacrent le temps et les efforts nécessaires, avec le soutien actif de l’État membre et du bénéficiaire. Si nécessaire et afin d’accélérer la préparation du plan de travail initial, le ou les chefs de projet de l’État membre et/ou les responsables de volet et un membre du personnel de soutien peuvent se rendre dans le pays bénéficiaire afin de participer à des réunions avec leurs homologues (lors de telles activités, le ou les chefs de l’État membre sont considérés comme des experts de courte durée). Les missions peuvent être couvertes par le budget du projet même si elles ne sont pas associées à une activité liée aux résultats/produits obligatoires, à condition qu’elles aient été convenues avec l’administration contractante et budgétisées dans le contrat de subvention de jumelage. Dans le cadre de la préparation du contrat, l’État membre doit informer l’administration contractante de ses intentions en la matière étant donné que pour ces activités, le ou les chefs de projet de l’État membre sont considérés comme des experts de courte durée.</w:t>
      </w:r>
    </w:p>
    <w:p w14:paraId="75568A2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période de six mois couverte par le plan de travail initial représente un minimum. L’État membre et le bénéficiaire peuvent prolonger cette période lorsque des informations pertinentes sont déjà disponibles et qu’il est possible de programmer les activités à long terme. Cela pourrait être le cas, par exemple, pour des activités à mettre en œuvre successivement sur une période plus longue.</w:t>
      </w:r>
    </w:p>
    <w:p w14:paraId="13FFFE0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plan de travail initial doit définir les indicateurs permettant de mesurer les performances dans chaque volet du projet. </w:t>
      </w:r>
    </w:p>
    <w:p w14:paraId="5EC0001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Il comprend également un plan de communication et de visibilité (voir le point 5.7) qui doit faire l’objet d’un accord entre la délégation de l’UE et le bénéficiaire.</w:t>
      </w:r>
    </w:p>
    <w:p w14:paraId="06CF839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Dès que le plan de travail est finalisé, le CRJ demande à l’administration contractante d’organiser la première réunion du comité de pilotage du projet et présente les activités prévues pour les six premiers mois. Il est ensuite signé par les chefs de projet du bénéficiaire et de l’État membre. Le plan de travail initial doit veiller à ce que les activités puissent débuter au plus tard trois mois après l’arrivée du CRJ.</w:t>
      </w:r>
    </w:p>
    <w:p w14:paraId="61F8E60A" w14:textId="3ED7AB5C"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Si cela est justifié et convenu, les activités (missions d’experts, réunion de lancement, etc.) peuvent avoir lieu avant la signature du plan de travail initial. Dans ce cas, une lettre d’accompagnement doit être traitée. Les activités couvertes par cette lettre d’accompagnement seront prises en considération au moment de convenir du plan de travail initial lors du premier comité de pilotage. </w:t>
      </w:r>
    </w:p>
    <w:p w14:paraId="249DFCD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En ce qui concerne l’ensemble des activités incluses dans le plan de travail, notamment la réunion de lancement, les chefs de projet du bénéficiaire et de l’État membre veillent à ce que tous les coûts exposés ou indemnisés soient justifiés et éligibles.</w:t>
      </w:r>
    </w:p>
    <w:p w14:paraId="5BF919C5" w14:textId="77777777" w:rsidR="00D0198E" w:rsidRPr="005107DF" w:rsidRDefault="00D0198E" w:rsidP="007338F0">
      <w:pPr>
        <w:pStyle w:val="Heading3"/>
      </w:pPr>
      <w:bookmarkStart w:id="367" w:name="_Toc462416482"/>
      <w:bookmarkStart w:id="368" w:name="_Toc464459901"/>
      <w:bookmarkStart w:id="369" w:name="_Toc476063282"/>
      <w:bookmarkStart w:id="370" w:name="_Toc476067764"/>
      <w:bookmarkStart w:id="371" w:name="_Toc517434393"/>
      <w:bookmarkStart w:id="372" w:name="_Toc2860956"/>
      <w:r>
        <w:t xml:space="preserve">5.2.3 Le </w:t>
      </w:r>
      <w:bookmarkEnd w:id="367"/>
      <w:bookmarkEnd w:id="368"/>
      <w:bookmarkEnd w:id="369"/>
      <w:bookmarkEnd w:id="370"/>
      <w:r>
        <w:t>plan de travail évolutif</w:t>
      </w:r>
      <w:bookmarkEnd w:id="371"/>
      <w:bookmarkEnd w:id="372"/>
      <w:r>
        <w:t xml:space="preserve"> </w:t>
      </w:r>
    </w:p>
    <w:p w14:paraId="7E5E82B7"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Tout en assurant la mise en œuvre des activités conformément au plan de travail initial, le CRJ planifie progressivement l’enchaînement et le calendrier des activités à venir. Cela doit se faire sur une perspective de six mois, en offrant à tous les acteurs un délai raisonnable pour respecter leurs engagements, mais sans perdre de vue l’enchaînement des différents volets et la nécessité d’obtenir les résultats/produits obligatoires en temps voulu.</w:t>
      </w:r>
    </w:p>
    <w:p w14:paraId="0AC992C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Vers la fin du trimestre suivant la première réunion du comité de pilotage du projet, le CRJ prépare un plan de travail mis à jour, le plan de travail évolutif, qui contient des détails sur les activités à réaliser dans les trois mois à venir, le partage avec tous les membres du comité de pilotage et organise une deuxième réunion du comité. </w:t>
      </w:r>
      <w:r>
        <w:rPr>
          <w:rFonts w:ascii="Times New Roman" w:hAnsi="Times New Roman"/>
          <w:color w:val="000000"/>
          <w:sz w:val="24"/>
        </w:rPr>
        <w:t>Le plan de travail mis à jour doit analyser les progrès accomplis et les résultats obtenus sur la base des indicateurs de mesure des performances dans chaque volet du projet et, si nécessaire, redéfinir ces indicateurs.</w:t>
      </w:r>
    </w:p>
    <w:p w14:paraId="720FBBB8"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Le comité de pilotage du projet examine le plan de travail évolutif et en discute. Après avoir pris en considération les commentaires et observations de l’administration contractante et, le cas échéant, de la délégation de l’UE, les chefs de projet de l’État membre et du bénéficiaire signent le plan de travail mis à jour qui est joint au rapport trimestriel. Le plan de travail évolutif mis à jour reflète les changements ayant eu lieu au cours de la période précédant la réunion du comité de pilotage.</w:t>
      </w:r>
    </w:p>
    <w:p w14:paraId="60A1783B"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La même procédure pour la mise à jour du plan de travail évolutif est appliquée tout au long de la mise en œuvre du projet.</w:t>
      </w:r>
    </w:p>
    <w:p w14:paraId="2D8E48F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plan de travail évolutif ne peut inclure de modifications qui ne sont pas conformes au contrat de subvention de jumelage ou d’autres modifications qui peuvent être considérées comme importantes selon les critères présentés au point 5.9 et pour lesquelles un avenant est nécessaire.</w:t>
      </w:r>
    </w:p>
    <w:p w14:paraId="4692549E" w14:textId="72D5AEA0"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plan de travail évolutif est valable pour une période minimale de six mois, mais, si les chefs de projet sont confiants, il peut également couvrir une période plus longue ou même l’entièreté du projet.</w:t>
      </w:r>
    </w:p>
    <w:p w14:paraId="76C51B45" w14:textId="77777777" w:rsidR="00D0198E" w:rsidRPr="005107DF" w:rsidRDefault="00D0198E" w:rsidP="007338F0">
      <w:pPr>
        <w:pStyle w:val="Heading3"/>
      </w:pPr>
      <w:bookmarkStart w:id="373" w:name="_Toc462416483"/>
      <w:bookmarkStart w:id="374" w:name="_Toc464459902"/>
      <w:bookmarkStart w:id="375" w:name="_Toc476063283"/>
      <w:bookmarkStart w:id="376" w:name="_Toc476067765"/>
      <w:bookmarkStart w:id="377" w:name="_Toc517434394"/>
      <w:bookmarkStart w:id="378" w:name="_Toc2860957"/>
      <w:r>
        <w:t>5.2.4 Le comité de pilotage du projet</w:t>
      </w:r>
      <w:bookmarkEnd w:id="373"/>
      <w:bookmarkEnd w:id="374"/>
      <w:bookmarkEnd w:id="375"/>
      <w:bookmarkEnd w:id="376"/>
      <w:bookmarkEnd w:id="377"/>
      <w:bookmarkEnd w:id="378"/>
    </w:p>
    <w:p w14:paraId="02B41929" w14:textId="758D9018"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mise en œuvre de chaque projet de jumelage est supervisée par un comité de pilotage du projet, qui est composé de l’administration contractante, de la délégation de l’UE (le cas </w:t>
      </w:r>
      <w:r>
        <w:rPr>
          <w:rFonts w:ascii="Times New Roman" w:hAnsi="Times New Roman"/>
          <w:color w:val="000000"/>
          <w:sz w:val="24"/>
        </w:rPr>
        <w:lastRenderedPageBreak/>
        <w:t xml:space="preserve">échéant), du chef de projet de l’État membre, du ou des chefs de projet de l’État membre junior (en cas de consortium), du chef de projet du bénéficiaire ainsi que du CRJ et de son homologue. Les responsables de volets de l’État membre et leurs homologues du pays bénéficiaire doivent participer aux débats portant sur des sujets relevant de leurs compétences. Si les responsables de volets de l’État membre ne sont pas présents dans le pays bénéficiaire en vue de la mise en œuvre des activités du projet au moment de la réunion, ils peuvent participer par visioconférence ou téléconférence. Le PCN de l’État membre et le PCN du bénéficiaire sont libres de participer aux réunions du comité de pilotage du projet à leurs frais. En accord avec les présidents, les responsables de volets de l’État membre prenant part au projet (s’ils sont présents dans le pays) devraient être invités à participer au comité de pilotage en tant qu’observateurs, sans qu’aucun coût ne soit imputé au budget du jumelage, si cela est jugé approprié. </w:t>
      </w:r>
    </w:p>
    <w:p w14:paraId="5235ED5F" w14:textId="71EB9743"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D’autres entités concernées devraient être invitées aux réunions, en tenant compte de la situation générale en matière de réforme dans le pays bénéficiaire, afin d’assurer la cohérence et la coordination entre le projet et</w:t>
      </w:r>
      <w:r>
        <w:rPr>
          <w:rFonts w:ascii="Times New Roman" w:hAnsi="Times New Roman"/>
          <w:sz w:val="24"/>
        </w:rPr>
        <w:t xml:space="preserve"> </w:t>
      </w:r>
      <w:r>
        <w:rPr>
          <w:rFonts w:ascii="Times New Roman" w:hAnsi="Times New Roman"/>
          <w:color w:val="000000"/>
          <w:sz w:val="24"/>
        </w:rPr>
        <w:t xml:space="preserve">d’autres actions, en particulier les efforts de réforme horizontale de l’administration publique en cours et les activités sectorielles pouvant avoir une influence sur le projet. </w:t>
      </w:r>
    </w:p>
    <w:p w14:paraId="79E027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comité de pilotage du projet, convoqué par le CRJ, se réunit tous les trimestres et est coprésidé par le chef de projet de l’État membre et le chef de projet du bénéficiaire. Si la réunion doit être reportée de plus de deux semaines en raison d’une période de congé, elle est organisée avant cette période de congé.</w:t>
      </w:r>
    </w:p>
    <w:p w14:paraId="274C2678" w14:textId="52DDD3E2"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Parmi les tâches principales du comité de pilotage figurent la vérification des progrès accomplis et des résultats obtenus en matière de bonne coordination entre les acteurs, la finalisation des rapports intermédiaires trimestriels (voir le point 5.5.2) et l’examen du plan de travail mis à jour et de tout CV d’expert participant à la mise en œuvre des activités à venir. Le projet de plan de travail mis à jour est préparé par le CRJ, qui le transmet à tous les membres du comité de pilotage du projet</w:t>
      </w:r>
      <w:r>
        <w:rPr>
          <w:rFonts w:ascii="Times New Roman" w:hAnsi="Times New Roman"/>
          <w:sz w:val="24"/>
        </w:rPr>
        <w:t xml:space="preserve"> </w:t>
      </w:r>
      <w:r>
        <w:rPr>
          <w:rFonts w:ascii="Times New Roman" w:hAnsi="Times New Roman"/>
          <w:color w:val="000000"/>
          <w:sz w:val="24"/>
        </w:rPr>
        <w:t>au moins deux semaines avant une réunion.</w:t>
      </w:r>
    </w:p>
    <w:p w14:paraId="2F6C8EC1" w14:textId="77777777" w:rsidR="00D0198E" w:rsidRPr="005107DF" w:rsidRDefault="00D0198E" w:rsidP="00D0198E">
      <w:pPr>
        <w:spacing w:after="240" w:line="240" w:lineRule="auto"/>
        <w:jc w:val="both"/>
        <w:rPr>
          <w:rFonts w:ascii="Times New Roman" w:eastAsia="Times New Roman" w:hAnsi="Times New Roman" w:cs="Times New Roman"/>
          <w:i/>
          <w:color w:val="000000"/>
          <w:sz w:val="24"/>
          <w:szCs w:val="24"/>
        </w:rPr>
      </w:pPr>
      <w:r>
        <w:rPr>
          <w:rFonts w:ascii="Times New Roman" w:hAnsi="Times New Roman"/>
          <w:color w:val="000000"/>
          <w:sz w:val="24"/>
        </w:rPr>
        <w:t>Au vu des responsabilités importantes du comité, les membres (et les observateurs, le cas échéant) doivent veiller à assister aux réunions dans leur entièreté. Si un plan de travail mis à jour ne peut être approuvé lors d’une réunion trimestrielle normale, une nouvelle réunion sera programmée dans les quinze jours. S’il n’est toujours pas possible de parvenir à un accord, l’administration contractante et la délégation de l’UE (lorsque celle-ci n’est pas l’administration contractante) décident s’il serait utile d’organiser une troisième réunion dans les quinze jours afin d’approuver le plan de travail mis à jour ou s’il doit être mis fin à la mise en œuvre du projet. Si un accord ne peut toujours pas être conclu au sujet du plan de travail lors de la troisième réunion, le projet est considéré comme arrêté et les règles énoncées au point 5.10 s’appliquent.</w:t>
      </w:r>
    </w:p>
    <w:p w14:paraId="72AD4EB0" w14:textId="77777777" w:rsidR="00D0198E" w:rsidRPr="005107DF" w:rsidRDefault="00D0198E" w:rsidP="007338F0">
      <w:pPr>
        <w:pStyle w:val="Heading3"/>
      </w:pPr>
      <w:bookmarkStart w:id="379" w:name="_Toc462416484"/>
      <w:bookmarkStart w:id="380" w:name="_Toc464459903"/>
      <w:bookmarkStart w:id="381" w:name="_Toc476063284"/>
      <w:bookmarkStart w:id="382" w:name="_Toc476067766"/>
      <w:bookmarkStart w:id="383" w:name="_Toc517434395"/>
      <w:bookmarkStart w:id="384" w:name="_Toc2860958"/>
      <w:r>
        <w:t xml:space="preserve">5.2.5 Volets et </w:t>
      </w:r>
      <w:bookmarkEnd w:id="379"/>
      <w:bookmarkEnd w:id="380"/>
      <w:bookmarkEnd w:id="381"/>
      <w:bookmarkEnd w:id="382"/>
      <w:r>
        <w:t>activités</w:t>
      </w:r>
      <w:bookmarkEnd w:id="383"/>
      <w:bookmarkEnd w:id="384"/>
    </w:p>
    <w:p w14:paraId="7DB0A833" w14:textId="36981ECD"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L’obtention des résultats obligatoires dépend de la cohérence, de la continuité et de la bonne mise en œuvre d’un certain nombre d’activités. Ces activités sont énumérées dans chaque volet. Chaque résultat/produit obligatoire correspond à un volet. Un responsable de volet de l’État membre et son homologue du pays bénéficiaire doivent être désignés pour chaque volet du projet de jumelage.</w:t>
      </w:r>
    </w:p>
    <w:p w14:paraId="7D31ACE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Habituellement, les activités mises en œuvre dans le cadre d’un projet de jumelage comprennent des missions d’experts, des séminaires, des ateliers, des formations et des visites </w:t>
      </w:r>
      <w:r>
        <w:rPr>
          <w:rFonts w:ascii="Times New Roman" w:hAnsi="Times New Roman"/>
          <w:color w:val="000000"/>
          <w:sz w:val="24"/>
        </w:rPr>
        <w:lastRenderedPageBreak/>
        <w:t>d’étude. S’il y a lieu, des stages peuvent être organisés à l’intention des fonctionnaires du bénéficiaire au sein des administrations de l’État membre.</w:t>
      </w:r>
    </w:p>
    <w:p w14:paraId="75C2136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Étant donné que les projets de jumelage s’inscrivent généralement dans un effort de réforme plus large, plusieurs activités parallèles et/ou complémentaires sont menées par le bénéficiaire. Celles-ci ne sont pas couvertes par le budget du projet de jumelage. Lorsque le projet de jumelage soutient l’élaboration des politiques et de la législation, et en particulier l’alignement sur</w:t>
      </w:r>
      <w:r>
        <w:rPr>
          <w:rFonts w:ascii="Times New Roman" w:hAnsi="Times New Roman"/>
          <w:i/>
          <w:color w:val="000000"/>
          <w:sz w:val="24"/>
        </w:rPr>
        <w:t xml:space="preserve"> </w:t>
      </w:r>
      <w:r>
        <w:rPr>
          <w:rFonts w:ascii="Times New Roman" w:hAnsi="Times New Roman"/>
          <w:color w:val="000000"/>
          <w:sz w:val="24"/>
        </w:rPr>
        <w:t>l’acquis</w:t>
      </w:r>
      <w:r>
        <w:rPr>
          <w:rFonts w:ascii="Times New Roman" w:hAnsi="Times New Roman"/>
          <w:i/>
          <w:color w:val="000000"/>
          <w:sz w:val="24"/>
        </w:rPr>
        <w:t xml:space="preserve"> </w:t>
      </w:r>
      <w:r>
        <w:rPr>
          <w:rFonts w:ascii="Times New Roman" w:hAnsi="Times New Roman"/>
          <w:color w:val="000000"/>
          <w:sz w:val="24"/>
        </w:rPr>
        <w:t>de l’Union, les activités parallèles et/ou complémentaires peuvent également porter sur une approche de l’élaboration des politiques et de la législation inclusive et fondée sur des éléments de preuve, conforme à la législation et aux procédures du bénéficiaire.</w:t>
      </w:r>
    </w:p>
    <w:p w14:paraId="316FEE6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Des contributions du secteur privé peuvent </w:t>
      </w:r>
      <w:r>
        <w:rPr>
          <w:rFonts w:ascii="Times New Roman" w:hAnsi="Times New Roman"/>
          <w:b/>
          <w:color w:val="000000"/>
          <w:sz w:val="24"/>
        </w:rPr>
        <w:t>exceptionnellement</w:t>
      </w:r>
      <w:r>
        <w:rPr>
          <w:rFonts w:ascii="Times New Roman" w:hAnsi="Times New Roman"/>
          <w:color w:val="000000"/>
          <w:sz w:val="24"/>
        </w:rPr>
        <w:t xml:space="preserve"> s’avérer nécessaires lorsque les administrations publiques ne peuvent fournir une expertise spécifique.</w:t>
      </w:r>
    </w:p>
    <w:p w14:paraId="2E1A9D7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Aucune indemnisation n’est octroyée à l’État membre sur le budget du jumelage pour l’organisation de stages ou de visites d’étude. Ces activités doivent être justifiées au regard des résultats/produits obligatoires à atteindre, limitées dans le temps, réservées à un petit nombre de fonctionnaires du bénéficiaire, soigneusement sélectionnées par les administrations bénéficiaires en consultation avec le CRJ et approuvées par la délégation de l’UE (le cas échéant). </w:t>
      </w:r>
    </w:p>
    <w:p w14:paraId="4E18D91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Comme pour toutes les activités, la décision d’inclure des stages ou des visites d’étude dans le plan de travail doit rester exceptionnelle et doit être spécifiquement justifiée au regard des résultats/produits obligatoires à atteindre.</w:t>
      </w:r>
    </w:p>
    <w:p w14:paraId="2A4C4967" w14:textId="0A9937E6"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frais de déplacement et l’indemnité journalière liés à la participation de l’administration du pays bénéficiaire aux voyages d’étude et/ou aux stages peuvent être couverts par le budget du projet.</w:t>
      </w:r>
    </w:p>
    <w:p w14:paraId="4BA8C14B" w14:textId="77777777" w:rsidR="00D0198E" w:rsidRPr="005107DF" w:rsidRDefault="00D0198E" w:rsidP="007338F0">
      <w:pPr>
        <w:pStyle w:val="Heading2"/>
      </w:pPr>
      <w:bookmarkStart w:id="385" w:name="_Toc462416485"/>
      <w:bookmarkStart w:id="386" w:name="_Toc464459904"/>
      <w:bookmarkStart w:id="387" w:name="_Toc476063285"/>
      <w:bookmarkStart w:id="388" w:name="_Toc476067767"/>
      <w:bookmarkStart w:id="389" w:name="_Toc517434396"/>
      <w:bookmarkStart w:id="390" w:name="_Toc2860959"/>
      <w:r>
        <w:t xml:space="preserve">5.3 Objectifs, délais, durée et analyse </w:t>
      </w:r>
      <w:bookmarkEnd w:id="385"/>
      <w:bookmarkEnd w:id="386"/>
      <w:bookmarkEnd w:id="387"/>
      <w:bookmarkEnd w:id="388"/>
      <w:r>
        <w:t>des risques</w:t>
      </w:r>
      <w:bookmarkEnd w:id="389"/>
      <w:bookmarkEnd w:id="390"/>
    </w:p>
    <w:p w14:paraId="240C4206" w14:textId="77777777" w:rsidR="00D0198E" w:rsidRPr="005107DF" w:rsidRDefault="00D0198E" w:rsidP="007338F0">
      <w:pPr>
        <w:pStyle w:val="Heading3"/>
      </w:pPr>
      <w:bookmarkStart w:id="391" w:name="_Toc462416486"/>
      <w:bookmarkStart w:id="392" w:name="_Toc464459905"/>
      <w:bookmarkStart w:id="393" w:name="_Toc476063286"/>
      <w:bookmarkStart w:id="394" w:name="_Toc476067768"/>
      <w:bookmarkStart w:id="395" w:name="_Toc517434397"/>
      <w:bookmarkStart w:id="396" w:name="_Toc2860960"/>
      <w:r>
        <w:t xml:space="preserve">5.3.1 Définition des objectifs </w:t>
      </w:r>
      <w:bookmarkEnd w:id="391"/>
      <w:bookmarkEnd w:id="392"/>
      <w:r>
        <w:t>du projet</w:t>
      </w:r>
      <w:bookmarkEnd w:id="393"/>
      <w:bookmarkEnd w:id="394"/>
      <w:bookmarkEnd w:id="395"/>
      <w:bookmarkEnd w:id="396"/>
    </w:p>
    <w:p w14:paraId="054DA99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Il convient de définir des objectifs pour le projet de jumelage dans son ensemble et pour chaque volet. La réalisation effective des objectifs représente un aspect important du suivi régulier (voir le point 5.6) et fait l’objet d’une attention particulière dans la partie narrative des rapports intermédiaires (voir le point 5.5.2).</w:t>
      </w:r>
    </w:p>
    <w:p w14:paraId="0F709FD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highlight w:val="yellow"/>
        </w:rPr>
      </w:pPr>
      <w:r>
        <w:rPr>
          <w:rFonts w:ascii="Times New Roman" w:hAnsi="Times New Roman"/>
          <w:color w:val="000000"/>
          <w:sz w:val="24"/>
        </w:rPr>
        <w:t>Le plan de travail initial et le plan de travail évolutif indiquent clairement tous les objectifs dont la réalisation est liée aux activités présentées et précisent dans quel ordre et la date à laquelle ils doivent être réalisés. Les objectifs doivent être concrets et précis afin de permettre une évaluation de leur réalisation qui ne puisse être contestée.</w:t>
      </w:r>
    </w:p>
    <w:p w14:paraId="6EAFB5BE" w14:textId="77777777" w:rsidR="00D0198E" w:rsidRPr="005107DF" w:rsidRDefault="00D0198E" w:rsidP="007338F0">
      <w:pPr>
        <w:pStyle w:val="Heading3"/>
      </w:pPr>
      <w:bookmarkStart w:id="397" w:name="_Toc462416487"/>
      <w:bookmarkStart w:id="398" w:name="_Toc464459906"/>
      <w:bookmarkStart w:id="399" w:name="_Toc476063287"/>
      <w:bookmarkStart w:id="400" w:name="_Toc476067769"/>
      <w:bookmarkStart w:id="401" w:name="_Toc517434398"/>
      <w:bookmarkStart w:id="402" w:name="_Toc2860961"/>
      <w:r>
        <w:t>5.3.2 Délais</w:t>
      </w:r>
      <w:bookmarkEnd w:id="397"/>
      <w:bookmarkEnd w:id="398"/>
      <w:bookmarkEnd w:id="399"/>
      <w:bookmarkEnd w:id="400"/>
      <w:bookmarkEnd w:id="401"/>
      <w:bookmarkEnd w:id="402"/>
    </w:p>
    <w:p w14:paraId="65DC294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délai accordé pour la réalisation de chaque volet est défini lors de la préparation du plan de travail initial et de ses mises à jour ultérieures. Certains volets peuvent être réalisés en parallèle, tandis que pour d’autres, d’autres volets et/ou activités devront d’abord être réalisés dans le cadre de projets mis en œuvre en parallèle par d’autres acteurs (autres donateurs, </w:t>
      </w:r>
      <w:r>
        <w:rPr>
          <w:rFonts w:ascii="Times New Roman" w:hAnsi="Times New Roman"/>
          <w:color w:val="000000"/>
          <w:sz w:val="24"/>
        </w:rPr>
        <w:lastRenderedPageBreak/>
        <w:t xml:space="preserve">autres parties de l’administration bénéficiaire, etc.). Le plan de travail initial et ses mises à jour ultérieures doivent indiquer clairement l’ordre des activités. </w:t>
      </w:r>
    </w:p>
    <w:p w14:paraId="4A28F20B" w14:textId="77777777" w:rsidR="00D0198E" w:rsidRPr="005107DF" w:rsidRDefault="00D0198E" w:rsidP="007338F0">
      <w:pPr>
        <w:pStyle w:val="Heading3"/>
      </w:pPr>
      <w:bookmarkStart w:id="403" w:name="_Toc462416488"/>
      <w:bookmarkStart w:id="404" w:name="_Toc464459907"/>
      <w:bookmarkStart w:id="405" w:name="_Toc476063288"/>
      <w:bookmarkStart w:id="406" w:name="_Toc476067770"/>
      <w:bookmarkStart w:id="407" w:name="_Toc517434399"/>
      <w:bookmarkStart w:id="408" w:name="_Toc2860962"/>
      <w:r>
        <w:t>5.3.3 Durée</w:t>
      </w:r>
      <w:bookmarkEnd w:id="403"/>
      <w:bookmarkEnd w:id="404"/>
      <w:bookmarkEnd w:id="405"/>
      <w:bookmarkEnd w:id="406"/>
      <w:bookmarkEnd w:id="407"/>
      <w:bookmarkEnd w:id="408"/>
    </w:p>
    <w:p w14:paraId="1FDA7AFF"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Chaque projet de jumelage est caractérisé par une période d’exécution et une période de mise en œuvre. </w:t>
      </w:r>
    </w:p>
    <w:p w14:paraId="1BAD4ACD"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La période d’exécution correspond à la durée totale légale du </w:t>
      </w:r>
      <w:r>
        <w:rPr>
          <w:rFonts w:ascii="Times New Roman" w:hAnsi="Times New Roman"/>
          <w:color w:val="000000"/>
          <w:sz w:val="24"/>
        </w:rPr>
        <w:t>contrat de subvention de jumelage</w:t>
      </w:r>
      <w:r>
        <w:rPr>
          <w:rFonts w:ascii="Times New Roman" w:hAnsi="Times New Roman"/>
          <w:sz w:val="24"/>
        </w:rPr>
        <w:t>. Elle commence à la date à laquelle l’administration contractante notifie l’achèvement de la procédure de signature (voir le point 3.3) et se termine trois mois après la fin de la période de mise en œuvre.</w:t>
      </w:r>
    </w:p>
    <w:p w14:paraId="621B5CD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La période de mise en œuvre correspond à la période de temps affectée à la réalisation des activités et à l’obtention des résultats/produits obligatoires. Elle démarre avec l’arrivée du CRJ et se poursuit pendant le nombre de mois indiqués à l’article 2.2 des conditions particulières. </w:t>
      </w:r>
      <w:r>
        <w:rPr>
          <w:rFonts w:ascii="Times New Roman" w:hAnsi="Times New Roman"/>
          <w:color w:val="000000"/>
          <w:sz w:val="24"/>
        </w:rPr>
        <w:t>Au terme de la période de mise en œuvre, les partenaires de jumelage doivent rédiger et présenter le rapport final (voir le point 5.5.3), la demande de paiement final et le rapport de vérification des dépenses (voir le point 5.5.4). Ces documents sont soumis à l’administration contractante avant la fin de la période d’exécution du projet de jumelage.</w:t>
      </w:r>
    </w:p>
    <w:p w14:paraId="4EC63B3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Dans tous les cas, </w:t>
      </w:r>
      <w:r>
        <w:rPr>
          <w:rFonts w:ascii="Times New Roman" w:hAnsi="Times New Roman"/>
          <w:color w:val="000000"/>
          <w:sz w:val="24"/>
        </w:rPr>
        <w:t>l’exécution d’un projet de jumelage doit respecter les délais fixés dans la convention de financement au titre de laquelle le projet est financé.</w:t>
      </w:r>
    </w:p>
    <w:p w14:paraId="25DA77E9" w14:textId="77777777" w:rsidR="00D0198E" w:rsidRPr="005107DF" w:rsidRDefault="00D0198E" w:rsidP="007338F0">
      <w:pPr>
        <w:pStyle w:val="Heading3"/>
      </w:pPr>
      <w:bookmarkStart w:id="409" w:name="_Toc462416489"/>
      <w:bookmarkStart w:id="410" w:name="_Toc464459908"/>
      <w:bookmarkStart w:id="411" w:name="_Toc476063289"/>
      <w:bookmarkStart w:id="412" w:name="_Toc476067771"/>
      <w:bookmarkStart w:id="413" w:name="_Toc517434400"/>
      <w:bookmarkStart w:id="414" w:name="_Toc2860963"/>
      <w:r>
        <w:t>5.3.4 Analyse des risques</w:t>
      </w:r>
      <w:bookmarkEnd w:id="409"/>
      <w:bookmarkEnd w:id="410"/>
      <w:bookmarkEnd w:id="411"/>
      <w:bookmarkEnd w:id="412"/>
      <w:bookmarkEnd w:id="413"/>
      <w:bookmarkEnd w:id="414"/>
    </w:p>
    <w:p w14:paraId="4936F1B2"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Afin d’anticiper et éventuellement d’éviter les problèmes qui pourraient survenir durant la mise en œuvre d’un projet de jumelage, tous les partenaires, et en particulier le CRJ et les CP, doivent avoir pleinement connaissance des hypothèses, des contraintes et des risques associés aux activités. Le plan de travail doit donc contenir une analyse des risques avec des références explicites à tous les aspects pouvant avoir une influence sur la mise en œuvre optimale de chaque activité, en suggérant des solutions possibles et/ou des mesures de précaution.</w:t>
      </w:r>
    </w:p>
    <w:p w14:paraId="5BE32183" w14:textId="77777777" w:rsidR="00D0198E" w:rsidRPr="005107DF" w:rsidRDefault="00D0198E" w:rsidP="000A67D6">
      <w:pPr>
        <w:pStyle w:val="Heading2"/>
        <w:ind w:left="709" w:hanging="709"/>
      </w:pPr>
      <w:bookmarkStart w:id="415" w:name="_Toc517434401"/>
      <w:bookmarkStart w:id="416" w:name="_Toc2860964"/>
      <w:bookmarkStart w:id="417" w:name="_Toc462416490"/>
      <w:bookmarkStart w:id="418" w:name="_Toc464459909"/>
      <w:bookmarkStart w:id="419" w:name="_Toc476063290"/>
      <w:bookmarkStart w:id="420" w:name="_Toc476067772"/>
      <w:r>
        <w:t>5.4 Responsabilités en matière de gestion du projet de jumelage</w:t>
      </w:r>
      <w:bookmarkEnd w:id="415"/>
      <w:bookmarkEnd w:id="416"/>
      <w:r>
        <w:t xml:space="preserve"> </w:t>
      </w:r>
      <w:bookmarkEnd w:id="417"/>
      <w:bookmarkEnd w:id="418"/>
      <w:bookmarkEnd w:id="419"/>
      <w:bookmarkEnd w:id="420"/>
    </w:p>
    <w:p w14:paraId="3389955A" w14:textId="77777777" w:rsidR="00D0198E" w:rsidRPr="005107DF" w:rsidRDefault="008628B3" w:rsidP="007338F0">
      <w:pPr>
        <w:pStyle w:val="Heading3"/>
      </w:pPr>
      <w:bookmarkStart w:id="421" w:name="_Toc462416491"/>
      <w:bookmarkStart w:id="422" w:name="_Toc464459910"/>
      <w:bookmarkStart w:id="423" w:name="_Toc476063291"/>
      <w:bookmarkStart w:id="424" w:name="_Toc476067773"/>
      <w:bookmarkStart w:id="425" w:name="_Toc517434402"/>
      <w:bookmarkStart w:id="426" w:name="_Toc2860965"/>
      <w:r>
        <w:t xml:space="preserve">5.4.1 Administrations du bénéficiaire et de l’État </w:t>
      </w:r>
      <w:bookmarkEnd w:id="421"/>
      <w:bookmarkEnd w:id="422"/>
      <w:bookmarkEnd w:id="423"/>
      <w:bookmarkEnd w:id="424"/>
      <w:r>
        <w:t>membre</w:t>
      </w:r>
      <w:bookmarkEnd w:id="425"/>
      <w:bookmarkEnd w:id="426"/>
    </w:p>
    <w:p w14:paraId="403373B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administrations du bénéficiaire et de l’État membre s’engagent conjointement à obtenir les résultats/produits obligatoires. Chaque chef de projet est responsable des activités attribuées à son administration dans le plan de travail et doit donc avoir autorité sur les ressources humaines et matérielles mises à disposition. Les responsabilités du CP de l’État membre et du CP du bénéficiaire, notamment la gestion des finances et de la logistique nécessaire à l’organisation et à la mise en œuvre des activités décrites dans le plan de travail, sont définies pour chaque activité. Le CRJ et son homologue soutiennent les chefs de projet dans la coordination et la gestion du projet de jumelage.</w:t>
      </w:r>
    </w:p>
    <w:p w14:paraId="10EAFB0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comité de pilotage du projet joue un rôle clé pour assurer la bonne coordination du projet (voir le point 5.2.4).</w:t>
      </w:r>
    </w:p>
    <w:p w14:paraId="21AD7405" w14:textId="77777777" w:rsidR="00D0198E" w:rsidRPr="005107DF" w:rsidRDefault="00D0198E" w:rsidP="007338F0">
      <w:pPr>
        <w:pStyle w:val="Heading3"/>
      </w:pPr>
      <w:bookmarkStart w:id="427" w:name="_Toc462416492"/>
      <w:bookmarkStart w:id="428" w:name="_Toc464459911"/>
      <w:bookmarkStart w:id="429" w:name="_Toc476063292"/>
      <w:bookmarkStart w:id="430" w:name="_Toc476067774"/>
      <w:bookmarkStart w:id="431" w:name="_Toc517434403"/>
      <w:bookmarkStart w:id="432" w:name="_Toc2860966"/>
      <w:r>
        <w:lastRenderedPageBreak/>
        <w:t xml:space="preserve">5.4.2 Projets avec un consortium </w:t>
      </w:r>
      <w:bookmarkEnd w:id="427"/>
      <w:bookmarkEnd w:id="428"/>
      <w:bookmarkEnd w:id="429"/>
      <w:bookmarkEnd w:id="430"/>
      <w:r>
        <w:t>d’États membres</w:t>
      </w:r>
      <w:bookmarkEnd w:id="431"/>
      <w:bookmarkEnd w:id="432"/>
      <w:r>
        <w:t xml:space="preserve"> </w:t>
      </w:r>
    </w:p>
    <w:p w14:paraId="16489EF0" w14:textId="352739F1"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cas de consortium d’États membres, la gestion du projet devient plus complexe. L’expérience montre que les consortiums rassemblant plus de trois partenaires sont inefficaces et doivent donc être évités. Afin de s’adapter à ce degré plus élevé de complexité, l’accord de consortium doit être suffisamment détaillé en ce qui concerne la répartition des tâches et le rôle des partenaires. Il devrait également couvrir les aspects financiers, en particulier les modalités de transfert des fonds entre les membres du consortium, étant donné que tous les paiements sont effectués sur le compte de l’État membre principal. </w:t>
      </w:r>
    </w:p>
    <w:p w14:paraId="7B061CB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le CP de l’État membre assume la responsabilité générale de la préparation du plan de travail initial et de ses mises à jour ultérieures (plans de travail évolutifs), les chefs de projets juniors doivent fournir tout le soutien nécessaire et doivent être consultés au sujet de la contribution de leur État membre à la mise en œuvre du projet de jumelage.</w:t>
      </w:r>
    </w:p>
    <w:p w14:paraId="3488E69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budget du projet de jumelage peut couvrir le coût de la participation des chefs de projet juniors (qui sont alors considérés comme des experts de courte durée) aux réunions avec l’administration bénéficiaire qui portent sur la préparation du plan de travail initial, ainsi qu’aux réunions trimestrielles du comité de pilotage du projet.</w:t>
      </w:r>
    </w:p>
    <w:p w14:paraId="0303BCD3" w14:textId="77777777" w:rsidR="00B50D95" w:rsidRPr="005107DF" w:rsidRDefault="00B50D95" w:rsidP="00B50D95">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Tout désaccord éventuel résultant de l’accord de consortium ne concerne que les parties ayant signé l’accord. </w:t>
      </w:r>
    </w:p>
    <w:p w14:paraId="416FAF70" w14:textId="4456BC9D" w:rsidR="00D0198E" w:rsidRPr="005107DF" w:rsidRDefault="007231C3"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plan de travail initial et les plans de travail évolutifs doivent préciser les responsabilités de chaque partenaire du consortium dans les différents volets du projet et délimiter clairement les missions de chacun, le calendrier et les ressources affectées à chaque tâche (conformément à la ventilation des coûts par rubrique budgétaire et en lien avec les activités reprises dans chaque volet).</w:t>
      </w:r>
    </w:p>
    <w:p w14:paraId="74AA2BC9" w14:textId="77777777" w:rsidR="00D0198E" w:rsidRPr="005107DF" w:rsidRDefault="00D0198E" w:rsidP="007338F0">
      <w:pPr>
        <w:pStyle w:val="Heading3"/>
      </w:pPr>
      <w:bookmarkStart w:id="433" w:name="_Toc462416493"/>
      <w:bookmarkStart w:id="434" w:name="_Toc464459912"/>
      <w:bookmarkStart w:id="435" w:name="_Toc476063293"/>
      <w:bookmarkStart w:id="436" w:name="_Toc476067775"/>
      <w:bookmarkStart w:id="437" w:name="_Toc517434404"/>
      <w:bookmarkStart w:id="438" w:name="_Toc2860967"/>
      <w:r>
        <w:t xml:space="preserve">5.4.3 Contributions exceptionnelles d’autres </w:t>
      </w:r>
      <w:bookmarkEnd w:id="433"/>
      <w:bookmarkEnd w:id="434"/>
      <w:bookmarkEnd w:id="435"/>
      <w:bookmarkEnd w:id="436"/>
      <w:r>
        <w:t>États membres</w:t>
      </w:r>
      <w:bookmarkEnd w:id="437"/>
      <w:bookmarkEnd w:id="438"/>
    </w:p>
    <w:p w14:paraId="3F5EB588" w14:textId="67663ED9" w:rsidR="00D0198E" w:rsidRPr="005107DF" w:rsidRDefault="00D0198E" w:rsidP="00D0198E">
      <w:pPr>
        <w:spacing w:after="240" w:line="240" w:lineRule="auto"/>
        <w:jc w:val="both"/>
        <w:rPr>
          <w:rFonts w:ascii="Times New Roman" w:eastAsia="Times New Roman" w:hAnsi="Times New Roman" w:cs="Times New Roman"/>
          <w:b/>
          <w:sz w:val="24"/>
          <w:szCs w:val="24"/>
        </w:rPr>
      </w:pPr>
      <w:r>
        <w:rPr>
          <w:rFonts w:ascii="Times New Roman" w:hAnsi="Times New Roman"/>
          <w:color w:val="000000"/>
          <w:sz w:val="24"/>
        </w:rPr>
        <w:t>Lorsque cela est justifié et approprié, le CP de l’État membre peut, en accord avec le CP du bénéficiaire, déléguer la réalisation de certaines activités spécifiques à un autre État membre. Il n’est pas nécessaire de signer un accord de consortium lorsqu’une administration publique ou un organisme mandaté de n’importe quel État membre ne fait que fournir des experts dans le cadre d’une telle participation spécifique à un projet de jumelage (par exemple en accueillant des stagiaires du pays bénéficiaire, en organisant un atelier ou une mission d’experts, en dispensant une formation spécialisée, etc.). Dans ce cas, les experts concernés contribuent au projet de jumelage sous l’autorité et la responsabilité du CP de l’État membre, qui doit garantir leur disponibilité et définir les détails de leur participation.</w:t>
      </w:r>
    </w:p>
    <w:p w14:paraId="2F66F175" w14:textId="77777777" w:rsidR="00D0198E" w:rsidRPr="005107DF" w:rsidRDefault="00D0198E" w:rsidP="007338F0">
      <w:pPr>
        <w:pStyle w:val="Heading3"/>
      </w:pPr>
      <w:bookmarkStart w:id="439" w:name="_Toc462416494"/>
      <w:bookmarkStart w:id="440" w:name="_Toc464459913"/>
      <w:bookmarkStart w:id="441" w:name="_Toc476063294"/>
      <w:bookmarkStart w:id="442" w:name="_Toc476067776"/>
      <w:bookmarkStart w:id="443" w:name="_Toc517434405"/>
      <w:bookmarkStart w:id="444" w:name="_Toc2860968"/>
      <w:r>
        <w:t>5.4.4 Gestion logistique et comptabilité</w:t>
      </w:r>
      <w:bookmarkEnd w:id="439"/>
      <w:bookmarkEnd w:id="440"/>
      <w:bookmarkEnd w:id="441"/>
      <w:bookmarkEnd w:id="442"/>
      <w:bookmarkEnd w:id="443"/>
      <w:bookmarkEnd w:id="444"/>
    </w:p>
    <w:p w14:paraId="1B49E1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gestion et la comptabilité d’un projet de jumelage nécessitent un système de soutien auquel l’État membre doit consacrer une quantité adéquate de ressources administratives. Les tâches à effectuer dans ce contexte sont essentiellement de deux types:</w:t>
      </w:r>
    </w:p>
    <w:p w14:paraId="7C508D14" w14:textId="77777777" w:rsidR="00D0198E" w:rsidRPr="005107DF" w:rsidRDefault="00D0198E" w:rsidP="00D0198E">
      <w:pPr>
        <w:spacing w:after="240" w:line="240" w:lineRule="auto"/>
        <w:jc w:val="both"/>
        <w:rPr>
          <w:rFonts w:ascii="Times New Roman" w:eastAsia="Times New Roman" w:hAnsi="Times New Roman" w:cs="Times New Roman"/>
          <w:i/>
          <w:color w:val="000000"/>
          <w:sz w:val="24"/>
          <w:szCs w:val="24"/>
          <w:u w:val="single"/>
        </w:rPr>
      </w:pPr>
      <w:r>
        <w:rPr>
          <w:rFonts w:ascii="Times New Roman" w:hAnsi="Times New Roman"/>
          <w:i/>
          <w:color w:val="000000"/>
          <w:sz w:val="24"/>
          <w:u w:val="single"/>
        </w:rPr>
        <w:t>Gestion logistique</w:t>
      </w:r>
    </w:p>
    <w:p w14:paraId="394143A2" w14:textId="1FC0E184" w:rsidR="00D0198E" w:rsidRDefault="00D0198E" w:rsidP="00D0198E">
      <w:pPr>
        <w:spacing w:after="240" w:line="240" w:lineRule="auto"/>
        <w:jc w:val="both"/>
        <w:rPr>
          <w:rFonts w:ascii="Times New Roman" w:hAnsi="Times New Roman"/>
          <w:color w:val="000000"/>
          <w:sz w:val="24"/>
        </w:rPr>
      </w:pPr>
      <w:r>
        <w:rPr>
          <w:rFonts w:ascii="Times New Roman" w:hAnsi="Times New Roman"/>
          <w:color w:val="000000"/>
          <w:sz w:val="24"/>
        </w:rPr>
        <w:t>Cette catégorie comprend l’organisation des déplacements et la fourniture d’un soutien organisationnel général au CP, au CRJ et à tous les experts de courte durée, ainsi que l’organisation de séminaires, de visites d’étude, etc.</w:t>
      </w:r>
    </w:p>
    <w:p w14:paraId="45984817" w14:textId="77777777" w:rsidR="00AF189F" w:rsidRPr="005107DF" w:rsidRDefault="00AF189F" w:rsidP="00D0198E">
      <w:pPr>
        <w:spacing w:after="240" w:line="240" w:lineRule="auto"/>
        <w:jc w:val="both"/>
        <w:rPr>
          <w:rFonts w:ascii="Times New Roman" w:eastAsia="Times New Roman" w:hAnsi="Times New Roman" w:cs="Times New Roman"/>
          <w:color w:val="000000"/>
          <w:sz w:val="24"/>
          <w:szCs w:val="24"/>
        </w:rPr>
      </w:pPr>
    </w:p>
    <w:p w14:paraId="17CC7200" w14:textId="77777777" w:rsidR="00D0198E" w:rsidRPr="005107DF" w:rsidRDefault="00D0198E" w:rsidP="00D0198E">
      <w:pPr>
        <w:spacing w:after="240" w:line="240" w:lineRule="auto"/>
        <w:jc w:val="both"/>
        <w:rPr>
          <w:rFonts w:ascii="Times New Roman" w:eastAsia="Times New Roman" w:hAnsi="Times New Roman" w:cs="Times New Roman"/>
          <w:i/>
          <w:color w:val="000000"/>
          <w:sz w:val="24"/>
          <w:szCs w:val="24"/>
          <w:u w:val="single"/>
        </w:rPr>
      </w:pPr>
      <w:r>
        <w:rPr>
          <w:rFonts w:ascii="Times New Roman" w:hAnsi="Times New Roman"/>
          <w:i/>
          <w:color w:val="000000"/>
          <w:sz w:val="24"/>
          <w:u w:val="single"/>
        </w:rPr>
        <w:lastRenderedPageBreak/>
        <w:t>Fonctions de gestion financière</w:t>
      </w:r>
    </w:p>
    <w:p w14:paraId="193E1CC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Cette catégorie comprend la comptabilité, la facturation et la gestion des fonds du projet conformément au contrat et aux plans de travail, ainsi que la gestion de tous les documents justifiant les postes de dépense requis par le contrat de subvention de jumelage.</w:t>
      </w:r>
    </w:p>
    <w:p w14:paraId="02E90AA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L’administration bénéficiaire prévoit elle aussi les ressources nécessaires à la gestion logistique d’un projet de jumelage et assure la disponibilité de fonds suffisants pour les activités interdépendantes actuelles et futures réalisées au titre du processus de réforme dans le cadre duquel le projet de jumelage s’inscrit. Cela s’inscrit dans la contribution fournie par le bénéficiaire en vue de la bonne mise en œuvre du projet. </w:t>
      </w:r>
    </w:p>
    <w:p w14:paraId="414A4D2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L’État membre et l’administration bénéficiaire assument l’entière responsabilité de leur participation respective à la gestion générale, logistique et financière en rapport avec la mise en œuvre du projet de jumelage.</w:t>
      </w:r>
    </w:p>
    <w:p w14:paraId="5A7EE2FB"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Il est à noter que le CRJ ne doit pas se voir confier de </w:t>
      </w:r>
      <w:r>
        <w:rPr>
          <w:rFonts w:ascii="Times New Roman" w:hAnsi="Times New Roman"/>
          <w:color w:val="000000"/>
          <w:sz w:val="24"/>
        </w:rPr>
        <w:t>tâches</w:t>
      </w:r>
      <w:r>
        <w:rPr>
          <w:rFonts w:ascii="Times New Roman" w:hAnsi="Times New Roman"/>
          <w:sz w:val="24"/>
        </w:rPr>
        <w:t xml:space="preserve"> générales de gestion logistique et financière.</w:t>
      </w:r>
    </w:p>
    <w:p w14:paraId="50D693CB" w14:textId="77777777" w:rsidR="00D453E4" w:rsidRPr="005107DF" w:rsidRDefault="00D453E4" w:rsidP="00F135F8">
      <w:pPr>
        <w:spacing w:after="240" w:line="240" w:lineRule="auto"/>
        <w:jc w:val="both"/>
        <w:rPr>
          <w:rFonts w:ascii="Times New Roman" w:hAnsi="Times New Roman" w:cs="Times New Roman"/>
          <w:sz w:val="24"/>
          <w:szCs w:val="24"/>
        </w:rPr>
      </w:pPr>
      <w:r>
        <w:rPr>
          <w:rFonts w:ascii="Times New Roman" w:hAnsi="Times New Roman"/>
          <w:sz w:val="24"/>
        </w:rPr>
        <w:t xml:space="preserve">Dans le cas où l’État membre prévoirait d’utiliser une autre administration publique ou un autre organisme mandaté (point 4.1.4.2) pour assurer la gestion financière et logistique, y compris les fonctions de paiement, cet organisme doit être mentionné dans le contrat (dans les conditions particulières). </w:t>
      </w:r>
    </w:p>
    <w:p w14:paraId="55A45838" w14:textId="77777777" w:rsidR="00D0198E" w:rsidRPr="005107DF" w:rsidRDefault="00D0198E" w:rsidP="007338F0">
      <w:pPr>
        <w:pStyle w:val="Heading2"/>
      </w:pPr>
      <w:bookmarkStart w:id="445" w:name="_Toc462416495"/>
      <w:bookmarkStart w:id="446" w:name="_Toc464459914"/>
      <w:bookmarkStart w:id="447" w:name="_Toc476063295"/>
      <w:bookmarkStart w:id="448" w:name="_Toc476067777"/>
      <w:bookmarkStart w:id="449" w:name="_Toc517434406"/>
      <w:bookmarkStart w:id="450" w:name="_Toc2860969"/>
      <w:r>
        <w:t xml:space="preserve">5.5 Exigences en matière de </w:t>
      </w:r>
      <w:bookmarkEnd w:id="445"/>
      <w:bookmarkEnd w:id="446"/>
      <w:bookmarkEnd w:id="447"/>
      <w:bookmarkEnd w:id="448"/>
      <w:r>
        <w:t>rapports</w:t>
      </w:r>
      <w:bookmarkEnd w:id="449"/>
      <w:bookmarkEnd w:id="450"/>
    </w:p>
    <w:p w14:paraId="1CD93F54" w14:textId="77777777" w:rsidR="00D0198E" w:rsidRPr="005107DF" w:rsidRDefault="00D0198E" w:rsidP="007338F0">
      <w:pPr>
        <w:pStyle w:val="Heading3"/>
      </w:pPr>
      <w:bookmarkStart w:id="451" w:name="_Toc462416496"/>
      <w:bookmarkStart w:id="452" w:name="_Toc464459915"/>
      <w:bookmarkStart w:id="453" w:name="_Toc476063296"/>
      <w:bookmarkStart w:id="454" w:name="_Toc476067778"/>
      <w:bookmarkStart w:id="455" w:name="_Toc517434407"/>
      <w:bookmarkStart w:id="456" w:name="_Toc2860970"/>
      <w:r>
        <w:t xml:space="preserve">5.5.1 Observations </w:t>
      </w:r>
      <w:bookmarkEnd w:id="451"/>
      <w:bookmarkEnd w:id="452"/>
      <w:bookmarkEnd w:id="453"/>
      <w:bookmarkEnd w:id="454"/>
      <w:r>
        <w:t>générales</w:t>
      </w:r>
      <w:bookmarkEnd w:id="455"/>
      <w:bookmarkEnd w:id="456"/>
    </w:p>
    <w:p w14:paraId="555F2AF8"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L’élaboration de rapports appropriés sur le projet est essentielle pour assurer un suivi adéquat de la mise en œuvre, pour évaluer les résultats de manière réaliste et pour fournir des informations de qualité en vue de la future programmation des réformes nationales et de l’aide extérieure. La langue choisie pour l’élaboration du contrat de subvention de jumelage (voir le point 3.1.1) est également celle utilisée pour les rapports.</w:t>
      </w:r>
    </w:p>
    <w:p w14:paraId="3F004170"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Deux types de rapports sont prévus dans le cadre du jumelage. Un rapport intermédiaire trimestriel est présenté pour discussion à chaque réunion trimestrielle du comité de pilotage du projet. Un rapport final accompagne la demande de paiement du solde de la subvention. Tous les rapports sont signés par les chefs de projet de l’État membre et du bénéficiaire et soumis par le chef de projet de l’État membre à l’administration contractante, avec copie à la délégation de l’UE (lorsque celle-ci n’est pas l’administration contractante).</w:t>
      </w:r>
    </w:p>
    <w:p w14:paraId="07DB3B42"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Les rapports sur le projet se concentrent sur la mise en œuvre du projet de jumelage et plus particulièrement sur les progrès (ou l’absence de progrès) accomplis en vue d’atteindre les résultats/produits obligatoires, les réalisations et la contribution attendue aux effets à long terme, mais replacent également le projet dans le contexte des initiatives connexes entreprises dans le cadre du même programme et/ou dans le même secteur; ils sont donc partagés avec les autres entités actives dans le secteur (avec l’accord des parties). Les rapports de jumelage doivent être considérés comme l’une des sources d’informations pour la programmation et le suivi au niveau du secteur ou du programme.</w:t>
      </w:r>
    </w:p>
    <w:p w14:paraId="007D171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L’État membre est responsable de l’élaboration des rapports intermédiaires et du rapport final.</w:t>
      </w:r>
      <w:r>
        <w:rPr>
          <w:rFonts w:ascii="Times New Roman" w:hAnsi="Times New Roman"/>
          <w:sz w:val="24"/>
        </w:rPr>
        <w:t xml:space="preserve"> L’administration bénéficiaire est </w:t>
      </w:r>
      <w:r>
        <w:rPr>
          <w:rFonts w:ascii="Times New Roman" w:hAnsi="Times New Roman"/>
          <w:color w:val="000000"/>
          <w:sz w:val="24"/>
        </w:rPr>
        <w:t>pleinement associée au processus d’élaboration du rapport et dispose du temps nécessaire pour transmettre ses commentaires sur les projets de rapports, de sorte qu’au moment de la signature du rapport, le chef de projet du bénéficiaire en approuve entièrement le contenu.</w:t>
      </w:r>
    </w:p>
    <w:p w14:paraId="59EB851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rapports doivent tenir compte non seulement de l’évaluation de l’état d’avancement du projet de jumelage effectuée par le chef de projet de l’État membre, mais aussi des informations fournies par le CRJ et l’administration bénéficiaire et tirées d’autres sources d’informations. </w:t>
      </w:r>
    </w:p>
    <w:p w14:paraId="3B5E15A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Tous les rapports sont constitués d’une partie descriptive et d’une partie financière. Ils comprennent au minimum les informations détaillées aux points 5.5.2 (rapports intermédiaires) et 5.5.3 (rapport final). Si les obligations minimales en matière de rapports ne sont pas remplies, l’administration contractante peut, en accord avec la délégation de l’UE (lorsque celle-ci n’est pas l’administration contractante) et l’équipe de coordination du jumelage, décider de reconsidérer ou de suspendre le financement du projet de jumelage.</w:t>
      </w:r>
    </w:p>
    <w:p w14:paraId="23729459" w14:textId="03DB4ED6"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rapports doivent être soumis dans les délais prévus. En l’absence de réaction dans les 30 jours suivant leur présentation formelle, ils sont réputés être approuvés par l’administration contractante.</w:t>
      </w:r>
      <w:r>
        <w:rPr>
          <w:rFonts w:ascii="Times New Roman" w:hAnsi="Times New Roman"/>
          <w:sz w:val="24"/>
        </w:rPr>
        <w:t xml:space="preserve"> Cette approbation par l’administration contractante ne préjuge pas de l’éligibilité des experts ni des autres postes de dépenses, qui ne seront contrôlés qu’au stade de la vérification des dépenses ou dans le cadre d’audits ultérieurs.</w:t>
      </w:r>
      <w:r>
        <w:rPr>
          <w:rFonts w:ascii="Times New Roman" w:hAnsi="Times New Roman"/>
          <w:color w:val="000000"/>
          <w:sz w:val="24"/>
        </w:rPr>
        <w:t xml:space="preserve"> </w:t>
      </w:r>
    </w:p>
    <w:p w14:paraId="7DB1CF87" w14:textId="77777777" w:rsidR="00D0198E" w:rsidRPr="005107DF" w:rsidRDefault="00D0198E" w:rsidP="007338F0">
      <w:pPr>
        <w:pStyle w:val="Heading3"/>
      </w:pPr>
      <w:bookmarkStart w:id="457" w:name="_Toc462416497"/>
      <w:bookmarkStart w:id="458" w:name="_Toc464459916"/>
      <w:bookmarkStart w:id="459" w:name="_Toc476063297"/>
      <w:bookmarkStart w:id="460" w:name="_Toc476067779"/>
      <w:bookmarkStart w:id="461" w:name="_Toc517434408"/>
      <w:bookmarkStart w:id="462" w:name="_Toc2860971"/>
      <w:r>
        <w:t>5.5.2 Rapports intermédiaires</w:t>
      </w:r>
      <w:bookmarkEnd w:id="457"/>
      <w:bookmarkEnd w:id="458"/>
      <w:bookmarkEnd w:id="459"/>
      <w:bookmarkEnd w:id="460"/>
      <w:r>
        <w:t xml:space="preserve"> trimestriels</w:t>
      </w:r>
      <w:bookmarkEnd w:id="461"/>
      <w:bookmarkEnd w:id="462"/>
    </w:p>
    <w:p w14:paraId="29736CE6" w14:textId="77777777" w:rsidR="00D0198E" w:rsidRPr="005107DF" w:rsidRDefault="00D0198E" w:rsidP="007338F0">
      <w:pPr>
        <w:pStyle w:val="Heading4"/>
      </w:pPr>
      <w:bookmarkStart w:id="463" w:name="_Toc462416498"/>
      <w:bookmarkStart w:id="464" w:name="_Toc464459917"/>
      <w:bookmarkStart w:id="465" w:name="_Toc476063298"/>
      <w:bookmarkStart w:id="466" w:name="_Toc476067780"/>
      <w:r>
        <w:t xml:space="preserve">5.5.2.1 Observations </w:t>
      </w:r>
      <w:bookmarkEnd w:id="463"/>
      <w:bookmarkEnd w:id="464"/>
      <w:bookmarkEnd w:id="465"/>
      <w:bookmarkEnd w:id="466"/>
      <w:r>
        <w:t>générales</w:t>
      </w:r>
    </w:p>
    <w:p w14:paraId="4C257AF6"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Les rapports intermédiaires trimestriels représentent des outils essentiels au suivi d’un projet de jumelage. Ils peuvent contribuer à faciliter la gestion du projet. La période de référence correspond globalement aux trois mois écoulés entre deux réunions du comité de pilotage du projet.</w:t>
      </w:r>
    </w:p>
    <w:p w14:paraId="54EB0D2D"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La partie descriptive contient des explications sur les activités réalisées, des preuves du travail accompli et des informations sur l’évolution globale de la réalisation des résultats/produits obligatoires [influence directe du projet sur la réalisation des objectifs spécifiques (résultats) et son influence indirecte sur celle des objectifs généraux (incidences)]. Elle mentionne également les lacunes et retards potentiels, décrit l’évolution des risques et des hypothèses initialement définis, propose au besoin des ajustements et des solutions et, surtout, résume les décisions qui doivent être adoptées lors de la réunion du comité de pilotage du projet. Plus particulièrement, la partie descriptive doit</w:t>
      </w:r>
      <w:r>
        <w:rPr>
          <w:rFonts w:ascii="Times New Roman" w:hAnsi="Times New Roman"/>
          <w:sz w:val="24"/>
        </w:rPr>
        <w:t>:</w:t>
      </w:r>
    </w:p>
    <w:p w14:paraId="58656112"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inclure un résumé des progrès accomplis, formuler des recommandations précises et proposer des mesures correctives à envisager pour assurer la progression de la mise en œuvre du projet;</w:t>
      </w:r>
    </w:p>
    <w:p w14:paraId="4449D4B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décrire l’état d’avancement de la mise en œuvre du projet de jumelage durant la période couverte par le rapport, en se référant directement aux calendriers, aux cibles et aux indicateurs de performance définis dans le plan de travail et en mettant en évidence toutes les activités éventuelles qui n’avaient pas été prévues auparavant ou celles qui ont été annulées;</w:t>
      </w:r>
    </w:p>
    <w:p w14:paraId="5F716C6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fournir des informations actualisées sur les aspects qui influencent la mise en œuvre du projet;</w:t>
      </w:r>
    </w:p>
    <w:p w14:paraId="1D57BC87"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revoir les hypothèses de départ et les risques inhérents à la mise en œuvre du projet;</w:t>
      </w:r>
    </w:p>
    <w:p w14:paraId="49E8411D"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décrire le processus de mise en œuvre (dynamique de l’état d’avancement global de la réforme sectorielle et des évolutions liées au projet et principaux problèmes et difficultés rencontrés);</w:t>
      </w:r>
    </w:p>
    <w:p w14:paraId="6E16C69B"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procéder à une évaluation globale des progrès accomplis et fournir une appréciation explicite sur la probabilité d’accomplissement du projet dans les limites du calendrier et du budget impartis; </w:t>
      </w:r>
    </w:p>
    <w:p w14:paraId="7ACE16AD"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rPr>
      </w:pPr>
      <w:r>
        <w:rPr>
          <w:rFonts w:ascii="Times New Roman" w:hAnsi="Times New Roman"/>
          <w:color w:val="000000"/>
          <w:sz w:val="24"/>
        </w:rPr>
        <w:t>fournir au besoin des recommandations précises et des mesures correctives.</w:t>
      </w:r>
    </w:p>
    <w:p w14:paraId="4F48DA1E" w14:textId="31BC6D3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Il convient de faire spécifiquement référence aux progrès enregistrés en vue de la réalisation des résultats obligatoires, à l’influence directe sur les résultats et à la probabilité d’une influence indirecte sur les effets escomptés, comme indiqué dans la fiche de jumelage. Il y a lieu également de confirmer que les indicateurs de performance basés sur des mesures définis dans le plan de travail initial sont toujours adéquats.</w:t>
      </w:r>
    </w:p>
    <w:p w14:paraId="38E480B3" w14:textId="0F6C21D1"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La partie financière justifie les dépenses réelles par rapport aux coûts budgétisés, en détaillant chaque dépense encourue au cours de la période couverte par le rapport et en indiquant, pour chaque sous-rubrique budgétaire, le libellé/la description de la dépense, le montant en euros, les rubriques budgétaires et volets concernés ainsi que toute référence à des pièces justificatives.</w:t>
      </w:r>
    </w:p>
    <w:p w14:paraId="312A17AA" w14:textId="10CAAA39"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 rapport intermédiaire trimestriel est présenté pour discussion à chaque réunion du comité de pilotage du projet. Afin de permettre aux participants d’examiner le document, le chef de projet de l’État membre envoie le projet de rapport intermédiaire au chef de projet du bénéficiaire, à l’administration contractante et à la délégation de l’UE deux semaines avant la réunion. Au plus tard une semaine après la réunion, le rapport intermédiaire trimestriel doit être formellement approuvé par le chef de projet de l’État membre et son homologue. Le rapport approuvé doit ensuite être soumis à l’administration contractante pour approbation. En l’absence de réaction de l’administration contractante dans un délai de 21 jours calendaires, le rapport est réputé tacitement approuvé par cette dernière.</w:t>
      </w:r>
    </w:p>
    <w:p w14:paraId="36DA96EC" w14:textId="77777777" w:rsidR="002A7EA5" w:rsidRPr="005107DF" w:rsidRDefault="002A7EA5" w:rsidP="002A7EA5">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Dans le cas où il serait décidé de n’inclure la partie descriptive </w:t>
      </w:r>
      <w:r>
        <w:rPr>
          <w:rFonts w:ascii="Times New Roman" w:hAnsi="Times New Roman"/>
          <w:b/>
          <w:color w:val="000000"/>
          <w:sz w:val="24"/>
        </w:rPr>
        <w:t>détaillée</w:t>
      </w:r>
      <w:r>
        <w:rPr>
          <w:rFonts w:ascii="Times New Roman" w:hAnsi="Times New Roman"/>
          <w:color w:val="000000"/>
          <w:sz w:val="24"/>
        </w:rPr>
        <w:t xml:space="preserve"> du rapport que tous les six mois (voir la section 5.5.2.2), seul un résumé (progrès accomplis, recommandations, mesures correctives à envisager pour assurer la progression de la mise en œuvre du projet) sera présenté lors de la réunion </w:t>
      </w:r>
      <w:r>
        <w:rPr>
          <w:rFonts w:ascii="Times New Roman" w:hAnsi="Times New Roman"/>
          <w:b/>
          <w:color w:val="000000"/>
          <w:sz w:val="24"/>
          <w:u w:val="single"/>
        </w:rPr>
        <w:t>trimestrielle</w:t>
      </w:r>
      <w:r>
        <w:rPr>
          <w:rFonts w:ascii="Times New Roman" w:hAnsi="Times New Roman"/>
          <w:color w:val="000000"/>
          <w:sz w:val="24"/>
        </w:rPr>
        <w:t xml:space="preserve"> du comité de pilotage.</w:t>
      </w:r>
    </w:p>
    <w:p w14:paraId="7CAAE28D" w14:textId="0200781E" w:rsidR="002A7EA5" w:rsidRPr="005107DF" w:rsidRDefault="002A7EA5"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 rapport financier correspondant susmentionné devra néanmoins être présenté et approuvé par le comité de pilotage et l’administration contractante (même si le rapport descriptif détaillé n’est présenté que tous les six mois).</w:t>
      </w:r>
    </w:p>
    <w:p w14:paraId="42C22C97" w14:textId="77777777" w:rsidR="00D0198E" w:rsidRPr="005107DF" w:rsidRDefault="00D0198E" w:rsidP="007338F0">
      <w:pPr>
        <w:pStyle w:val="Heading4"/>
      </w:pPr>
      <w:bookmarkStart w:id="467" w:name="_Toc462416499"/>
      <w:bookmarkStart w:id="468" w:name="_Toc464459918"/>
      <w:bookmarkStart w:id="469" w:name="_Toc476063299"/>
      <w:bookmarkStart w:id="470" w:name="_Toc476067781"/>
      <w:r>
        <w:t>5.5.2.2 Rapport descriptif bisannuel</w:t>
      </w:r>
      <w:bookmarkEnd w:id="467"/>
      <w:bookmarkEnd w:id="468"/>
      <w:bookmarkEnd w:id="469"/>
      <w:bookmarkEnd w:id="470"/>
    </w:p>
    <w:p w14:paraId="2E356FF4" w14:textId="1608821A"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 xml:space="preserve">Le chef de projet de l’État membre, en accord avec le chef de projet bénéficiaire et l’administration contractante, peut décider de n’inclure une longue partie descriptive (couvrant les principaux éléments mentionnés à la section précédente) que dans un rapport intermédiaire trimestriel sur deux, afin de couvrir une période de temps de six mois. Il en informe alors la délégation de l’UE (lorsque celle-ci n’est pas l’administration contractante) </w:t>
      </w:r>
      <w:r>
        <w:rPr>
          <w:rFonts w:ascii="Times New Roman" w:hAnsi="Times New Roman"/>
          <w:color w:val="000000"/>
          <w:sz w:val="24"/>
        </w:rPr>
        <w:lastRenderedPageBreak/>
        <w:t>lors de la première réunion du comité de pilotage du projet. Cette approche n’exclut pas que des questions nécessitant un examen rapide ou présentant un intérêt particulier soient mentionnées dans les rapports intermédiaires, qui n’incluent pas de partie descriptive détaillée.</w:t>
      </w:r>
    </w:p>
    <w:p w14:paraId="5314A7F9" w14:textId="49F11589"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Une partie financière doit être incluse dans chaque rapport intermédiaire trimestriel même lorsque celui-ci n’inclut pas de partie descriptive détaillée.</w:t>
      </w:r>
    </w:p>
    <w:p w14:paraId="5A7CEE78" w14:textId="77777777" w:rsidR="00D0198E" w:rsidRPr="005107DF" w:rsidRDefault="00D0198E" w:rsidP="007338F0">
      <w:pPr>
        <w:pStyle w:val="Heading3"/>
      </w:pPr>
      <w:bookmarkStart w:id="471" w:name="_Toc462416500"/>
      <w:bookmarkStart w:id="472" w:name="_Toc464459919"/>
      <w:bookmarkStart w:id="473" w:name="_Toc476063300"/>
      <w:bookmarkStart w:id="474" w:name="_Toc476067782"/>
      <w:bookmarkStart w:id="475" w:name="_Toc517434409"/>
      <w:bookmarkStart w:id="476" w:name="_Toc2860972"/>
      <w:r>
        <w:t xml:space="preserve">5.5.3 Rapport </w:t>
      </w:r>
      <w:bookmarkEnd w:id="471"/>
      <w:bookmarkEnd w:id="472"/>
      <w:bookmarkEnd w:id="473"/>
      <w:bookmarkEnd w:id="474"/>
      <w:r>
        <w:t>final</w:t>
      </w:r>
      <w:bookmarkEnd w:id="475"/>
      <w:bookmarkEnd w:id="476"/>
    </w:p>
    <w:p w14:paraId="05D56AD5"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En plus de décrire la mise en œuvre du projet de jumelage dans son ensemble, le rapport final répond à un triple objectif: évaluation, recommandation et responsabilité. Il s’agit d’un document global justifiant les résultats obtenus par les partenaires de jumelage et la contribution au processus de réforme dans le domaine d’action concerné et suggérant de possibles actions de suivi.</w:t>
      </w:r>
    </w:p>
    <w:p w14:paraId="67701CCE"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La partie descriptive du rapport final rend compte de manière exhaustive de la mise en œuvre du projet, en le replaçant dans le cadre plus général de l’évolution sectorielle dans le pays bénéficiaire.</w:t>
      </w:r>
    </w:p>
    <w:p w14:paraId="530E0A37"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Plus particulièrement, la partie descriptive du rapport final doit:</w:t>
      </w:r>
    </w:p>
    <w:p w14:paraId="5CAAB1B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donner un aperçu de l’évolution du secteur concerné durant la période de mise en œuvre du projet de jumelage; </w:t>
      </w:r>
    </w:p>
    <w:p w14:paraId="1B710CEE"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fournir une évaluation des résultats/produits obligatoires du projet en tenant compte de la contribution de ce dernier auxdits résultats/produits;</w:t>
      </w:r>
    </w:p>
    <w:p w14:paraId="5B09D090"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inclure un résumé du projet de jumelage et indiquer les décisions qui doivent être adoptées en vue de pérenniser les résultats/produits obligatoires obtenus;</w:t>
      </w:r>
    </w:p>
    <w:p w14:paraId="229316CE"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évaluer les principaux problèmes persistants au niveau sectoriel;</w:t>
      </w:r>
    </w:p>
    <w:p w14:paraId="7FDEA54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décrire le processus de mise en œuvre (en présentant notamment les obstacles et difficultés rencontrés);</w:t>
      </w:r>
    </w:p>
    <w:p w14:paraId="1B77FA87" w14:textId="77777777" w:rsidR="00D0198E" w:rsidRPr="005107DF" w:rsidRDefault="00D0198E" w:rsidP="001628B5">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confirmer la réalisation des résultats, l’obtention des résultats/produits obligatoires et l’influence du projet sur les retombées, en utilisant les indicateurs du plan de travail et/ou de la fiche de jumelage (dans le cas où un résultat n’aurait pas été atteint, il convient de fournir une explication détaillée);</w:t>
      </w:r>
    </w:p>
    <w:p w14:paraId="64D2BD3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fournir une évaluation de l’effet à long terme du projet sur la base des objectifs/incidences globaux définis dans les accords conclus entre l’UE et le pays bénéficiaire);</w:t>
      </w:r>
    </w:p>
    <w:p w14:paraId="03B205A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inclure des informations sur toutes les actions de communication et de visibilité et évaluer leurs résultats; </w:t>
      </w:r>
    </w:p>
    <w:p w14:paraId="5F90B31C" w14:textId="40D417E3"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recenser les enseignements tirés (conception du projet, processus, obtention effective de résultats, etc.) susceptibles de présenter un intérêt pour les projets de jumelage similaires; </w:t>
      </w:r>
    </w:p>
    <w:p w14:paraId="4D341D47"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rPr>
      </w:pPr>
      <w:r>
        <w:rPr>
          <w:rFonts w:ascii="Times New Roman" w:hAnsi="Times New Roman"/>
          <w:color w:val="000000"/>
          <w:sz w:val="24"/>
        </w:rPr>
        <w:t>fournir des preuves des transferts de propriété (le cas échéant);</w:t>
      </w:r>
    </w:p>
    <w:p w14:paraId="6353FA0B" w14:textId="77777777" w:rsidR="00C7573E" w:rsidRPr="005107DF" w:rsidRDefault="008628B3"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rPr>
      </w:pPr>
      <w:r>
        <w:rPr>
          <w:rFonts w:ascii="Times New Roman" w:hAnsi="Times New Roman"/>
          <w:color w:val="000000"/>
          <w:sz w:val="24"/>
        </w:rPr>
        <w:lastRenderedPageBreak/>
        <w:t>inclure une liste de recommandations visant à assurer la durabilité des résultats.</w:t>
      </w:r>
    </w:p>
    <w:p w14:paraId="27AC5C41" w14:textId="77777777" w:rsidR="00D0198E" w:rsidRPr="005107DF" w:rsidRDefault="00D0198E" w:rsidP="001628B5">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partie financière du rapport final contient les mêmes informations que dans la partie financière des rapports intermédiaires trimestriels, mais fait référence à la mise en œuvre globale du projet. Il convient d’y inclure un relevé final de tous les coûts éligibles encourus, ainsi qu’un récapitulatif complet des dépenses du projet et des paiements reçus. Le rapport final sera accompagné d’un rapport de vérification des dépenses (voir le point 5.5.4).</w:t>
      </w:r>
    </w:p>
    <w:p w14:paraId="1A5BDE71"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 rapport final, accompagné du rapport de vérification des dépenses et de la demande de paiement final, est transmis à l’administration contractante au plus tard dans les trois mois suivant la fin de la période de mise en œuvre telle que définie à l’article 2.2 des conditions particulières du contrat de subvention de jumelage, soit pendant la période d’exécution du contrat.</w:t>
      </w:r>
    </w:p>
    <w:p w14:paraId="51714AB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l’État membre n’a pas présenté de rapport final à l’administration contractante à la date limite indiquée ci-dessus et s’il n’a pas fourni de justification écrite acceptable et suffisante pour expliquer les raisons qui l’ont empêché de respecter cette obligation, l’administration contractante peut résilier le contrat de subvention de jumelage, conformément au point 5.10.2 du présent manuel de jumelage et à l’article 12.2 des conditions générales du contrat de subvention de jumelage, et récupérer les montants non justifiés déjà payés à l’État membre.</w:t>
      </w:r>
    </w:p>
    <w:p w14:paraId="024B90F8" w14:textId="77777777" w:rsidR="00D0198E" w:rsidRPr="005107DF" w:rsidRDefault="00D0198E" w:rsidP="007338F0">
      <w:pPr>
        <w:pStyle w:val="Heading3"/>
      </w:pPr>
      <w:bookmarkStart w:id="477" w:name="_Toc462416501"/>
      <w:bookmarkStart w:id="478" w:name="_Toc464459920"/>
      <w:bookmarkStart w:id="479" w:name="_Toc476063301"/>
      <w:bookmarkStart w:id="480" w:name="_Toc476067783"/>
      <w:bookmarkStart w:id="481" w:name="_Toc517434410"/>
      <w:bookmarkStart w:id="482" w:name="_Toc2860973"/>
      <w:r>
        <w:t>5.5.4 Rapport de vérification des dépenses</w:t>
      </w:r>
      <w:bookmarkEnd w:id="477"/>
      <w:bookmarkEnd w:id="478"/>
      <w:bookmarkEnd w:id="479"/>
      <w:bookmarkEnd w:id="480"/>
      <w:bookmarkEnd w:id="481"/>
      <w:bookmarkEnd w:id="482"/>
    </w:p>
    <w:p w14:paraId="280528B3"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Le rapport final et la demande finale de paiement sont accompagnés d’un rapport de vérification des dépenses élaboré par un auditeur approuvé ou choisi conjointement par l’administration contractante et l’État membre (voir l’article 5.2 du</w:t>
      </w:r>
      <w:r>
        <w:rPr>
          <w:rFonts w:ascii="Times New Roman" w:hAnsi="Times New Roman"/>
          <w:color w:val="000000"/>
          <w:sz w:val="24"/>
        </w:rPr>
        <w:t xml:space="preserve"> contrat de subvention de jumelage). L’auditeur doit si possible être sélectionné au moment de l’élaboration du contrat. Si ce n’est pas possible, l’auditeur pourra être choisi ultérieurement et les informations seront ajoutées au contrat de subvention de jumelage.</w:t>
      </w:r>
    </w:p>
    <w:p w14:paraId="68F7341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rapport de vérification des dépenses est élaboré conformément à l’annexe A6 du contrat de subvention de jumelage. </w:t>
      </w:r>
    </w:p>
    <w:p w14:paraId="6E97529D" w14:textId="77777777" w:rsidR="00D0198E" w:rsidRPr="005107DF" w:rsidRDefault="00F865A3"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 xml:space="preserve">S’il soumet un rapport de vérification des dépenses, l’État membre ne doit pas soumettre les justificatifs originaux (factures) à l’administration contractante lors de la demande de paiement final. </w:t>
      </w:r>
    </w:p>
    <w:p w14:paraId="3E494A92" w14:textId="5B98223B" w:rsidR="002A7EA5"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napToGrid w:val="0"/>
          <w:color w:val="000000"/>
          <w:sz w:val="24"/>
        </w:rPr>
        <w:t>Si l’administration contractante ou la délégation de l’UE (lorsque celle-ci n’est pas l’administration contractante) décide néanmoins de réaliser un contrôle des paiements et des comptes d’un projet de jumelage, les documents originaux doivent être mis à disposition, à l’exception des taux forfaitaires définis comme des coûts</w:t>
      </w:r>
      <w:r>
        <w:rPr>
          <w:rFonts w:ascii="Times New Roman" w:hAnsi="Times New Roman"/>
          <w:color w:val="000000"/>
          <w:sz w:val="24"/>
        </w:rPr>
        <w:t xml:space="preserve"> de soutien aux projets de jumelage et des coûts indirects. </w:t>
      </w:r>
    </w:p>
    <w:p w14:paraId="1CBE8E7F" w14:textId="78B7357E"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En ce qui concerne les coûts unitaires et les autres taux forfaitaires, le rapport de vérification des dépenses analyse l’existence des activités à la source de ces postes de dépenses, mais ne peut remettre en question le montant fixé dans le contrat (ces types de coûts sont définis à l’annexe B et à l’annexe A7).</w:t>
      </w:r>
    </w:p>
    <w:p w14:paraId="556D4E3D" w14:textId="77777777" w:rsidR="00D0198E" w:rsidRPr="005107DF" w:rsidRDefault="00D0198E" w:rsidP="007338F0">
      <w:pPr>
        <w:pStyle w:val="Heading2"/>
      </w:pPr>
      <w:bookmarkStart w:id="483" w:name="_Toc462416502"/>
      <w:bookmarkStart w:id="484" w:name="_Toc464459921"/>
      <w:bookmarkStart w:id="485" w:name="_Toc476063302"/>
      <w:bookmarkStart w:id="486" w:name="_Toc476067784"/>
      <w:bookmarkStart w:id="487" w:name="_Toc517434411"/>
      <w:bookmarkStart w:id="488" w:name="_Toc2860974"/>
      <w:r>
        <w:lastRenderedPageBreak/>
        <w:t xml:space="preserve">5.6 Suivi et </w:t>
      </w:r>
      <w:bookmarkEnd w:id="483"/>
      <w:bookmarkEnd w:id="484"/>
      <w:bookmarkEnd w:id="485"/>
      <w:bookmarkEnd w:id="486"/>
      <w:r>
        <w:t>évaluation</w:t>
      </w:r>
      <w:bookmarkEnd w:id="487"/>
      <w:bookmarkEnd w:id="488"/>
    </w:p>
    <w:p w14:paraId="5D5F6B8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L’administration contractante examine régulièrement la mise en œuvre du projet, notamment en participant aux réunions du comité de pilotage. Lorsque la délégation de l’UE n’est pas l’administration contractante, elle doit coordonner l’approche en matière de suivi avec l’administration contractante dans le cadre des accords relatifs au suivi.</w:t>
      </w:r>
    </w:p>
    <w:p w14:paraId="30ACED1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suivi repose sur les indicateurs définis lors de la conception/proposition du projet de jumelage</w:t>
      </w:r>
      <w:r>
        <w:rPr>
          <w:rFonts w:ascii="Times New Roman" w:hAnsi="Times New Roman"/>
          <w:color w:val="000000"/>
          <w:sz w:val="24"/>
          <w:vertAlign w:val="superscript"/>
        </w:rPr>
        <w:footnoteReference w:id="13"/>
      </w:r>
      <w:r>
        <w:rPr>
          <w:rFonts w:ascii="Times New Roman" w:hAnsi="Times New Roman"/>
          <w:color w:val="000000"/>
          <w:sz w:val="24"/>
        </w:rPr>
        <w:t xml:space="preserve"> et/ou définis dans le plan de travail initial et les plans de travail ultérieurs et est réalisé en accord avec l’État membre et le pays bénéficiaire. Les constatations ayant fait l’objet d’une discussion lors des réunions trimestrielles du comité de pilotage du projet doivent également être examinées. Cet examen peut donner lieu à des ajustements de l’approche (en matière de mise en œuvre) et/ou à une réorientation de l’ensemble du projet ou, dans des cas extrêmes, à sa suspension ou à son arrêt. </w:t>
      </w:r>
    </w:p>
    <w:p w14:paraId="750F628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mise en œuvre des projets de jumelage peut également être évaluée au moyen d’autres activités de suivi menées soit dans le cadre du dialogue politique et des comités de suivi de l’assistance financière de l’UE, soit dans le cadre de structures sectorielles de suivi établies dans le pays bénéficiaire. </w:t>
      </w:r>
    </w:p>
    <w:p w14:paraId="6A443F4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À intervalles réguliers, la Commission mandatera en outre des experts indépendants pour évaluer les projets de jumelage en fonction des thèmes, des pays ou des aspects techniques. Dans ce cas, l’article 8 des conditions générales du contrat de jumelage s’applique. Ces évaluations suivront les lignes directrices de la DG NEAR sur l’établissement d’un lien entre la planification/programmation, le suivi et l’évaluation.</w:t>
      </w:r>
    </w:p>
    <w:p w14:paraId="573C0CB6" w14:textId="278C1E1B" w:rsidR="002A7EA5" w:rsidRPr="005107DF" w:rsidRDefault="002A7EA5" w:rsidP="00D0198E">
      <w:pPr>
        <w:spacing w:after="240" w:line="240" w:lineRule="auto"/>
        <w:jc w:val="both"/>
        <w:rPr>
          <w:rFonts w:ascii="Times New Roman" w:eastAsia="Times New Roman" w:hAnsi="Times New Roman" w:cs="Times New Roman"/>
          <w:b/>
          <w:smallCaps/>
          <w:color w:val="808080"/>
          <w:sz w:val="16"/>
          <w:szCs w:val="24"/>
        </w:rPr>
      </w:pPr>
      <w:r>
        <w:rPr>
          <w:rFonts w:ascii="Times New Roman" w:hAnsi="Times New Roman"/>
          <w:color w:val="000000"/>
          <w:sz w:val="24"/>
        </w:rPr>
        <w:t>Dans le cas où l’administration contractante et/ou la délégation de l’UE souhaiteraient recevoir de la part du CRJ une contribution appuyant leurs pratiques générales de suivi et/ou de potentielles contributions à l’appui du dialogue politique, le CRJ doit fournir ces contributions.</w:t>
      </w:r>
    </w:p>
    <w:p w14:paraId="35C0895F" w14:textId="77777777" w:rsidR="00D0198E" w:rsidRPr="005107DF" w:rsidRDefault="00D0198E" w:rsidP="007338F0">
      <w:pPr>
        <w:pStyle w:val="Heading2"/>
      </w:pPr>
      <w:bookmarkStart w:id="489" w:name="_Toc462416503"/>
      <w:bookmarkStart w:id="490" w:name="_Toc464459922"/>
      <w:bookmarkStart w:id="491" w:name="_Toc476063303"/>
      <w:bookmarkStart w:id="492" w:name="_Toc476067785"/>
      <w:bookmarkStart w:id="493" w:name="_Toc517434412"/>
      <w:bookmarkStart w:id="494" w:name="_Toc2860975"/>
      <w:r>
        <w:t xml:space="preserve">5.7 </w:t>
      </w:r>
      <w:bookmarkEnd w:id="489"/>
      <w:bookmarkEnd w:id="490"/>
      <w:r>
        <w:t xml:space="preserve">Visibilité et </w:t>
      </w:r>
      <w:bookmarkEnd w:id="491"/>
      <w:bookmarkEnd w:id="492"/>
      <w:r>
        <w:t>communication du projet de jumelage</w:t>
      </w:r>
      <w:bookmarkEnd w:id="493"/>
      <w:bookmarkEnd w:id="494"/>
    </w:p>
    <w:p w14:paraId="3662C08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partenaires généraux de mise en œuvre dont le projet bénéficie d’un financement partiel ou total de la Commission ont pour obligation contractuelle d’assurer la visibilité de ce financement. Quels que soient la taille, la portée ou les objectifs de l’action, l’emblème de l’UE doit être affiché en évidence sur tous les documents produits dans le cadre du projet, et le soutien financier de l’UE doit être explicitement mentionné.</w:t>
      </w:r>
    </w:p>
    <w:p w14:paraId="0580CBAB" w14:textId="77777777" w:rsidR="002A7EA5" w:rsidRPr="005107DF" w:rsidRDefault="002A7EA5" w:rsidP="005A5556">
      <w:pPr>
        <w:pStyle w:val="CommentText"/>
        <w:jc w:val="both"/>
        <w:rPr>
          <w:color w:val="000000"/>
          <w:sz w:val="24"/>
          <w:szCs w:val="24"/>
        </w:rPr>
      </w:pPr>
      <w:r>
        <w:rPr>
          <w:color w:val="000000"/>
          <w:sz w:val="24"/>
        </w:rPr>
        <w:t>Afin de faciliter le respect de cette obligation, la Commission a publié en 2010 un «manuel de communication et de visibilité pour les actions extérieures de l’UE»</w:t>
      </w:r>
      <w:r>
        <w:rPr>
          <w:color w:val="000000"/>
          <w:sz w:val="24"/>
          <w:vertAlign w:val="superscript"/>
        </w:rPr>
        <w:footnoteReference w:id="14"/>
      </w:r>
      <w:r>
        <w:rPr>
          <w:color w:val="000000"/>
          <w:sz w:val="24"/>
        </w:rPr>
        <w:t>, remplacé depuis le 1</w:t>
      </w:r>
      <w:r>
        <w:rPr>
          <w:color w:val="000000"/>
          <w:sz w:val="24"/>
          <w:vertAlign w:val="superscript"/>
        </w:rPr>
        <w:t>er</w:t>
      </w:r>
      <w:r>
        <w:rPr>
          <w:color w:val="000000"/>
          <w:sz w:val="24"/>
        </w:rPr>
        <w:t> janvier 2018 par des «exigences de communication et de visibilité»</w:t>
      </w:r>
      <w:r>
        <w:rPr>
          <w:rStyle w:val="FootnoteReference"/>
          <w:color w:val="000000"/>
          <w:sz w:val="24"/>
        </w:rPr>
        <w:footnoteReference w:id="15"/>
      </w:r>
      <w:r>
        <w:rPr>
          <w:color w:val="000000"/>
          <w:sz w:val="24"/>
        </w:rPr>
        <w:t xml:space="preserve"> mises à jour et destinées aux partenaires de mise en œuvre. Le manuel de communication et de visibilité pour les actions extérieures de l’UE de 2010 demeure applicable pour les actions lancées avant la fin 2017. Les nouvelles exigences doivent être observées et appliquées à l’ensemble des contrats conclus à compter du 1</w:t>
      </w:r>
      <w:r>
        <w:rPr>
          <w:color w:val="000000"/>
          <w:sz w:val="24"/>
          <w:vertAlign w:val="superscript"/>
        </w:rPr>
        <w:t>er</w:t>
      </w:r>
      <w:r>
        <w:rPr>
          <w:color w:val="000000"/>
          <w:sz w:val="24"/>
        </w:rPr>
        <w:t xml:space="preserve"> janvier 2018. </w:t>
      </w:r>
    </w:p>
    <w:p w14:paraId="391223AE" w14:textId="77777777" w:rsidR="002A7EA5" w:rsidRPr="005107DF" w:rsidRDefault="002A7EA5" w:rsidP="005A5556">
      <w:pPr>
        <w:spacing w:after="240" w:line="240" w:lineRule="auto"/>
        <w:jc w:val="both"/>
        <w:rPr>
          <w:rFonts w:ascii="Times New Roman" w:eastAsia="Times New Roman" w:hAnsi="Times New Roman" w:cs="Times New Roman"/>
          <w:color w:val="000000"/>
          <w:sz w:val="24"/>
          <w:szCs w:val="24"/>
        </w:rPr>
      </w:pPr>
    </w:p>
    <w:p w14:paraId="07EFABC5" w14:textId="4B83DEC8"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outre, les responsables de l’information et de la communication au sein des délégations de l’UE doivent être consultés pour toute action de communication ou de visibilité, qui doit recevoir leur approbation (même en cas de gestion indirecte avec contrôles ex ante ou ex post). </w:t>
      </w:r>
    </w:p>
    <w:p w14:paraId="109D6B1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plan de communication et de visibilité doit être approuvé par les deux chefs de projet, notamment dans le plan de travail initial, et doit être régulièrement mis à jour comme le reste du plan de travail. Les coûts liés à la mise en œuvre du plan peuvent être couverts par le budget du projet de jumelage. Le coût de ce plan peut au maximum représenter 3 % du budget général du projet de jumelage. </w:t>
      </w:r>
    </w:p>
    <w:p w14:paraId="02218ED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modèle de plan de communication et de visibilité est joint à l’annexe C19. </w:t>
      </w:r>
    </w:p>
    <w:p w14:paraId="5C70DCBD" w14:textId="77777777" w:rsidR="00D0198E" w:rsidRPr="005107DF" w:rsidRDefault="00D0198E" w:rsidP="007338F0">
      <w:pPr>
        <w:pStyle w:val="Heading2"/>
      </w:pPr>
      <w:bookmarkStart w:id="495" w:name="_Toc462416504"/>
      <w:bookmarkStart w:id="496" w:name="_Toc464459923"/>
      <w:bookmarkStart w:id="497" w:name="_Toc476063304"/>
      <w:bookmarkStart w:id="498" w:name="_Toc476067786"/>
      <w:bookmarkStart w:id="499" w:name="_Toc517434413"/>
      <w:bookmarkStart w:id="500" w:name="_Toc2860976"/>
      <w:r>
        <w:t>5.8 Résolution des problèmes</w:t>
      </w:r>
      <w:bookmarkEnd w:id="495"/>
      <w:bookmarkEnd w:id="496"/>
      <w:bookmarkEnd w:id="497"/>
      <w:bookmarkEnd w:id="498"/>
      <w:bookmarkEnd w:id="499"/>
      <w:bookmarkEnd w:id="500"/>
    </w:p>
    <w:p w14:paraId="70D11F5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des difficultés surviennent au cours de la mise en œuvre d’un projet de jumelage, il incombe aux chefs de projet de l’État membre et du bénéficiaire de trouver une solution. Le CRJ et son homologue soutiennent les chefs de projet dans leurs efforts.</w:t>
      </w:r>
    </w:p>
    <w:p w14:paraId="21AB6369" w14:textId="1D066A1D"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les difficultés risquent d’avoir une incidence sur la réussite globale du projet, des actions immédiates doivent être prises: un des deux CP peut informer l’administration contractante et la délégation de l’UE (lorsque celle-ci n’est pas l’administration contractante) afin qu’elles examinent ensemble la situation et parviennent à un accord sur la marche à suivre.</w:t>
      </w:r>
    </w:p>
    <w:p w14:paraId="471165B9" w14:textId="1A218AA4"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PCN de l’État membre et du bénéficiaire sont censés aider à trouver une solution viable. Dans les situations les plus complexes et lorsqu’aucun accord n’a pu être trouvé, il est possible de faire appel à l’équipe de coordination du jumelage.</w:t>
      </w:r>
    </w:p>
    <w:p w14:paraId="017834FD" w14:textId="77777777" w:rsidR="00D0198E" w:rsidRPr="005107DF" w:rsidRDefault="00D0198E" w:rsidP="0019382C">
      <w:pPr>
        <w:pStyle w:val="Heading2"/>
        <w:ind w:left="0" w:firstLine="0"/>
      </w:pPr>
      <w:bookmarkStart w:id="501" w:name="_Toc462416505"/>
      <w:bookmarkStart w:id="502" w:name="_Toc464459924"/>
      <w:bookmarkStart w:id="503" w:name="_Toc476063305"/>
      <w:bookmarkStart w:id="504" w:name="_Toc476067787"/>
      <w:bookmarkStart w:id="505" w:name="_Toc517434414"/>
      <w:bookmarkStart w:id="506" w:name="_Toc2860977"/>
      <w:r>
        <w:t xml:space="preserve">5.9 Modification du contrat de subvention de jumelage et du </w:t>
      </w:r>
      <w:bookmarkEnd w:id="501"/>
      <w:bookmarkEnd w:id="502"/>
      <w:bookmarkEnd w:id="503"/>
      <w:bookmarkEnd w:id="504"/>
      <w:r>
        <w:t>plan de travail</w:t>
      </w:r>
      <w:bookmarkEnd w:id="505"/>
      <w:bookmarkEnd w:id="506"/>
    </w:p>
    <w:p w14:paraId="7B958C06" w14:textId="77777777" w:rsidR="00D0198E" w:rsidRPr="005107DF" w:rsidRDefault="00D0198E" w:rsidP="007338F0">
      <w:pPr>
        <w:pStyle w:val="Heading3"/>
      </w:pPr>
      <w:bookmarkStart w:id="507" w:name="_Toc462416506"/>
      <w:bookmarkStart w:id="508" w:name="_Toc464459925"/>
      <w:bookmarkStart w:id="509" w:name="_Toc476063306"/>
      <w:bookmarkStart w:id="510" w:name="_Toc476067788"/>
      <w:bookmarkStart w:id="511" w:name="_Toc517434415"/>
      <w:bookmarkStart w:id="512" w:name="_Toc2860978"/>
      <w:r>
        <w:t xml:space="preserve">5.9.1 Observations </w:t>
      </w:r>
      <w:bookmarkEnd w:id="507"/>
      <w:bookmarkEnd w:id="508"/>
      <w:bookmarkEnd w:id="509"/>
      <w:bookmarkEnd w:id="510"/>
      <w:r>
        <w:t>générales</w:t>
      </w:r>
      <w:bookmarkEnd w:id="511"/>
      <w:bookmarkEnd w:id="512"/>
    </w:p>
    <w:p w14:paraId="3329B24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budget global d’un projet de jumelage ne peut pas être majoré: les activités prévues doivent être limitées ou annulées afin de pouvoir introduire de nouvelles activités ou en développer d’autres. Les transferts de ressources budgétaires ne peuvent cependant aller à l’encontre de l’exigence selon laquelle un projet de jumelage doit prévoir la présence d’un conseiller de jumelage travaillant à plein temps pendant toute la période de mise en œuvre.</w:t>
      </w:r>
    </w:p>
    <w:p w14:paraId="61A9029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En règle générale, les coûts unitaires et les taux forfaitaires (conformément à l’annexe B et à l’annexe A7) fixés à l’annexe A3 lors de signature du contrat de subvention de jumelage (voir le point 3.1.2) ne peuvent être majorés.</w:t>
      </w:r>
    </w:p>
    <w:p w14:paraId="2BD64369" w14:textId="13D08096" w:rsidR="00D0198E" w:rsidRPr="005107DF" w:rsidRDefault="00761A36"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seule disponibilité des fonds ne justifie pas l’introduction de nouvelles activités et/ou la prolongation de la période de mise en œuvre et/ou d’exécution du contrat de subvention de jumelage.</w:t>
      </w:r>
    </w:p>
    <w:p w14:paraId="55E4EF15" w14:textId="77777777" w:rsidR="00761A36" w:rsidRPr="005107DF" w:rsidRDefault="00761A36" w:rsidP="00761A36">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Toute prolongation de la durée ou toute activité supplémentaire doit être justifiée.</w:t>
      </w:r>
    </w:p>
    <w:p w14:paraId="15403FAD" w14:textId="77777777" w:rsidR="00D0198E" w:rsidRPr="005107DF" w:rsidRDefault="00D0198E" w:rsidP="007338F0">
      <w:pPr>
        <w:pStyle w:val="Heading3"/>
      </w:pPr>
      <w:bookmarkStart w:id="513" w:name="_Toc462416507"/>
      <w:bookmarkStart w:id="514" w:name="_Toc464459926"/>
      <w:bookmarkStart w:id="515" w:name="_Toc476063307"/>
      <w:bookmarkStart w:id="516" w:name="_Toc476067789"/>
      <w:bookmarkStart w:id="517" w:name="_Toc517434416"/>
      <w:bookmarkStart w:id="518" w:name="_Toc2860979"/>
      <w:r>
        <w:t xml:space="preserve">5.9.2 Modification du contrat </w:t>
      </w:r>
      <w:bookmarkEnd w:id="513"/>
      <w:bookmarkEnd w:id="514"/>
      <w:bookmarkEnd w:id="515"/>
      <w:bookmarkEnd w:id="516"/>
      <w:r>
        <w:t>de subvention de jumelage</w:t>
      </w:r>
      <w:bookmarkEnd w:id="517"/>
      <w:bookmarkEnd w:id="518"/>
    </w:p>
    <w:p w14:paraId="5CD78233" w14:textId="38B1893C"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Toute modification importante apportée au contrat de subvention de jumelage, notamment 1) des réaffectations entre rubriques budgétaires (à l’annexe A3 du contrat) dont le montant cumulé est supérieur à 25 %, 2) une modification des CP de l’État membre et du bénéficiaire et/ou du CRJ, 3) une modification des résultats obligatoires, 4) une modification de la période d’exécution ou de mise en œuvre du contrat de subvention de jumelage, doit faire l’objet d’un avenant formel signé par les parties au contrat. En </w:t>
      </w:r>
      <w:r>
        <w:rPr>
          <w:rFonts w:ascii="Times New Roman" w:hAnsi="Times New Roman"/>
          <w:color w:val="000000"/>
          <w:sz w:val="24"/>
          <w:u w:val="single"/>
        </w:rPr>
        <w:t>gestion indirecte</w:t>
      </w:r>
      <w:r>
        <w:rPr>
          <w:rFonts w:ascii="Times New Roman" w:hAnsi="Times New Roman"/>
          <w:color w:val="000000"/>
          <w:sz w:val="24"/>
        </w:rPr>
        <w:t xml:space="preserve"> avec contrôle ex ante, il peut être nécessaire (en fonction des accords établis) que la délégation de l’UE avalise l’avenant avant qu’il ne soit signé par l’administration contractante.</w:t>
      </w:r>
    </w:p>
    <w:p w14:paraId="52AABAC3" w14:textId="40E1A726"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une modification des activités menées dans le cadre du plan de travail mis à jour provoque globalement une réaffectation entre rubriques budgétaires supérieure au seuil de 25 %, l’annexe A3 doit être modifiée par un avenant avant que la mise à jour du plan de travail donnant lieu au dépassement du seuil ne soit signée. Un nouvel avenant de même nature n’est nécessaire que si d’autres modifications des activités correspondent une nouvelle fois à plus de 25 % du budget total du contrat de subvention de jumelage.</w:t>
      </w:r>
    </w:p>
    <w:p w14:paraId="7ACBBBAE" w14:textId="2BD64089"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CP de l’État membre prépare le projet d’avenant en étroite collaboration avec le CP du bénéficiaire et le communique à l’administration contractante et à la délégation de l’UE. Sur la base des observations reçues, le CP de l’État membre rédige la version finale de l’avenant et envoie une copie signée au CP du bénéficiaire, qui paraphe les annexes A1 et A3 révisées du contrat de subvention de jumelage et le renvoie au CP de l’État membre. L’avenant est ensuite transmis à l’administration contractante qui, après avoir reçu l’aval de la délégation de l’UE si nécessaire, le signe et le notifie officiellement à tous les partenaires concernés. Le mode de distribution et le nombre d’originaux de l’avenant sont identiques à ceux du contrat de subvention de jumelage (voir le point 3.2). </w:t>
      </w:r>
      <w:r>
        <w:rPr>
          <w:rFonts w:ascii="Times New Roman" w:hAnsi="Times New Roman"/>
          <w:sz w:val="24"/>
        </w:rPr>
        <w:t>Une copie est envoyée par l’administration contractante à l’</w:t>
      </w:r>
      <w:r>
        <w:rPr>
          <w:rFonts w:ascii="Times New Roman" w:hAnsi="Times New Roman"/>
          <w:color w:val="000000"/>
          <w:sz w:val="24"/>
        </w:rPr>
        <w:t>équipe de coordination du jumelage ainsi qu’aux PCN de l’État membre et du bénéficiaire.</w:t>
      </w:r>
    </w:p>
    <w:p w14:paraId="74EBF12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suspension et l’éventuel arrêt du projet de jumelage sont régis par les conditions générales du contrat de subvention de jumelage et ne nécessitent pas d’avenant. Toutefois, en cas de reprise à la suite d’une suspension, un avenant peut être nécessaire pour proroger le contrat de subvention de jumelage et/ou pour l’adapter aux nouvelles conditions de mise en œuvre.</w:t>
      </w:r>
    </w:p>
    <w:p w14:paraId="1A904C01" w14:textId="77777777" w:rsidR="00D0198E" w:rsidRPr="005107DF" w:rsidRDefault="00D0198E" w:rsidP="007338F0">
      <w:pPr>
        <w:pStyle w:val="Heading3"/>
      </w:pPr>
      <w:bookmarkStart w:id="519" w:name="_Toc462416508"/>
      <w:bookmarkStart w:id="520" w:name="_Toc464459927"/>
      <w:bookmarkStart w:id="521" w:name="_Toc476063308"/>
      <w:bookmarkStart w:id="522" w:name="_Toc476067790"/>
      <w:bookmarkStart w:id="523" w:name="_Toc517434417"/>
      <w:bookmarkStart w:id="524" w:name="_Toc2860980"/>
      <w:r>
        <w:t xml:space="preserve">5.9.3 Modification du </w:t>
      </w:r>
      <w:bookmarkEnd w:id="519"/>
      <w:bookmarkEnd w:id="520"/>
      <w:bookmarkEnd w:id="521"/>
      <w:bookmarkEnd w:id="522"/>
      <w:r>
        <w:t>plan de travail</w:t>
      </w:r>
      <w:bookmarkEnd w:id="523"/>
      <w:bookmarkEnd w:id="524"/>
    </w:p>
    <w:p w14:paraId="2CC0713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Du fait du grand nombre d’activités ayant lieu sur plusieurs mois ou même plusieurs années, il peut s’avérer nécessaire d’ajuster le projet de jumelage au cours de sa mise en œuvre. Le plan de travail, qui est un document évolutif pouvant être adapté à la situation réelle, offre le degré de flexibilité nécessaire à l’État membre et à l’administration du pays bénéficiaire. </w:t>
      </w:r>
    </w:p>
    <w:p w14:paraId="6DC352CB" w14:textId="41C6DEFE"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Toutefois, l’obtention des résultats/produits obligatoires ne peut jamais être remise en question. Le plan de travail mis à jour est signé par les deux chefs de projet. Lorsqu’ils mettent à jour le plan de travail, les chefs de projet veillent à ce que l’enchaînement et le calendrier des activités ainsi que le choix des experts permettent l’obtention des résultats/produits obligatoires.</w:t>
      </w:r>
    </w:p>
    <w:p w14:paraId="794C287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imprévus mineurs survenant entre deux mises à jour trimestrielles du plan de travail peuvent nécessiter une modification urgente d’une ou de plusieurs activités ou d’un ou plusieurs experts y participant, sans avoir la possibilité de discuter des modifications lors </w:t>
      </w:r>
      <w:r>
        <w:rPr>
          <w:rFonts w:ascii="Times New Roman" w:hAnsi="Times New Roman"/>
          <w:color w:val="000000"/>
          <w:sz w:val="24"/>
        </w:rPr>
        <w:lastRenderedPageBreak/>
        <w:t xml:space="preserve">d’une réunion du comité de pilotage. Les deux chefs de projet peuvent alors se mettre d’accord sur une adaptation immédiate du plan de travail en signant une lettre d’accompagnement adressée à l’administration contractante, dans laquelle le motif des modifications et leur contenu sont clairement expliqués (voir l’annexe C13). Ces modifications doivent être notifiées avant que les activités concernées ne soient mises en œuvre. Les activités modifiées ne deviendront effectives que deux jours ouvrables après la date de notification. Le CP de l’État membre veille à ce qu’une copie sur support papier ou électronique de la lettre d’accompagnement signée soit transmise à l’administration contractante et à la délégation de l’UE (lorsque celle-ci n’est pas l’administration contractante et le cas échéant) le jour de la signature. </w:t>
      </w:r>
    </w:p>
    <w:p w14:paraId="79B9144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Toutes les modifications introduites au moyen de lettres d’accompagnement signées par les deux chefs de projet doivent être mentionnées dans le rapport intermédiaire couvrant la période concernée. Elles doivent également être prises en compte dans la mise à jour suivante du plan de travail. </w:t>
      </w:r>
    </w:p>
    <w:p w14:paraId="4C4CBB4B" w14:textId="77777777" w:rsidR="00D0198E" w:rsidRPr="005107DF" w:rsidRDefault="00D0198E" w:rsidP="007338F0">
      <w:pPr>
        <w:pStyle w:val="Heading2"/>
      </w:pPr>
      <w:bookmarkStart w:id="525" w:name="_Toc462416509"/>
      <w:bookmarkStart w:id="526" w:name="_Toc464459928"/>
      <w:bookmarkStart w:id="527" w:name="_Toc476063309"/>
      <w:bookmarkStart w:id="528" w:name="_Toc476067791"/>
      <w:bookmarkStart w:id="529" w:name="_Toc517434418"/>
      <w:bookmarkStart w:id="530" w:name="_Toc2860981"/>
      <w:r>
        <w:t xml:space="preserve">5.10 Suspension et </w:t>
      </w:r>
      <w:bookmarkEnd w:id="525"/>
      <w:bookmarkEnd w:id="526"/>
      <w:bookmarkEnd w:id="527"/>
      <w:bookmarkEnd w:id="528"/>
      <w:r>
        <w:t>résiliation</w:t>
      </w:r>
      <w:bookmarkEnd w:id="529"/>
      <w:bookmarkEnd w:id="530"/>
    </w:p>
    <w:p w14:paraId="36BA06AF" w14:textId="77777777" w:rsidR="00D0198E" w:rsidRPr="005107DF" w:rsidRDefault="00D0198E" w:rsidP="007338F0">
      <w:pPr>
        <w:pStyle w:val="Heading3"/>
      </w:pPr>
      <w:bookmarkStart w:id="531" w:name="_Toc462416510"/>
      <w:bookmarkStart w:id="532" w:name="_Toc464459929"/>
      <w:bookmarkStart w:id="533" w:name="_Toc476063310"/>
      <w:bookmarkStart w:id="534" w:name="_Toc476067792"/>
      <w:bookmarkStart w:id="535" w:name="_Toc517434419"/>
      <w:bookmarkStart w:id="536" w:name="_Toc2860982"/>
      <w:r>
        <w:t xml:space="preserve">5.10.1 Suspension de la mise en œuvre du projet de </w:t>
      </w:r>
      <w:bookmarkEnd w:id="531"/>
      <w:bookmarkEnd w:id="532"/>
      <w:bookmarkEnd w:id="533"/>
      <w:bookmarkEnd w:id="534"/>
      <w:r>
        <w:t>jumelage</w:t>
      </w:r>
      <w:bookmarkEnd w:id="535"/>
      <w:bookmarkEnd w:id="536"/>
    </w:p>
    <w:p w14:paraId="199F4AA2" w14:textId="77777777" w:rsidR="00D0198E" w:rsidRPr="005107DF" w:rsidRDefault="00A4582D"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Conformément aux conditions générales (article 11.2 à 11.7), les parties au contrat peuvent, dans des circonstances exceptionnelles, suspendre la mise en œuvre du projet. La partie contractante à l’initiative de la suspension du projet notifie immédiatement l’autre partie en précisant les raisons de sa décision et en indiquant la durée probable de la suspension. La délégation de l’UE (le cas échéant), le PCN de l’État membre, le PCN du bénéficiaire et l’équipe de coordination du jumelage en sont informés au même moment.</w:t>
      </w:r>
    </w:p>
    <w:p w14:paraId="0EFEE147" w14:textId="05658F98"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L’administration bénéficiaire peut demander une suspension de la mise en œuvre du projet dans des circonstances exceptionnelles. La demande de suspension doit être adressée à l’administration contractante. Elle doit préciser les raisons de la suspension et indiquer la durée probable. L’administration contractante prend une décision conformément aux articles 11.4 à 11.7 de l’annexe A2.</w:t>
      </w:r>
    </w:p>
    <w:p w14:paraId="63150BA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suspension prend effet à partir de la date de sa notification jusqu’à la date fixée par l’administration contractante lors de la notification de l’ensemble des parties prenantes. Les coûts exposés durant la période de suspension ne peuvent être financés sur le budget du projet de jumelage, à moins qu’un engagement irrévocable n’ait été pris avant la date de notification de la suspension.</w:t>
      </w:r>
    </w:p>
    <w:p w14:paraId="396CDB9D" w14:textId="77777777" w:rsidR="00D0198E" w:rsidRPr="005107DF" w:rsidRDefault="00D0198E" w:rsidP="007338F0">
      <w:pPr>
        <w:pStyle w:val="Heading3"/>
      </w:pPr>
      <w:bookmarkStart w:id="537" w:name="_Toc476063311"/>
      <w:bookmarkStart w:id="538" w:name="_Toc476067793"/>
      <w:bookmarkStart w:id="539" w:name="_Toc517434420"/>
      <w:bookmarkStart w:id="540" w:name="_Toc2860983"/>
      <w:bookmarkStart w:id="541" w:name="_Toc462416511"/>
      <w:bookmarkStart w:id="542" w:name="_Toc464459930"/>
      <w:r>
        <w:t>5.10.2 Résiliation du contrat</w:t>
      </w:r>
      <w:bookmarkEnd w:id="537"/>
      <w:bookmarkEnd w:id="538"/>
      <w:r>
        <w:t xml:space="preserve"> de subvention de jumelage</w:t>
      </w:r>
      <w:r>
        <w:rPr>
          <w:rStyle w:val="FootnoteReference"/>
        </w:rPr>
        <w:footnoteReference w:id="16"/>
      </w:r>
      <w:bookmarkEnd w:id="539"/>
      <w:bookmarkEnd w:id="540"/>
      <w:r>
        <w:rPr>
          <w:color w:val="000000"/>
        </w:rPr>
        <w:t xml:space="preserve"> </w:t>
      </w:r>
      <w:bookmarkEnd w:id="541"/>
      <w:bookmarkEnd w:id="542"/>
    </w:p>
    <w:p w14:paraId="2031D6A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Conformément aux dispositions des articles 7.1.5 et 7.1.6 des conditions particulières et de l’article 12 des conditions générales du </w:t>
      </w:r>
      <w:r>
        <w:rPr>
          <w:rFonts w:ascii="Times New Roman" w:hAnsi="Times New Roman"/>
          <w:color w:val="000000"/>
          <w:sz w:val="24"/>
        </w:rPr>
        <w:t>contrat de subvention de jumelage</w:t>
      </w:r>
      <w:r>
        <w:rPr>
          <w:rFonts w:ascii="Times New Roman" w:hAnsi="Times New Roman"/>
          <w:sz w:val="24"/>
        </w:rPr>
        <w:t xml:space="preserve">, les parties contractantes </w:t>
      </w:r>
      <w:r>
        <w:rPr>
          <w:rFonts w:ascii="Times New Roman" w:hAnsi="Times New Roman"/>
          <w:color w:val="000000"/>
          <w:sz w:val="24"/>
        </w:rPr>
        <w:t xml:space="preserve">peuvent résilier le contrat à tout moment moyennant un préavis écrit de trois mois adressé à l’autre partie, avec copie à l’administration bénéficiaire, à la délégation de </w:t>
      </w:r>
      <w:r>
        <w:rPr>
          <w:rFonts w:ascii="Times New Roman" w:hAnsi="Times New Roman"/>
          <w:color w:val="000000"/>
          <w:sz w:val="24"/>
        </w:rPr>
        <w:lastRenderedPageBreak/>
        <w:t>l’UE (le cas échéant), au PCN de l’État membre, au PCN du bénéficiaire et à l’équipe de coordination du jumelage. Le préavis mentionne les motifs de la décision de résilier le contrat de subvention de jumelage.</w:t>
      </w:r>
    </w:p>
    <w:p w14:paraId="330381A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L’administration bénéficiaire peut également résilier le contrat de subvention de jumelage par notification formelle</w:t>
      </w:r>
      <w:r>
        <w:rPr>
          <w:rFonts w:ascii="Times New Roman" w:hAnsi="Times New Roman"/>
          <w:sz w:val="24"/>
        </w:rPr>
        <w:t xml:space="preserve"> à l’administration contractante et à l’État membre</w:t>
      </w:r>
      <w:r>
        <w:rPr>
          <w:rFonts w:ascii="Times New Roman" w:hAnsi="Times New Roman"/>
          <w:color w:val="000000"/>
          <w:sz w:val="24"/>
        </w:rPr>
        <w:t xml:space="preserve"> trois mois avant la date de résiliation, avec copie à la délégation de l’UE, au PCN de l’État membre, au PCN du bénéficiaire et à l’équipe de coordination du jumelage. La notification mentionne les motifs de la décision de résilier le contrat de subvention de jumelage.</w:t>
      </w:r>
    </w:p>
    <w:p w14:paraId="2890DE9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Quelles que soient les raisons de la résiliation et de la partie à l’initiative de celle-ci, aucun coût exposé après la date de résiliation ne peut être éligible au financement sur le budget du projet de jumelage, à l’exception des coûts réellement exposés ou irrévocablement engagés (y compris les obligations contractuelles vis-à-vis du personnel) jusqu’à la date de résiliation incluse. Si les résultats/produits obligatoires n’ont pas été obtenus, la Commission peut décider de demander le recouvrement de tous les fonds alloués au projet.</w:t>
      </w:r>
    </w:p>
    <w:p w14:paraId="58B856A4" w14:textId="77777777" w:rsidR="00D0198E" w:rsidRPr="005107DF" w:rsidRDefault="00D0198E" w:rsidP="007338F0">
      <w:pPr>
        <w:pStyle w:val="Heading2"/>
      </w:pPr>
      <w:bookmarkStart w:id="543" w:name="_Toc462416512"/>
      <w:bookmarkStart w:id="544" w:name="_Toc464459931"/>
      <w:bookmarkStart w:id="545" w:name="_Toc476063312"/>
      <w:bookmarkStart w:id="546" w:name="_Toc476067794"/>
      <w:bookmarkStart w:id="547" w:name="_Toc517434421"/>
      <w:bookmarkStart w:id="548" w:name="_Toc2860984"/>
      <w:r>
        <w:t xml:space="preserve">5.11 Durabilité et missions d’évaluation du </w:t>
      </w:r>
      <w:bookmarkEnd w:id="543"/>
      <w:bookmarkEnd w:id="544"/>
      <w:bookmarkEnd w:id="545"/>
      <w:bookmarkEnd w:id="546"/>
      <w:r>
        <w:t>jumelage</w:t>
      </w:r>
      <w:bookmarkEnd w:id="547"/>
      <w:bookmarkEnd w:id="548"/>
    </w:p>
    <w:p w14:paraId="32E0C139" w14:textId="77777777" w:rsidR="00D0198E" w:rsidRPr="005107DF" w:rsidRDefault="00D0198E" w:rsidP="007338F0">
      <w:pPr>
        <w:pStyle w:val="Heading3"/>
      </w:pPr>
      <w:bookmarkStart w:id="549" w:name="_Toc462416513"/>
      <w:bookmarkStart w:id="550" w:name="_Toc464459932"/>
      <w:bookmarkStart w:id="551" w:name="_Toc476063313"/>
      <w:bookmarkStart w:id="552" w:name="_Toc476067795"/>
      <w:bookmarkStart w:id="553" w:name="_Toc517434422"/>
      <w:bookmarkStart w:id="554" w:name="_Toc2860985"/>
      <w:r>
        <w:t>5.11.1 Durabilité</w:t>
      </w:r>
      <w:bookmarkEnd w:id="549"/>
      <w:bookmarkEnd w:id="550"/>
      <w:bookmarkEnd w:id="551"/>
      <w:bookmarkEnd w:id="552"/>
      <w:bookmarkEnd w:id="553"/>
      <w:bookmarkEnd w:id="554"/>
    </w:p>
    <w:p w14:paraId="736173E8"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Lors de la mise en œuvre du projet, l’État membre assure le transfert de l’expertise du secteur public nécessaire pour obtenir les résultats/produits obligatoires au sein de l’administration bénéficiaire. Les résultats/produits obligatoires doivent être pleinement conformes et contribuer aux efforts en matière de réforme générale de l’administration publique dans le pays bénéficiaire. </w:t>
      </w:r>
    </w:p>
    <w:p w14:paraId="7CA88111"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Dès que le projet aura été totalement mis en œuvre et que les résultats/produits obligatoires auront été obtenus, ces réalisations devront être maintenues et développées par l’administration bénéficiaire. Il appartient explicitement à l’administration bénéficiaire d’assurer l’incidence à long terme du projet de jumelage.</w:t>
      </w:r>
    </w:p>
    <w:p w14:paraId="676C57B1" w14:textId="77777777" w:rsidR="008628B3"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Concrètement, cela signifie que le bénéficiaire doit porter une attention particulière à l’amélioration de l’administration publique, en particulier en ce qui concerne les services publics et la gestion des ressources humaines, l’élaboration des politiques et les structures de coordination, les structures soutenant l’obligation de rendre compte (organisation de l’administration), les structures pour la prestation de services et la gestion des finances publiques (éléments repris dans le programme horizontal de réforme de l’administration publique), et ce afin que les résultats du jumelage ne soient pas compromis par les déficiences de l’administration bénéficiaire inhérentes au système. Outre cette exigence concernant la position générale de l’administration bénéficiaire et la volonté politique en faveur de la réforme de l’administration publique, les chefs de projet de l’État membre et du pays bénéficiaire doivent fournir les bases nécessaires à la viabilité de leurs réalisations conjointes au niveau concret de la mise en œuvre du projet. </w:t>
      </w:r>
    </w:p>
    <w:p w14:paraId="426D1E82" w14:textId="77777777" w:rsidR="00D0198E" w:rsidRPr="005107DF" w:rsidRDefault="008628B3"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Afin d’assurer la durabilité: </w:t>
      </w:r>
    </w:p>
    <w:p w14:paraId="6F3828B5" w14:textId="77777777" w:rsidR="008628B3" w:rsidRPr="005107DF" w:rsidRDefault="008628B3"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rPr>
      </w:pPr>
      <w:r>
        <w:rPr>
          <w:rFonts w:ascii="Times New Roman" w:hAnsi="Times New Roman"/>
          <w:sz w:val="24"/>
        </w:rPr>
        <w:t>les partenaires de jumelage veillent à ce que toute législation (en particulier son alignement sur</w:t>
      </w:r>
      <w:r>
        <w:rPr>
          <w:rFonts w:ascii="Times New Roman" w:hAnsi="Times New Roman"/>
          <w:i/>
          <w:sz w:val="24"/>
        </w:rPr>
        <w:t xml:space="preserve"> </w:t>
      </w:r>
      <w:r>
        <w:rPr>
          <w:rFonts w:ascii="Times New Roman" w:hAnsi="Times New Roman"/>
          <w:sz w:val="24"/>
        </w:rPr>
        <w:t xml:space="preserve">l’acquis de l’Union), structure organisationnelle, procédure et tout profil d’emploi élaborés dans le cadre du projet de jumelage le soient en suivant une approche inclusive et fondée sur des éléments de preuve. Les propositions d’actions et </w:t>
      </w:r>
      <w:r>
        <w:rPr>
          <w:rFonts w:ascii="Times New Roman" w:hAnsi="Times New Roman"/>
          <w:sz w:val="24"/>
        </w:rPr>
        <w:lastRenderedPageBreak/>
        <w:t>législatives doivent être étayées au minimum par des analyses d’impact élémentaires (réglementaires, fiscales) et les acteurs internes et externes doivent être consultés à leur sujet (consultations interministérielles et publiques), comme l’exige la législation du pays bénéficiaire. Il convient de prévoir suffisamment de temps pour ces travaux préparatoires durant le projet et d’éviter les procédures accélérées d’adoption de la législation, qui mettent en péril la mise en œuvre et l’application de la future législation;</w:t>
      </w:r>
    </w:p>
    <w:p w14:paraId="587E8C88"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rPr>
      </w:pPr>
      <w:r>
        <w:rPr>
          <w:rFonts w:ascii="Times New Roman" w:hAnsi="Times New Roman"/>
          <w:sz w:val="24"/>
        </w:rPr>
        <w:t>les partenaires de jumelage veillent à ce que le matériel de formation soit de qualité suffisante; il doit être élaboré par des professionnels et être facilement accessible pour une utilisation ultérieure;</w:t>
      </w:r>
    </w:p>
    <w:p w14:paraId="09E22316"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rPr>
      </w:pPr>
      <w:r>
        <w:rPr>
          <w:rFonts w:ascii="Times New Roman" w:hAnsi="Times New Roman"/>
          <w:sz w:val="24"/>
        </w:rPr>
        <w:t>pendant le projet de jumelage, les fonctionnaires de l’administration bénéficiaire recevant la formation dispensée par les experts de l’État membre sont chargés de la formation ultérieure de leurs collègues (formation de formateurs) et doivent généralement participer activement au suivi grâce, par exemple, à des exercices de simulation, des formulaires d’évaluation à compléter, etc. S’il y a lieu, les programmes de formation peuvent être intégrés au programme de l’institut de formation national;</w:t>
      </w:r>
    </w:p>
    <w:p w14:paraId="4368C920"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rPr>
      </w:pPr>
      <w:r>
        <w:rPr>
          <w:rFonts w:ascii="Times New Roman" w:hAnsi="Times New Roman"/>
          <w:sz w:val="24"/>
        </w:rPr>
        <w:t>en vue d’assurer la diffusion efficace des résultats, les partenaires de jumelage organisent un séminaire bien structuré à la fin de la mise en œuvre du plan de travail lors duquel sont présentés les résultats concrets et leurs répercussions pratiques sur le suivi par l’administration bénéficiaire et ses fonctionnaires;</w:t>
      </w:r>
    </w:p>
    <w:p w14:paraId="25F8AB11"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rPr>
      </w:pPr>
      <w:r>
        <w:rPr>
          <w:rFonts w:ascii="Times New Roman" w:hAnsi="Times New Roman"/>
          <w:sz w:val="24"/>
        </w:rPr>
        <w:t>l’administration bénéficiaire trouve les moyens appropriés (y compris, entre autres, des incitations, des accords écrits avec le personnel bénéficiant d’une formation, la rédaction de manuels, la création de réseaux) afin de garantir le maintien des membres de son personnel à leur poste actuel et ainsi éviter une perte du savoir-faire acquis dans l’administration pendant le projet de jumelage;</w:t>
      </w:r>
    </w:p>
    <w:p w14:paraId="4FC767DE" w14:textId="77777777" w:rsidR="00D0198E"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rPr>
      </w:pPr>
      <w:r>
        <w:rPr>
          <w:rFonts w:ascii="Times New Roman" w:hAnsi="Times New Roman"/>
          <w:sz w:val="24"/>
        </w:rPr>
        <w:t>dans le rapport final, les partenaires de jumelage intègrent des recommandations concrètes et des stratégies pour maintenir les résultats/produits obligatoires obtenus dans l’administration bénéficiaire.</w:t>
      </w:r>
    </w:p>
    <w:p w14:paraId="2FE88E6F"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Au-delà du projet de jumelage proprement dit, les partenaires ayant mis en œuvre le projet, et plus particulièrement l’administration bénéficiaire, peuvent solliciter une assistance ultérieure en matière de renforcement des institutions pour consolider et amplifier les résultats du jumelage (par exemple, par l’intermédiaire de TAIEX, de l’initiative SIGMA avec l’OCDE, ou d’autres projets bilatéraux avec l’État membre participant au projet de jumelage ou avec d’autres États membres).</w:t>
      </w:r>
    </w:p>
    <w:p w14:paraId="07AD098D" w14:textId="77777777" w:rsidR="00D0198E" w:rsidRPr="005107DF" w:rsidRDefault="00D0198E" w:rsidP="007338F0">
      <w:pPr>
        <w:pStyle w:val="Heading3"/>
      </w:pPr>
      <w:bookmarkStart w:id="555" w:name="_Toc462416514"/>
      <w:bookmarkStart w:id="556" w:name="_Toc464459933"/>
      <w:bookmarkStart w:id="557" w:name="_Toc476063314"/>
      <w:bookmarkStart w:id="558" w:name="_Toc476067796"/>
      <w:bookmarkStart w:id="559" w:name="_Toc517434423"/>
      <w:bookmarkStart w:id="560" w:name="_Toc2860986"/>
      <w:r>
        <w:t xml:space="preserve">5.11.2 Missions d’évaluation du </w:t>
      </w:r>
      <w:bookmarkEnd w:id="555"/>
      <w:bookmarkEnd w:id="556"/>
      <w:bookmarkEnd w:id="557"/>
      <w:bookmarkEnd w:id="558"/>
      <w:r>
        <w:t>jumelage</w:t>
      </w:r>
      <w:bookmarkEnd w:id="559"/>
      <w:bookmarkEnd w:id="560"/>
    </w:p>
    <w:p w14:paraId="145415CE" w14:textId="24425B1D"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Chaque projet de jumelage fait l’objet, dans les six à douze mois qui suivent sa finalisation, d’une mission d’évaluation du jumelage. Cette mission vise à rendre compte de la préservation et de la durabilité des résultats/produits obligatoires obtenus. L’objectif général consiste à évaluer si les réalisations du projet de jumelage persistent et si elles ont eu des répercussions permanentes et durables. Une mission d’évaluation du jumelage devrait aussi tirer des enseignements et recommander des améliorations pour la gestion des projets de jumelage dans un pays/secteur donné. </w:t>
      </w:r>
    </w:p>
    <w:p w14:paraId="78D5406C"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Une mission d’évaluation du jumelage doit se concentrer sur les évolutions survenues après l’achèvement du projet de jumelage. Elle analyse la situation dans le domaine/secteur du </w:t>
      </w:r>
      <w:r>
        <w:rPr>
          <w:rFonts w:ascii="Times New Roman" w:hAnsi="Times New Roman"/>
          <w:sz w:val="24"/>
        </w:rPr>
        <w:lastRenderedPageBreak/>
        <w:t xml:space="preserve">projet, en la comparant à la situation à la fin de la mise en œuvre du projet, qui est considérée comme référence pour toute évolution future. La portée de l’analyse est déterminée par les résultats/produits obligatoires du projet de jumelage et par le développement global du secteur. </w:t>
      </w:r>
    </w:p>
    <w:p w14:paraId="28155F1B" w14:textId="77777777" w:rsidR="00641FCD"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En règle générale, une mission d’évaluation du jumelage est réalisée sous la direction d’un expert en évaluation de jumelage, c’est-à-dire un expert issu d’une administration publique ou d’un organisme mandaté d’un État membre qui n’est pas l’État membre principal ou un État membre junior du projet concerné.</w:t>
      </w:r>
    </w:p>
    <w:p w14:paraId="56EE49A0" w14:textId="2614BCC8" w:rsidR="00641FCD" w:rsidRPr="005107DF" w:rsidRDefault="00641FCD" w:rsidP="0019382C">
      <w:pPr>
        <w:jc w:val="both"/>
        <w:rPr>
          <w:rFonts w:ascii="Times New Roman" w:hAnsi="Times New Roman" w:cs="Times New Roman"/>
          <w:sz w:val="24"/>
          <w:szCs w:val="24"/>
        </w:rPr>
      </w:pPr>
      <w:r>
        <w:rPr>
          <w:rFonts w:ascii="Times New Roman" w:hAnsi="Times New Roman"/>
          <w:sz w:val="24"/>
        </w:rPr>
        <w:t>Le ou les experts en évaluation de jumelage devraient de préférence être d’anciens CRJ, chefs de projet ou anciens responsables de volets de projets de jumelage similaires. Dans le cas où aucun expert possédant une expérience en matière de jumelage et issu d’un projet similaire ne pourrait être trouvé ou ne serait disponible, un expert TAIEX disposant d’une connaissance du secteur relatif au projet sera sélectionné.</w:t>
      </w:r>
    </w:p>
    <w:p w14:paraId="1642067A"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Pour tout ou partie de la mission, il peut être assisté et accompagné d’une équipe de personnes ayant participé au projet concerné:</w:t>
      </w:r>
    </w:p>
    <w:p w14:paraId="7DFF42E5"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sz w:val="24"/>
        </w:rPr>
        <w:t xml:space="preserve">le CRJ, qui doit </w:t>
      </w:r>
      <w:r>
        <w:rPr>
          <w:rFonts w:ascii="Times New Roman" w:hAnsi="Times New Roman"/>
          <w:color w:val="000000"/>
          <w:sz w:val="24"/>
        </w:rPr>
        <w:t>toujours être associé à la mission d’évaluation du jumelage</w:t>
      </w:r>
      <w:r>
        <w:rPr>
          <w:rFonts w:ascii="Times New Roman" w:hAnsi="Times New Roman"/>
          <w:sz w:val="24"/>
        </w:rPr>
        <w:t>;</w:t>
      </w:r>
    </w:p>
    <w:p w14:paraId="44B63D75"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l’homologue du CRJ dans le pays bénéficiaire;</w:t>
      </w:r>
    </w:p>
    <w:p w14:paraId="1E608B7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le chef de projet de l’État membre (s’il y a lieu et s’il est disponible);</w:t>
      </w:r>
    </w:p>
    <w:p w14:paraId="78D4406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le chef de projet du pays bénéficiaire (ou le fonctionnaire qui pourrait l’avoir remplacé en cette qualité);</w:t>
      </w:r>
    </w:p>
    <w:p w14:paraId="01B6C0C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le gestionnaire d’activités de la délégation de l’UE et/ou de l’ECFC/UGP qui a suivi le projet ou s’occupe du secteur concerné (ou la personne qui pourrait l’avoir remplacé en cette qualité).</w:t>
      </w:r>
    </w:p>
    <w:p w14:paraId="5B0D54CC" w14:textId="1E170017" w:rsidR="00D0198E" w:rsidRPr="005107DF" w:rsidRDefault="00641FCD"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Si l’ancien CRJ et/ou son homologue dans le pays bénéficiaire ne sont pas disponibles, ils sont remplacés au cas par cas par l’unité «Renforcement des institutions», en étroite collaboration avec le chef de projet principal de l’État membre et le pays bénéficiaire ayant mis en œuvre le projet évalué.</w:t>
      </w:r>
    </w:p>
    <w:p w14:paraId="297B0827" w14:textId="736B28C0" w:rsidR="00641FCD" w:rsidRPr="005107DF" w:rsidRDefault="00641FCD" w:rsidP="00641FCD">
      <w:pPr>
        <w:spacing w:after="240" w:line="240" w:lineRule="auto"/>
        <w:jc w:val="both"/>
        <w:rPr>
          <w:rFonts w:ascii="Times New Roman" w:eastAsia="Times New Roman" w:hAnsi="Times New Roman" w:cs="Times New Roman"/>
          <w:sz w:val="24"/>
          <w:szCs w:val="24"/>
        </w:rPr>
      </w:pPr>
      <w:r>
        <w:rPr>
          <w:rFonts w:ascii="Times New Roman" w:hAnsi="Times New Roman"/>
          <w:sz w:val="24"/>
        </w:rPr>
        <w:t>L’expert en évaluation de jumelage est chargé de l’élaboration du formulaire de rapport. Le formulaire de rapport, que l’expert en évaluation de jumelage distribue en temps utile à tous les membres de l’équipe d’évaluation du jumelage, rappelle les résultats/produits obligatoires du projet (et, le cas échéant, d’autres éléments livrables) ainsi que les recommandations formulées dans le rapport final. L’expert en évaluation de jumelage rédige le rapport d’évaluation.</w:t>
      </w:r>
    </w:p>
    <w:p w14:paraId="6FF49C2D" w14:textId="7616CBD7" w:rsidR="00D0198E" w:rsidRPr="005107DF" w:rsidRDefault="00D0198E" w:rsidP="005A5556">
      <w:pPr>
        <w:spacing w:after="240" w:line="240" w:lineRule="auto"/>
        <w:rPr>
          <w:rFonts w:ascii="Times New Roman" w:eastAsia="Times New Roman" w:hAnsi="Times New Roman" w:cs="Times New Roman"/>
          <w:sz w:val="18"/>
          <w:szCs w:val="18"/>
        </w:rPr>
      </w:pPr>
      <w:r>
        <w:rPr>
          <w:rFonts w:ascii="Times New Roman" w:hAnsi="Times New Roman"/>
          <w:sz w:val="24"/>
        </w:rPr>
        <w:t xml:space="preserve">Un ensemble de lignes directrices et le modèle du formulaire de rapport figurent sur la page web consacrée au jumelage, à l’adresse: </w:t>
      </w:r>
      <w:r w:rsidR="00AD258F">
        <w:rPr>
          <w:rFonts w:ascii="Times New Roman" w:hAnsi="Times New Roman"/>
          <w:color w:val="0000FF"/>
          <w:sz w:val="24"/>
          <w:u w:val="single"/>
        </w:rPr>
        <w:t xml:space="preserve"> </w:t>
      </w:r>
      <w:r w:rsidR="00AD258F" w:rsidRPr="00AD258F">
        <w:rPr>
          <w:rFonts w:ascii="Times New Roman" w:hAnsi="Times New Roman"/>
          <w:color w:val="0000FF"/>
          <w:sz w:val="24"/>
          <w:u w:val="single"/>
        </w:rPr>
        <w:t>https://ec.europa.eu/neighbourhood-enlargement/tenders/twinning_en</w:t>
      </w:r>
    </w:p>
    <w:p w14:paraId="16186CA7" w14:textId="6396E386"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Les missions d’évaluation du jumelage sont organisées en tant qu’événements TAIEX</w:t>
      </w:r>
      <w:r>
        <w:rPr>
          <w:rFonts w:ascii="Times New Roman" w:hAnsi="Times New Roman"/>
          <w:sz w:val="24"/>
          <w:vertAlign w:val="superscript"/>
        </w:rPr>
        <w:footnoteReference w:id="17"/>
      </w:r>
      <w:r>
        <w:rPr>
          <w:rFonts w:ascii="Times New Roman" w:hAnsi="Times New Roman"/>
          <w:sz w:val="24"/>
        </w:rPr>
        <w:t xml:space="preserve"> et leurs coûts sont couverts par le budget de cet instrument. Si un CRJ qui assure la mise en </w:t>
      </w:r>
      <w:r>
        <w:rPr>
          <w:rFonts w:ascii="Times New Roman" w:hAnsi="Times New Roman"/>
          <w:sz w:val="24"/>
        </w:rPr>
        <w:lastRenderedPageBreak/>
        <w:t xml:space="preserve">œuvre d’un projet de jumelage est mis à disposition par ce projet, seuls les frais de déplacement et les indemnités journalières seront couverts par le budget TAIEX. La demande de lancement d’une mission d’évaluation du jumelage est introduite par la délégation de l’UE concernée et/ou d’autres entités participant à l’évaluation des résultats de l’assistance de l’UE. Les rapports finaux élaborés dans le cadre de la mission seront inclus dans une base de données d’évaluation et accessibles à </w:t>
      </w:r>
      <w:r>
        <w:rPr>
          <w:rFonts w:ascii="Times New Roman" w:hAnsi="Times New Roman"/>
          <w:color w:val="000000"/>
          <w:sz w:val="24"/>
        </w:rPr>
        <w:t>toute personne</w:t>
      </w:r>
      <w:r>
        <w:rPr>
          <w:rFonts w:ascii="Times New Roman" w:hAnsi="Times New Roman"/>
          <w:sz w:val="24"/>
        </w:rPr>
        <w:t xml:space="preserve"> participant à la mise en œuvre du projet.</w:t>
      </w:r>
    </w:p>
    <w:p w14:paraId="420CF159" w14:textId="77777777" w:rsidR="00D0198E" w:rsidRPr="005107DF" w:rsidRDefault="00D0198E" w:rsidP="007338F0">
      <w:pPr>
        <w:pStyle w:val="Heading2"/>
      </w:pPr>
      <w:bookmarkStart w:id="561" w:name="_Toc462416515"/>
      <w:bookmarkStart w:id="562" w:name="_Toc464459934"/>
      <w:bookmarkStart w:id="563" w:name="_Toc476063315"/>
      <w:bookmarkStart w:id="564" w:name="_Toc476067797"/>
      <w:bookmarkStart w:id="565" w:name="_Toc517434424"/>
      <w:bookmarkStart w:id="566" w:name="_Toc2860987"/>
      <w:r>
        <w:t xml:space="preserve">5.12 Protection des données et déclaration de </w:t>
      </w:r>
      <w:bookmarkEnd w:id="561"/>
      <w:bookmarkEnd w:id="562"/>
      <w:bookmarkEnd w:id="563"/>
      <w:bookmarkEnd w:id="564"/>
      <w:r>
        <w:t>confidentialité</w:t>
      </w:r>
      <w:bookmarkEnd w:id="565"/>
      <w:bookmarkEnd w:id="566"/>
    </w:p>
    <w:p w14:paraId="0593C36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L’Union européenne est chargée de la coordination générale et de la promotion du jumelage. En cette qualité, la Commission est informée des coordonnées professionnelles (identité, situation professionnelle, coordonnées professionnelles, curriculum vitæ, etc.) de tous les experts de jumelage, à savoir:</w:t>
      </w:r>
    </w:p>
    <w:p w14:paraId="10BBA7ED"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sz w:val="24"/>
        </w:rPr>
        <w:t xml:space="preserve">le CRJ, les experts de courte durée proposés et nommés par les administrations participantes de l’État membre pour </w:t>
      </w:r>
      <w:r>
        <w:rPr>
          <w:rFonts w:ascii="Times New Roman" w:hAnsi="Times New Roman"/>
          <w:color w:val="000000"/>
          <w:sz w:val="24"/>
        </w:rPr>
        <w:t>le transfert de l’expertise du secteur public, le ou les chefs de projet et les agents ayant signé le contrat de subvention du jumelage;</w:t>
      </w:r>
    </w:p>
    <w:p w14:paraId="0A25E559" w14:textId="77777777" w:rsidR="00D0198E" w:rsidRPr="005107DF" w:rsidRDefault="00F824DD"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le pays bénéficiaire et le personnel du bénéficiaire participant à la mise en œuvre des projets;</w:t>
      </w:r>
    </w:p>
    <w:p w14:paraId="6ADC4E49"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Pr>
          <w:rFonts w:ascii="Times New Roman" w:hAnsi="Times New Roman"/>
          <w:color w:val="000000"/>
          <w:sz w:val="24"/>
        </w:rPr>
        <w:t>les PCN pour le jumelage désignés par chaque administration de l’État membre et chaque administration bénéficiaire.</w:t>
      </w:r>
    </w:p>
    <w:p w14:paraId="20B44740"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Les données sont également rassemblées et publiées sur le site internet consacré au jumelage ou sur d’autres supports accessibles au public pour la promotion et le développement du jumelage, qui peuvent par exemple cibler d’autres entités éventuellement intéressées.</w:t>
      </w:r>
    </w:p>
    <w:p w14:paraId="0A40DC6C" w14:textId="21478DD9" w:rsidR="00044C26" w:rsidRPr="005107DF" w:rsidRDefault="00044C26" w:rsidP="0019382C">
      <w:pPr>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Ces données sont enregistrées et traitées conformément au </w:t>
      </w:r>
      <w:r>
        <w:rPr>
          <w:rFonts w:ascii="Times New Roman" w:hAnsi="Times New Roman"/>
          <w:i/>
          <w:color w:val="000000"/>
          <w:sz w:val="24"/>
        </w:rPr>
        <w:t>règlement (CE) nº 45/2001 du Parlement européen et du Conseil du 18 décembre 2000 relatif à la protection des personnes physiques à l’égard du traitement des données à caractère personnel par les institutions et organes communautaires et à la libre circulation de ces données</w:t>
      </w:r>
      <w:r>
        <w:rPr>
          <w:rFonts w:ascii="Times New Roman" w:hAnsi="Times New Roman"/>
          <w:color w:val="000000"/>
          <w:sz w:val="24"/>
        </w:rPr>
        <w:t xml:space="preserve"> et à son successeur, imposant les mêmes normes élevées de protection des données que celles applicables dans les États membres au titre du règlement (UE) 2016/679 du Parlement européen et du Conseil relatif à la protection des personnes physiques à l’égard du traitement des données à caractère personnel et à la libre circulation de ces données, et abrogeant la directive 95/46/CE (règlement général sur la protection des données).</w:t>
      </w:r>
    </w:p>
    <w:p w14:paraId="00904E1C" w14:textId="1BAA7012" w:rsidR="004F11DA" w:rsidRPr="005107DF" w:rsidRDefault="00D0198E" w:rsidP="001204A0">
      <w:pPr>
        <w:rPr>
          <w:rFonts w:ascii="Times New Roman" w:hAnsi="Times New Roman" w:cs="Times New Roman"/>
          <w:color w:val="1F497D"/>
          <w:sz w:val="20"/>
          <w:szCs w:val="20"/>
        </w:rPr>
      </w:pPr>
      <w:r>
        <w:rPr>
          <w:rFonts w:ascii="Times New Roman" w:hAnsi="Times New Roman"/>
          <w:color w:val="000000"/>
          <w:sz w:val="24"/>
        </w:rPr>
        <w:t xml:space="preserve">Conformément aux dispositions de ce règlement, une </w:t>
      </w:r>
      <w:r>
        <w:rPr>
          <w:rFonts w:ascii="Times New Roman" w:hAnsi="Times New Roman"/>
          <w:i/>
          <w:sz w:val="24"/>
        </w:rPr>
        <w:t>déclaration de confidentialité</w:t>
      </w:r>
      <w:r>
        <w:rPr>
          <w:rFonts w:ascii="Times New Roman" w:hAnsi="Times New Roman"/>
          <w:color w:val="000000"/>
          <w:sz w:val="24"/>
        </w:rPr>
        <w:t xml:space="preserve"> spécifique peut être consultée par le public sur le site internet suivant:</w:t>
      </w:r>
      <w:r>
        <w:rPr>
          <w:rFonts w:ascii="Times New Roman" w:hAnsi="Times New Roman"/>
          <w:sz w:val="24"/>
        </w:rPr>
        <w:t xml:space="preserve">  </w:t>
      </w:r>
      <w:hyperlink r:id="rId33" w:history="1">
        <w:r w:rsidR="001204A0" w:rsidRPr="001204A0">
          <w:rPr>
            <w:rStyle w:val="Hyperlink"/>
            <w:rFonts w:ascii="Times New Roman" w:hAnsi="Times New Roman" w:cstheme="minorBidi"/>
            <w:sz w:val="24"/>
          </w:rPr>
          <w:t>https://ec.europa.eu/neighbourhood-enlargement/sites/near/files/taiex_privacy_statement_online.pdf</w:t>
        </w:r>
      </w:hyperlink>
    </w:p>
    <w:p w14:paraId="1C94FEBA" w14:textId="24174A2E" w:rsidR="00D0198E" w:rsidRDefault="00D0198E">
      <w:pPr>
        <w:rPr>
          <w:rFonts w:ascii="Times New Roman" w:hAnsi="Times New Roman" w:cs="Times New Roman"/>
        </w:rPr>
      </w:pPr>
    </w:p>
    <w:p w14:paraId="509A91F4" w14:textId="1DEDF1C4" w:rsidR="007708B1" w:rsidRPr="005107DF" w:rsidRDefault="007708B1">
      <w:pPr>
        <w:rPr>
          <w:rFonts w:ascii="Times New Roman" w:hAnsi="Times New Roman" w:cs="Times New Roman"/>
        </w:rPr>
      </w:pPr>
    </w:p>
    <w:p w14:paraId="1AFCD8D3" w14:textId="77777777" w:rsidR="00D0198E" w:rsidRPr="005107DF" w:rsidRDefault="00D0198E" w:rsidP="007338F0">
      <w:pPr>
        <w:pStyle w:val="Heading1"/>
        <w:pBdr>
          <w:bottom w:val="single" w:sz="4" w:space="1" w:color="auto"/>
        </w:pBdr>
      </w:pPr>
      <w:bookmarkStart w:id="567" w:name="_Toc30492310"/>
      <w:bookmarkStart w:id="568" w:name="_Toc30492784"/>
      <w:bookmarkStart w:id="569" w:name="_Toc30498022"/>
      <w:bookmarkStart w:id="570" w:name="_Toc47349002"/>
      <w:bookmarkStart w:id="571" w:name="_Toc47349479"/>
      <w:bookmarkStart w:id="572" w:name="_Toc47499071"/>
      <w:bookmarkStart w:id="573" w:name="_Toc47684240"/>
      <w:bookmarkStart w:id="574" w:name="_Toc86819222"/>
      <w:bookmarkStart w:id="575" w:name="_Toc86819253"/>
      <w:bookmarkStart w:id="576" w:name="_Toc442374730"/>
      <w:bookmarkStart w:id="577" w:name="_Toc464459935"/>
      <w:bookmarkStart w:id="578" w:name="_Toc517434425"/>
      <w:bookmarkStart w:id="579" w:name="_Toc2860988"/>
      <w:bookmarkStart w:id="580" w:name="_Toc30492311"/>
      <w:bookmarkStart w:id="581" w:name="_Toc30492785"/>
      <w:bookmarkStart w:id="582" w:name="_Toc30498023"/>
      <w:bookmarkStart w:id="583" w:name="_Toc442374731"/>
      <w:bookmarkStart w:id="584" w:name="_Toc464459936"/>
      <w:bookmarkStart w:id="585" w:name="_Toc47349003"/>
      <w:bookmarkStart w:id="586" w:name="_Toc47349480"/>
      <w:bookmarkStart w:id="587" w:name="_Toc47499072"/>
      <w:bookmarkStart w:id="588" w:name="_Toc47684241"/>
      <w:r>
        <w:lastRenderedPageBreak/>
        <w:t xml:space="preserve">Section 6: le budget </w:t>
      </w:r>
      <w:bookmarkEnd w:id="567"/>
      <w:bookmarkEnd w:id="568"/>
      <w:bookmarkEnd w:id="569"/>
      <w:bookmarkEnd w:id="570"/>
      <w:bookmarkEnd w:id="571"/>
      <w:bookmarkEnd w:id="572"/>
      <w:bookmarkEnd w:id="573"/>
      <w:bookmarkEnd w:id="574"/>
      <w:bookmarkEnd w:id="575"/>
      <w:bookmarkEnd w:id="576"/>
      <w:bookmarkEnd w:id="577"/>
      <w:r>
        <w:t>du projet de jumelage</w:t>
      </w:r>
      <w:bookmarkEnd w:id="578"/>
      <w:bookmarkEnd w:id="579"/>
      <w:r>
        <w:t xml:space="preserve"> </w:t>
      </w:r>
    </w:p>
    <w:p w14:paraId="7116D36B" w14:textId="77777777" w:rsidR="00D0198E" w:rsidRPr="005107DF" w:rsidRDefault="00D0198E" w:rsidP="007338F0">
      <w:pPr>
        <w:pStyle w:val="Heading2"/>
      </w:pPr>
      <w:bookmarkStart w:id="589" w:name="_Toc476063316"/>
      <w:bookmarkStart w:id="590" w:name="_Toc476067798"/>
      <w:bookmarkStart w:id="591" w:name="_Toc517434426"/>
      <w:bookmarkStart w:id="592" w:name="_Toc2860989"/>
      <w:r>
        <w:t xml:space="preserve">6.1 Le budget du projet de </w:t>
      </w:r>
      <w:bookmarkEnd w:id="580"/>
      <w:bookmarkEnd w:id="581"/>
      <w:bookmarkEnd w:id="582"/>
      <w:bookmarkEnd w:id="583"/>
      <w:bookmarkEnd w:id="584"/>
      <w:bookmarkEnd w:id="589"/>
      <w:bookmarkEnd w:id="590"/>
      <w:r>
        <w:t>jumelage</w:t>
      </w:r>
      <w:bookmarkEnd w:id="591"/>
      <w:bookmarkEnd w:id="592"/>
    </w:p>
    <w:p w14:paraId="13B995A0" w14:textId="77777777" w:rsidR="00D0198E" w:rsidRPr="005107DF" w:rsidRDefault="00D0198E" w:rsidP="007338F0">
      <w:pPr>
        <w:pStyle w:val="Heading3"/>
      </w:pPr>
      <w:bookmarkStart w:id="593" w:name="_Toc30492313"/>
      <w:bookmarkStart w:id="594" w:name="_Toc30492787"/>
      <w:bookmarkStart w:id="595" w:name="_Toc30498025"/>
      <w:bookmarkStart w:id="596" w:name="_Toc47349005"/>
      <w:bookmarkStart w:id="597" w:name="_Toc47349482"/>
      <w:bookmarkStart w:id="598" w:name="_Toc47499075"/>
      <w:bookmarkStart w:id="599" w:name="_Toc47684244"/>
      <w:bookmarkStart w:id="600" w:name="_Toc442374732"/>
      <w:bookmarkStart w:id="601" w:name="_Toc464459937"/>
      <w:bookmarkStart w:id="602" w:name="_Toc476063317"/>
      <w:bookmarkStart w:id="603" w:name="_Toc476067799"/>
      <w:bookmarkStart w:id="604" w:name="_Toc517434427"/>
      <w:bookmarkStart w:id="605" w:name="_Toc2860990"/>
      <w:bookmarkEnd w:id="585"/>
      <w:bookmarkEnd w:id="586"/>
      <w:bookmarkEnd w:id="587"/>
      <w:bookmarkEnd w:id="588"/>
      <w:r>
        <w:t xml:space="preserve">6.1.1 </w:t>
      </w:r>
      <w:bookmarkEnd w:id="593"/>
      <w:bookmarkEnd w:id="594"/>
      <w:bookmarkEnd w:id="595"/>
      <w:bookmarkEnd w:id="596"/>
      <w:bookmarkEnd w:id="597"/>
      <w:bookmarkEnd w:id="598"/>
      <w:bookmarkEnd w:id="599"/>
      <w:bookmarkEnd w:id="600"/>
      <w:r>
        <w:t xml:space="preserve">Observations </w:t>
      </w:r>
      <w:bookmarkEnd w:id="601"/>
      <w:bookmarkEnd w:id="602"/>
      <w:bookmarkEnd w:id="603"/>
      <w:r>
        <w:t>générales</w:t>
      </w:r>
      <w:bookmarkEnd w:id="604"/>
      <w:bookmarkEnd w:id="605"/>
    </w:p>
    <w:p w14:paraId="51ADE86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budget total affecté à l’exécution du projet de jumelage doit rester dans les limites du montant mentionné dans la fiche de jumelage; aucune augmentation de ce montant n’est autorisée.</w:t>
      </w:r>
    </w:p>
    <w:p w14:paraId="17B88F22" w14:textId="77777777" w:rsidR="00CE54B6" w:rsidRPr="005107DF" w:rsidRDefault="00CE54B6"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budget inclus dans le contrat sera mis à jour lors de l’élaboration du premier plan de travail, dans lequel chaque activité et poste de dépenses sont énumérés et quantifiés en tenant compte des coûts unitaires et des taux forfaitaires. Tout plan de travail ultérieur est accompagné d’un budget mis à jour.  </w:t>
      </w:r>
    </w:p>
    <w:p w14:paraId="1E57C02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le plan de travail doit répertorier l’ensemble des activités prévues dans le cadre du projet de jumelage, qu’elles relèvent de la responsabilité du bénéficiaire ou de l’État membre, la ventilation des coûts n’est fournie que pour les activités financées au titre de la subvention de jumelage.</w:t>
      </w:r>
    </w:p>
    <w:p w14:paraId="27745A5D" w14:textId="77777777" w:rsidR="00B00746" w:rsidRPr="005107DF" w:rsidRDefault="00B00746"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liste des éléments budgétaires définis à l’annexe A3 ne doit pas être considérée comme exhaustive. Il peut par exemple s’avérer nécessaire d’ajouter des coûts pour des aspects liés à la sécurité.  </w:t>
      </w:r>
    </w:p>
    <w:p w14:paraId="35BB575C" w14:textId="77777777" w:rsidR="00D0198E" w:rsidRPr="005107DF" w:rsidRDefault="00D0198E" w:rsidP="007338F0">
      <w:pPr>
        <w:pStyle w:val="Heading3"/>
      </w:pPr>
      <w:bookmarkStart w:id="606" w:name="_Toc30492315"/>
      <w:bookmarkStart w:id="607" w:name="_Toc30492789"/>
      <w:bookmarkStart w:id="608" w:name="_Toc30498027"/>
      <w:bookmarkStart w:id="609" w:name="_Toc47349007"/>
      <w:bookmarkStart w:id="610" w:name="_Toc47349484"/>
      <w:bookmarkStart w:id="611" w:name="_Toc47499077"/>
      <w:bookmarkStart w:id="612" w:name="_Toc47684246"/>
      <w:bookmarkStart w:id="613" w:name="_Toc442374734"/>
      <w:bookmarkStart w:id="614" w:name="_Toc464459938"/>
      <w:bookmarkStart w:id="615" w:name="_Toc476063318"/>
      <w:bookmarkStart w:id="616" w:name="_Toc476067800"/>
      <w:bookmarkStart w:id="617" w:name="_Toc517434428"/>
      <w:bookmarkStart w:id="618" w:name="_Toc2860991"/>
      <w:r>
        <w:t>6.1.2 Structure du budget</w:t>
      </w:r>
      <w:bookmarkEnd w:id="606"/>
      <w:bookmarkEnd w:id="607"/>
      <w:bookmarkEnd w:id="608"/>
      <w:bookmarkEnd w:id="609"/>
      <w:bookmarkEnd w:id="610"/>
      <w:bookmarkEnd w:id="611"/>
      <w:bookmarkEnd w:id="612"/>
      <w:bookmarkEnd w:id="613"/>
      <w:bookmarkEnd w:id="614"/>
      <w:bookmarkEnd w:id="615"/>
      <w:bookmarkEnd w:id="616"/>
      <w:bookmarkEnd w:id="617"/>
      <w:bookmarkEnd w:id="618"/>
    </w:p>
    <w:p w14:paraId="6F13396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budget de jumelage comporte une rubrique budgétaire établissant l’indemnisation des coûts relatifs au CRJ et à son ou ses assistants, une rubrique budgétaire pour les coûts horizontaux, une rubrique budgétaire pour les résultats/produits obligatoires, ventilés en fonction des volets liés à chaque résultat/produit obligatoire et des activités précises réalisées dans le cadre de chacun d’entre eux, une rubrique budgétaire pour la réserve ainsi qu’une rubrique budgétaire relative au taux forfaitaire pour les coûts indirects. </w:t>
      </w:r>
    </w:p>
    <w:p w14:paraId="4F8D8A6B"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 montant global alloué à chaque rubrique budgétaire et chaque ligne budgétaire est inclus dans le contrat, à l’annexe A3 du contrat de subvention de jumelage. </w:t>
      </w:r>
    </w:p>
    <w:p w14:paraId="040403AA" w14:textId="77777777" w:rsidR="00D0198E" w:rsidRPr="005107DF" w:rsidRDefault="00CD0261"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Seules les rubriques budgétaires, et non les lignes budgétaires (pourcentages fixes pour les coûts indirects et les réserves), sont concernées par l’application de la règle des 25 % pour les modifications par avenant. </w:t>
      </w:r>
    </w:p>
    <w:p w14:paraId="290D4D9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coûts unitaires et taux forfaitaires applicables définis pour les projets de jumelage sont mentionnés dans chaque rubrique budgétaire et sous-rubrique. </w:t>
      </w:r>
    </w:p>
    <w:p w14:paraId="7E66D34D" w14:textId="77777777" w:rsidR="00A143DF"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La participation à des actions liées à l’élaboration du plan de travail initial par le ou les chefs de projet de l’État membre, les responsables de volets ou d’autres membres du personnel de soutien relève de la rubrique budgétaire relative aux coûts horizontaux. </w:t>
      </w:r>
    </w:p>
    <w:p w14:paraId="49C52051" w14:textId="77777777" w:rsidR="00A143DF" w:rsidRPr="005107DF" w:rsidRDefault="008246F5"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La participation aux réunions du comité de pilotage du projet et la participation du ou des chefs de projet de l’État membre à d’autres événements en vertu du plan de communication et de visibilité sont couvertes par cette même rubrique. Pour ces activités, le ou les chefs de </w:t>
      </w:r>
      <w:r>
        <w:rPr>
          <w:rFonts w:ascii="Times New Roman" w:hAnsi="Times New Roman"/>
          <w:sz w:val="24"/>
        </w:rPr>
        <w:lastRenderedPageBreak/>
        <w:t xml:space="preserve">projet de l’État membre et/ou les autres membres du personnel de soutien sont considérés comme des experts de courte durée. </w:t>
      </w:r>
    </w:p>
    <w:p w14:paraId="2A759A45" w14:textId="77777777" w:rsidR="00A143DF"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Les allocations de voyage et indemnités journalières liées à la participation du chef de projet du bénéficiaire et/ou de l’homologue du CRJ aux formations dispensées au siège de la Commission sont également couvertes par cette rubrique budgétaire. </w:t>
      </w:r>
    </w:p>
    <w:p w14:paraId="7CAC108B"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 montant alloué à la rubrique budgétaire relative aux résultats/produits obligatoires est défini comme un montant global, conformément à l’annexe A3 du </w:t>
      </w:r>
      <w:r>
        <w:rPr>
          <w:rFonts w:ascii="Times New Roman" w:hAnsi="Times New Roman"/>
          <w:color w:val="000000"/>
          <w:sz w:val="24"/>
        </w:rPr>
        <w:t>contrat de subvention de jumelage</w:t>
      </w:r>
      <w:r>
        <w:rPr>
          <w:rFonts w:ascii="Times New Roman" w:hAnsi="Times New Roman"/>
          <w:sz w:val="24"/>
        </w:rPr>
        <w:t>.</w:t>
      </w:r>
    </w:p>
    <w:p w14:paraId="7003AFA3"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Le montant alloué à la réserve budgétaire/aux provisions pour imprévus est fixé à 2,5 % des coûts directs au moment de la conclusion du contrat. En cas d’utilisation de la réserve pour la mise en œuvre du projet, les fonds utilisés sont réaffectés à la rubrique budgétaire concernée.</w:t>
      </w:r>
    </w:p>
    <w:p w14:paraId="5875E5E4"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 taux forfaitaire pour les coûts indirects est fixé à 6 % des coûts directs conformément à l’annexe B. </w:t>
      </w:r>
    </w:p>
    <w:p w14:paraId="3E014866"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Dans le budget accompagnant les plans de travail initial et ultérieurs, les activités individuelles représentent des postes distincts de la rubrique budgétaire concernée, ventilés en fonction des coûts spécifiques de l’activité. Une activité peut inclure un certain nombre de sous-activités.</w:t>
      </w:r>
    </w:p>
    <w:p w14:paraId="52435276"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Les coûts budgétisés sous une forme simplifiée (coûts unitaires ou taux forfaitaires conformément à l’annexe B) sont indiqués à l’annexe A3 du contrat de subvention de jumelage, de même que les valeurs applicables. Ces dernières apparaissent,</w:t>
      </w:r>
      <w:r>
        <w:rPr>
          <w:rFonts w:ascii="Times New Roman" w:hAnsi="Times New Roman"/>
          <w:color w:val="000000"/>
          <w:sz w:val="24"/>
        </w:rPr>
        <w:t xml:space="preserve"> le cas échéan</w:t>
      </w:r>
      <w:r>
        <w:rPr>
          <w:rFonts w:ascii="Times New Roman" w:hAnsi="Times New Roman"/>
          <w:sz w:val="24"/>
        </w:rPr>
        <w:t>t, dans la ventilation des coûts de chaque activité du plan de travail.</w:t>
      </w:r>
    </w:p>
    <w:p w14:paraId="7BBF57CC"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Tous les montants établis sous la forme de coûts unitaires ou de taux forfaitaires demeurent inchangés tout au long de la mise en œuvre du projet.</w:t>
      </w:r>
    </w:p>
    <w:p w14:paraId="769832A1" w14:textId="77777777" w:rsidR="00D0198E" w:rsidRPr="005107DF" w:rsidRDefault="00D0198E" w:rsidP="007338F0">
      <w:pPr>
        <w:pStyle w:val="Heading2"/>
      </w:pPr>
      <w:bookmarkStart w:id="619" w:name="_Toc442374735"/>
      <w:bookmarkStart w:id="620" w:name="_Toc464459939"/>
      <w:bookmarkStart w:id="621" w:name="_Toc476063319"/>
      <w:bookmarkStart w:id="622" w:name="_Toc476067801"/>
      <w:bookmarkStart w:id="623" w:name="_Toc517434429"/>
      <w:bookmarkStart w:id="624" w:name="_Toc2860992"/>
      <w:bookmarkStart w:id="625" w:name="_Toc30492316"/>
      <w:bookmarkStart w:id="626" w:name="_Toc30492790"/>
      <w:bookmarkStart w:id="627" w:name="_Toc30498028"/>
      <w:bookmarkStart w:id="628" w:name="_Toc47349008"/>
      <w:bookmarkStart w:id="629" w:name="_Toc47349485"/>
      <w:bookmarkStart w:id="630" w:name="_Toc47499078"/>
      <w:bookmarkStart w:id="631" w:name="_Toc47684247"/>
      <w:r>
        <w:t xml:space="preserve">6.2 Coûts </w:t>
      </w:r>
      <w:bookmarkEnd w:id="619"/>
      <w:bookmarkEnd w:id="620"/>
      <w:bookmarkEnd w:id="621"/>
      <w:bookmarkEnd w:id="622"/>
      <w:r>
        <w:t>éligibles</w:t>
      </w:r>
      <w:bookmarkEnd w:id="623"/>
      <w:bookmarkEnd w:id="624"/>
    </w:p>
    <w:p w14:paraId="47DB3EB4" w14:textId="77777777" w:rsidR="00D0198E" w:rsidRPr="005107DF" w:rsidRDefault="00D0198E" w:rsidP="007338F0">
      <w:pPr>
        <w:pStyle w:val="Heading3"/>
      </w:pPr>
      <w:bookmarkStart w:id="632" w:name="_Toc464459940"/>
      <w:bookmarkStart w:id="633" w:name="_Toc476063320"/>
      <w:bookmarkStart w:id="634" w:name="_Toc476067802"/>
      <w:bookmarkStart w:id="635" w:name="_Toc517434430"/>
      <w:bookmarkStart w:id="636" w:name="_Toc2860993"/>
      <w:r>
        <w:t xml:space="preserve">6.2.1 Observations </w:t>
      </w:r>
      <w:bookmarkEnd w:id="632"/>
      <w:bookmarkEnd w:id="633"/>
      <w:bookmarkEnd w:id="634"/>
      <w:r>
        <w:t>générales</w:t>
      </w:r>
      <w:bookmarkEnd w:id="635"/>
      <w:bookmarkEnd w:id="636"/>
    </w:p>
    <w:p w14:paraId="41014EB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Seuls les coûts relatifs aux activités organisées dans le pays bénéficiaire ou aux visites d’études ou stages dans un État membre sont éligibles au remboursement/à une indemnisation sur le budget du projet de jumelage. Ces coûts doivent être encourus pendant la période de mise en œuvre du projet, à l’exception des coûts relatifs au vol aller du CRJ, à la participation du CRJ, du chef de projet du bénéficiaire et/ou de l’homologue du CRJ à la formation dispensée au siège de la Commission (si celle-ci est suivie avant le début de la mise en œuvre du projet - voir le point 4.1.6.6) et à la préparation du rapport de vérification des dépenses (voir le point 5.5.4).</w:t>
      </w:r>
    </w:p>
    <w:p w14:paraId="6A36903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subvention octroyée à un État membre pour la mise en œuvre (seul ou en consortium avec d’autres États membres) d’un projet de jumelage est censée compenser les coûts engagés par l’État membre (ou le consortium d’États membres) pour parvenir aux résultats/produits obligatoires grâce au déploiement d’experts et aux activités horizontales. Comme pour toutes les subventions octroyées par l’Union européenne, le principe de non-profit s’applique également aux subventions de jumelage.</w:t>
      </w:r>
    </w:p>
    <w:p w14:paraId="4A47428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 xml:space="preserve">La valeur des apports du secteur privé ne peut excéder un plafond global de 5 000 EUR par volet dans la rubrique budgétaire «résultats/produits obligatoires». Les fournitures/biens fournis sont éligibles à hauteur de 5 000 EUR sous la rubrique budgétaire «Coûts horizontaux». Les coûts afférents à l’assistant ou aux assistants du CRJ sont éligibles sous la rubrique budgétaire «CRJ et coûts connexes». Les coûts liés au plan de communication et de visibilité sont éligibles sous la rubrique budgétaire «Coûts horizontaux». Ces plafonds ne sont pas applicables aux coûts de traduction et d’interprétation supportés dans le cadre d’activités éligibles sous la rubrique budgétaire «résultats/produits obligatoires». </w:t>
      </w:r>
    </w:p>
    <w:p w14:paraId="2ACF355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visites de fonctionnaires ou agents assimilés et/ou de membres du personnel de soutien (autres que le chef de projet) à l’administration bénéficiaire qui ne sont pas motivées par une contribution directe à la réalisation des activités du projet ne sont pas éligibles et ne sont donc pas couvertes par le budget du projet.</w:t>
      </w:r>
    </w:p>
    <w:p w14:paraId="6A3F1D34"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Aucun coût direct, coût indirect ou coût de fonctionnement supporté par le bénéficiaire dans le cadre de la mise en œuvre d’un projet de jumelage ne peut être financé par le budget du projet. Le bénéficiaire veille par ailleurs, en engageant ses ressources propres, à la disponibilité de l’infrastructure professionnelle nécessaire aux experts des États membres, en particulier le CRJ et son ou ses assistants.</w:t>
      </w:r>
    </w:p>
    <w:p w14:paraId="12504DBA"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droits, taxes et impôts, y compris la TVA, ne sont pas éligibles au titre du contrat de subvention de jumelage, à moins que l’État membre ne soit en mesure de démontrer qu’il ne peut être exonéré ou remboursé, et à condition que le programme de l’Union européenne finançant le projet de jumelage autorise le remboursement de ces taxes (voir l’article 14.2 des conditions générales à l’annexe A2 du contrat de subvention de jumelage).</w:t>
      </w:r>
    </w:p>
    <w:p w14:paraId="2DC29962" w14:textId="77777777" w:rsidR="00D0198E" w:rsidRPr="005107DF" w:rsidRDefault="00D0198E" w:rsidP="00D0198E">
      <w:pPr>
        <w:tabs>
          <w:tab w:val="left" w:pos="851"/>
          <w:tab w:val="left" w:pos="1191"/>
          <w:tab w:val="left" w:pos="1531"/>
          <w:tab w:val="left" w:pos="2786"/>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Les États membres sont invités à bien se renseigner et à coopérer avec la délégation de l’UE avant d’effectuer, dans le pays bénéficiaire et dans le cadre du projet, des achats pouvant inclure le paiement de la TVA ou d’autres droits, taxes et impôts: en effet, certains pays ont mis en place un mécanisme où le ministère des finances local gère le remboursement de la TVA et des autres taxes pour les projets financés par l’UE.</w:t>
      </w:r>
    </w:p>
    <w:p w14:paraId="1D832303" w14:textId="77777777" w:rsidR="00D0198E" w:rsidRPr="005107DF" w:rsidRDefault="00D0198E" w:rsidP="007338F0">
      <w:pPr>
        <w:pStyle w:val="Heading3"/>
      </w:pPr>
      <w:bookmarkStart w:id="637" w:name="_Toc464459941"/>
      <w:bookmarkStart w:id="638" w:name="_Toc476063321"/>
      <w:bookmarkStart w:id="639" w:name="_Toc476067803"/>
      <w:bookmarkStart w:id="640" w:name="_Toc517434431"/>
      <w:bookmarkStart w:id="641" w:name="_Toc2860994"/>
      <w:r>
        <w:t xml:space="preserve">6.2.2 </w:t>
      </w:r>
      <w:bookmarkEnd w:id="637"/>
      <w:r>
        <w:t xml:space="preserve">Indemnité </w:t>
      </w:r>
      <w:bookmarkEnd w:id="638"/>
      <w:bookmarkEnd w:id="639"/>
      <w:r>
        <w:t>journalière</w:t>
      </w:r>
      <w:bookmarkEnd w:id="640"/>
      <w:bookmarkEnd w:id="641"/>
    </w:p>
    <w:p w14:paraId="4AE2FED5" w14:textId="753882CB"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Un État membre reçoit une indemnisation pour les fonctionnaires ou agents assimilés qui effectuent une mission dans un pays bénéficiaire dans le cadre d’un projet de jumelage, sous la forme d’une indemnité journalière versée par nuitée passée dans le pays bénéficiaire, conformément aux annexes B et A7. Cette règle s’applique également aux membres du personnel du bénéficiaire se rendant dans un État membre dans le cadre d’une visite d’étude conformément aux annexes B et A7. </w:t>
      </w:r>
    </w:p>
    <w:p w14:paraId="01571BE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règles spécifiques concernant le droit du CRJ à bénéficier d’une indemnité journalière sont décrites au point 6.2.5.2.</w:t>
      </w:r>
    </w:p>
    <w:p w14:paraId="05D7382E" w14:textId="77777777" w:rsidR="00D0198E" w:rsidRPr="005107DF" w:rsidRDefault="00D0198E" w:rsidP="007338F0">
      <w:pPr>
        <w:pStyle w:val="Heading3"/>
      </w:pPr>
      <w:bookmarkStart w:id="642" w:name="_Toc464459942"/>
      <w:bookmarkStart w:id="643" w:name="_Toc476063322"/>
      <w:bookmarkStart w:id="644" w:name="_Toc476067804"/>
      <w:bookmarkStart w:id="645" w:name="_Toc517434432"/>
      <w:bookmarkStart w:id="646" w:name="_Toc2860995"/>
      <w:r>
        <w:t xml:space="preserve">6.2.3 Indemnité journalière </w:t>
      </w:r>
      <w:bookmarkEnd w:id="642"/>
      <w:bookmarkEnd w:id="643"/>
      <w:bookmarkEnd w:id="644"/>
      <w:r>
        <w:t>forfaitaire</w:t>
      </w:r>
      <w:bookmarkEnd w:id="645"/>
      <w:bookmarkEnd w:id="646"/>
    </w:p>
    <w:p w14:paraId="2C92F17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L’État membre reçoit une indemnité journalière forfaitaire conformément aux annexes B et A7 afin de compenser l’absence à leur poste des fonctionnaires ou agents assimilés qui interviennent en tant qu’experts de courte durée. L’indemnité journalière forfaitaire est versée par jour travaillé dans le pays bénéficiaire.</w:t>
      </w:r>
    </w:p>
    <w:p w14:paraId="1C461C69" w14:textId="77777777" w:rsidR="008356BD" w:rsidRPr="005107DF" w:rsidRDefault="00D0198E" w:rsidP="007338F0">
      <w:pPr>
        <w:pStyle w:val="Heading3"/>
      </w:pPr>
      <w:bookmarkStart w:id="647" w:name="_Toc464459943"/>
      <w:bookmarkStart w:id="648" w:name="_Toc476063323"/>
      <w:bookmarkStart w:id="649" w:name="_Toc476067805"/>
      <w:bookmarkStart w:id="650" w:name="_Toc517434433"/>
      <w:bookmarkStart w:id="651" w:name="_Toc2860996"/>
      <w:r>
        <w:lastRenderedPageBreak/>
        <w:t>6.2.4 Déplacements</w:t>
      </w:r>
      <w:bookmarkEnd w:id="647"/>
      <w:bookmarkEnd w:id="648"/>
      <w:bookmarkEnd w:id="649"/>
      <w:bookmarkEnd w:id="650"/>
      <w:bookmarkEnd w:id="651"/>
    </w:p>
    <w:p w14:paraId="48BCA8D8" w14:textId="77777777" w:rsidR="00B00746" w:rsidRPr="005107DF" w:rsidRDefault="00D0198E" w:rsidP="007338F0">
      <w:pPr>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 xml:space="preserve">Les frais supportés par les fonctionnaires ou agents assimilés lors du déplacement de leur lieu de travail au sein de l’État membre au lieu de mission dans le pays bénéficiaire sont remboursés à l’État membre sous la forme d’un coût unitaire par voyage aller-retour, conformément aux annexes B et A7. Lorsque le coût unitaire est fixé selon la méthodologie, l’État membre est libre de définir la manière dont il mène la procédure de passation de marchés relative aux déplacements et ne doit pas fournir de justificatif. </w:t>
      </w:r>
    </w:p>
    <w:p w14:paraId="08A64D9C" w14:textId="54DE1EAC" w:rsidR="00D0198E" w:rsidRPr="005107DF" w:rsidRDefault="00D0198E" w:rsidP="007338F0">
      <w:pPr>
        <w:spacing w:after="240" w:line="240" w:lineRule="auto"/>
        <w:jc w:val="both"/>
        <w:rPr>
          <w:rFonts w:ascii="Times New Roman" w:eastAsia="Calibri" w:hAnsi="Times New Roman" w:cs="Times New Roman"/>
        </w:rPr>
      </w:pPr>
      <w:r>
        <w:rPr>
          <w:rFonts w:ascii="Times New Roman" w:hAnsi="Times New Roman"/>
          <w:sz w:val="24"/>
        </w:rPr>
        <w:t xml:space="preserve">Étant donné que le coût unitaire ne fait que remplacer les coûts réels, l’activité ou l’événement pour lequel l’indemnisation est demandée doit avoir eu lieu pour pouvoir bénéficier de celle-ci. </w:t>
      </w:r>
      <w:r>
        <w:rPr>
          <w:rFonts w:ascii="Times New Roman" w:hAnsi="Times New Roman"/>
          <w:color w:val="000000"/>
          <w:sz w:val="24"/>
        </w:rPr>
        <w:t xml:space="preserve"> </w:t>
      </w:r>
    </w:p>
    <w:p w14:paraId="6EFC217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Pour un déplacement pour lequel aucun coût unitaire n’a été établi, le projet de jumelage rembourse le coût réel d’un billet d’avion en classe économique (franchise de bagages standard comprise) sur présentation de pièces justificatives (factures) et en tenant compte de la moins chère des trois offres soumises par une agence de voyage.</w:t>
      </w:r>
    </w:p>
    <w:p w14:paraId="599C396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déplacements à destination et au départ de l’aéroport de la ville où l’expertise doit être fournie sont considérés comme des déplacements locaux et sont couverts par l’indemnité journalière.</w:t>
      </w:r>
    </w:p>
    <w:p w14:paraId="5954062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déplacements des fonctionnaires ou agents assimilés de l’État membre, notamment le CRJ dans le cadre de la mise en œuvre du projet, au sein du pays bénéficiaire peuvent être remboursés sur la base des coûts réels sur présentation de factures, de tickets ou de reçus si la distance entre la destination et le lieu de mission du CRJ est supérieure à 25 km. </w:t>
      </w:r>
    </w:p>
    <w:p w14:paraId="077CF42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coûts relatifs aux déplacements des fonctionnaires ou agents du bénéficiaire au sein des États membres ou entre ceux-ci effectués dans le cadre d’activités liées au projet peuvent être remboursés sur la base des coûts réellement engagés, sur présentation de factures ou de tickets. </w:t>
      </w:r>
    </w:p>
    <w:p w14:paraId="5FAFBB9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frais de visa sont considérés comme des coûts de déplacement éligibles et seront remboursés sur la base des coûts réellement engagés.</w:t>
      </w:r>
    </w:p>
    <w:p w14:paraId="73BD2D0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Des dispositions spécifiques relatives aux déplacements du CRJ figurent aux points 6.2.5.3 et 6.2.5.4.</w:t>
      </w:r>
    </w:p>
    <w:p w14:paraId="3B75722F" w14:textId="77777777" w:rsidR="00D0198E" w:rsidRPr="005107DF" w:rsidRDefault="00D0198E" w:rsidP="007338F0">
      <w:pPr>
        <w:pStyle w:val="Heading3"/>
      </w:pPr>
      <w:bookmarkStart w:id="652" w:name="_Toc464459944"/>
      <w:bookmarkStart w:id="653" w:name="_Toc476063324"/>
      <w:bookmarkStart w:id="654" w:name="_Toc476067806"/>
      <w:bookmarkStart w:id="655" w:name="_Toc517434434"/>
      <w:bookmarkStart w:id="656" w:name="_Toc2860997"/>
      <w:bookmarkStart w:id="657" w:name="_Toc30492319"/>
      <w:bookmarkStart w:id="658" w:name="_Toc30492793"/>
      <w:bookmarkStart w:id="659" w:name="_Toc30498031"/>
      <w:bookmarkStart w:id="660" w:name="_Toc47349011"/>
      <w:bookmarkStart w:id="661" w:name="_Toc47349488"/>
      <w:bookmarkStart w:id="662" w:name="_Toc47499081"/>
      <w:bookmarkStart w:id="663" w:name="_Toc47684253"/>
      <w:bookmarkStart w:id="664" w:name="_Toc442374738"/>
      <w:bookmarkEnd w:id="625"/>
      <w:bookmarkEnd w:id="626"/>
      <w:bookmarkEnd w:id="627"/>
      <w:bookmarkEnd w:id="628"/>
      <w:bookmarkEnd w:id="629"/>
      <w:bookmarkEnd w:id="630"/>
      <w:bookmarkEnd w:id="631"/>
      <w:r>
        <w:t xml:space="preserve">6.2.5 Le conseiller résident de jumelage </w:t>
      </w:r>
      <w:bookmarkEnd w:id="652"/>
      <w:bookmarkEnd w:id="653"/>
      <w:bookmarkEnd w:id="654"/>
      <w:r>
        <w:t>(CRJ)</w:t>
      </w:r>
      <w:bookmarkEnd w:id="655"/>
      <w:bookmarkEnd w:id="656"/>
    </w:p>
    <w:p w14:paraId="23AA4CAB" w14:textId="77777777" w:rsidR="00D0198E" w:rsidRPr="005107DF" w:rsidRDefault="00D0198E" w:rsidP="007338F0">
      <w:pPr>
        <w:pStyle w:val="Heading4"/>
      </w:pPr>
      <w:bookmarkStart w:id="665" w:name="_Toc464459945"/>
      <w:bookmarkStart w:id="666" w:name="_Toc476063325"/>
      <w:bookmarkStart w:id="667" w:name="_Toc476067807"/>
      <w:r>
        <w:t>6.2.5.1 Salaire et charges sociales</w:t>
      </w:r>
      <w:bookmarkEnd w:id="665"/>
      <w:bookmarkEnd w:id="666"/>
      <w:bookmarkEnd w:id="667"/>
    </w:p>
    <w:bookmarkEnd w:id="657"/>
    <w:bookmarkEnd w:id="658"/>
    <w:bookmarkEnd w:id="659"/>
    <w:bookmarkEnd w:id="660"/>
    <w:bookmarkEnd w:id="661"/>
    <w:bookmarkEnd w:id="662"/>
    <w:bookmarkEnd w:id="663"/>
    <w:bookmarkEnd w:id="664"/>
    <w:p w14:paraId="574BFC8F" w14:textId="77777777" w:rsidR="00D0198E" w:rsidRPr="005107DF" w:rsidRDefault="00D0198E" w:rsidP="00D0198E">
      <w:pPr>
        <w:spacing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L’indemnisation relative au salaire et aux charges sociales du CRJ, ainsi que la méthode de calcul de cette indemnisation, sont définies aux annexes B et A7.  </w:t>
      </w:r>
    </w:p>
    <w:p w14:paraId="1924DBE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le CRJ proposé est un fonctionnaire ou agent assimilé retraité qui a été réengagé (voir le point 4.1.5), le salaire à rembourser par le projet est basé sur la déclaration comptable analytique correspondant au dernier exercice comptable clôturé durant lequel l’expert était en fonction. Si, toutefois, la législation nationale en vigueur prévoit la déduction du montant de la pension du salaire du fonctionnaire du secteur public, seuls le salaire réel de l’expert et les dépenses non salariales de l’institution qui le réengage seront remboursés dans le cadre du projet.</w:t>
      </w:r>
    </w:p>
    <w:p w14:paraId="36143017" w14:textId="77777777" w:rsidR="00D0198E" w:rsidRPr="005107DF" w:rsidRDefault="00D0198E" w:rsidP="007338F0">
      <w:pPr>
        <w:pStyle w:val="Heading4"/>
      </w:pPr>
      <w:bookmarkStart w:id="668" w:name="_Toc464459946"/>
      <w:bookmarkStart w:id="669" w:name="_Toc476063326"/>
      <w:bookmarkStart w:id="670" w:name="_Toc476067808"/>
      <w:r>
        <w:lastRenderedPageBreak/>
        <w:t>6.2.5.2 Indemnité journalière</w:t>
      </w:r>
      <w:bookmarkEnd w:id="668"/>
      <w:bookmarkEnd w:id="669"/>
      <w:bookmarkEnd w:id="670"/>
    </w:p>
    <w:p w14:paraId="3F85A4AB" w14:textId="77777777" w:rsidR="00D0198E" w:rsidRPr="005107DF" w:rsidRDefault="00D0198E" w:rsidP="001A0BE4">
      <w:pPr>
        <w:spacing w:line="240" w:lineRule="auto"/>
        <w:jc w:val="both"/>
        <w:rPr>
          <w:rFonts w:ascii="Times New Roman" w:eastAsia="Times New Roman" w:hAnsi="Times New Roman" w:cs="Times New Roman"/>
          <w:snapToGrid w:val="0"/>
          <w:color w:val="000000"/>
          <w:sz w:val="24"/>
          <w:szCs w:val="24"/>
        </w:rPr>
      </w:pPr>
      <w:r>
        <w:rPr>
          <w:rFonts w:ascii="Times New Roman" w:hAnsi="Times New Roman"/>
          <w:sz w:val="24"/>
        </w:rPr>
        <w:t>L’indemnité journalière du CRJ est définie aux annexes B et A7.</w:t>
      </w:r>
    </w:p>
    <w:p w14:paraId="050B0473" w14:textId="77777777" w:rsidR="00D0198E" w:rsidRPr="005107DF" w:rsidRDefault="00D0198E" w:rsidP="007338F0">
      <w:pPr>
        <w:pStyle w:val="Heading4"/>
      </w:pPr>
      <w:bookmarkStart w:id="671" w:name="_Toc464459947"/>
      <w:bookmarkStart w:id="672" w:name="_Toc476063327"/>
      <w:bookmarkStart w:id="673" w:name="_Toc476067809"/>
      <w:r>
        <w:t>6.2.5.3 Déplacement en début et en fin de mission</w:t>
      </w:r>
      <w:bookmarkEnd w:id="671"/>
      <w:bookmarkEnd w:id="672"/>
      <w:bookmarkEnd w:id="673"/>
    </w:p>
    <w:p w14:paraId="12B65877"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 xml:space="preserve">Le projet de jumelage rembourse à l’État membre le coût des déplacements aller et retour du CRJ au début et à la fin de la mission. Ces déplacements sont remboursés sur la base du coût unitaire défini conformément aux annexes B et A7. </w:t>
      </w:r>
    </w:p>
    <w:p w14:paraId="786C98E8"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Le coût d’un voyage aller-retour effectué dans le but de participer à la formation destinée au CRJ (voir le point 4.1.6.6) est remboursé sur la base du coût réellement engagé</w:t>
      </w:r>
      <w:r>
        <w:rPr>
          <w:rFonts w:ascii="Times New Roman" w:hAnsi="Times New Roman"/>
          <w:color w:val="000000"/>
          <w:sz w:val="24"/>
        </w:rPr>
        <w:t xml:space="preserve"> et en tenant compte de la moins chère des trois offres soumises par une agence de voyage.</w:t>
      </w:r>
    </w:p>
    <w:p w14:paraId="7932E7A6" w14:textId="77777777" w:rsidR="00D0198E" w:rsidRPr="005107DF" w:rsidRDefault="00D0198E" w:rsidP="007338F0">
      <w:pPr>
        <w:pStyle w:val="Heading4"/>
      </w:pPr>
      <w:bookmarkStart w:id="674" w:name="_Toc464459948"/>
      <w:bookmarkStart w:id="675" w:name="_Toc476063328"/>
      <w:bookmarkStart w:id="676" w:name="_Toc476067810"/>
      <w:r>
        <w:t xml:space="preserve">6.2.5.4 Déménagement </w:t>
      </w:r>
      <w:bookmarkEnd w:id="674"/>
      <w:r>
        <w:t>du CRJ dans le pays bénéficiaire sans les membres de sa famille</w:t>
      </w:r>
      <w:bookmarkEnd w:id="675"/>
      <w:bookmarkEnd w:id="676"/>
    </w:p>
    <w:p w14:paraId="30EDD6BF"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Avant la signature du contrat de subvention de jumelage, le CRJ indique à l’administration contractante s’il s’établira sur son lieu de mission seul ou accompagné des membres de sa famille</w:t>
      </w:r>
      <w:r>
        <w:rPr>
          <w:rFonts w:ascii="Times New Roman" w:hAnsi="Times New Roman"/>
          <w:sz w:val="24"/>
        </w:rPr>
        <w:t xml:space="preserve"> conformément aux annexes B et A7</w:t>
      </w:r>
      <w:r>
        <w:rPr>
          <w:rFonts w:ascii="Times New Roman" w:hAnsi="Times New Roman"/>
          <w:snapToGrid w:val="0"/>
          <w:color w:val="000000"/>
          <w:sz w:val="24"/>
        </w:rPr>
        <w:t xml:space="preserve">. </w:t>
      </w:r>
    </w:p>
    <w:p w14:paraId="2F543893" w14:textId="77777777" w:rsidR="00733C78" w:rsidRPr="005107DF" w:rsidRDefault="00733C78" w:rsidP="007338F0">
      <w:pPr>
        <w:spacing w:after="240" w:line="240" w:lineRule="auto"/>
        <w:jc w:val="both"/>
        <w:rPr>
          <w:rFonts w:ascii="Times New Roman" w:eastAsia="Times New Roman" w:hAnsi="Times New Roman" w:cs="Times New Roman"/>
          <w:snapToGrid w:val="0"/>
          <w:color w:val="000000"/>
          <w:sz w:val="24"/>
          <w:szCs w:val="24"/>
        </w:rPr>
      </w:pPr>
      <w:bookmarkStart w:id="677" w:name="_Toc464459949"/>
      <w:bookmarkStart w:id="678" w:name="_Toc476063329"/>
      <w:bookmarkStart w:id="679" w:name="_Toc476067811"/>
      <w:r>
        <w:rPr>
          <w:rFonts w:ascii="Times New Roman" w:hAnsi="Times New Roman"/>
          <w:snapToGrid w:val="0"/>
          <w:color w:val="000000"/>
          <w:sz w:val="24"/>
        </w:rPr>
        <w:t>Si le CRJ se rend dans le pays bénéficiaire sans effets personnels et/ou sans être accompagné de membres de sa famille, les frais de voyage peuvent être compensés par une allocation de voyage mensuelle destinée à couvrir les frais d’aller et retour avec un bagage enregistré. Le montant de cette allocation mensuelle est établi sur la base de l’offre économiquement la plus favorable parmi celles présentées par trois agences de voyage avant la signature du contrat de jumelage. Ces offres sont approuvées par l’autorité qui signe le contrat de jumelage par signature du marché.</w:t>
      </w:r>
    </w:p>
    <w:p w14:paraId="4D0B3B6A" w14:textId="77777777" w:rsidR="00D0198E" w:rsidRPr="005107DF" w:rsidRDefault="00D0198E" w:rsidP="007338F0">
      <w:pPr>
        <w:pStyle w:val="Heading4"/>
      </w:pPr>
      <w:r>
        <w:t>6.2.5.5 Déménagement du CRJ dans le pays bénéficiaire avec les membres de sa famille</w:t>
      </w:r>
      <w:bookmarkEnd w:id="677"/>
      <w:bookmarkEnd w:id="678"/>
      <w:bookmarkEnd w:id="679"/>
    </w:p>
    <w:p w14:paraId="42F32D72" w14:textId="4C33C058" w:rsidR="00733C78" w:rsidRDefault="00733C78" w:rsidP="00733C78">
      <w:pPr>
        <w:spacing w:after="240" w:line="240" w:lineRule="auto"/>
        <w:jc w:val="both"/>
        <w:rPr>
          <w:rFonts w:ascii="Times New Roman" w:eastAsia="Times New Roman" w:hAnsi="Times New Roman" w:cs="Times New Roman"/>
          <w:sz w:val="24"/>
          <w:szCs w:val="24"/>
        </w:rPr>
      </w:pPr>
      <w:r>
        <w:rPr>
          <w:rFonts w:ascii="Times New Roman" w:hAnsi="Times New Roman"/>
          <w:sz w:val="24"/>
        </w:rPr>
        <w:t>Si le CRJ se rend dans le pays bénéficiaire avec ses effets personnels et/ou accompagné de membres de sa famille, les frais de voyage peuvent être compensés par une allocation de voyage annuelle destinée à couvrir les frais d’aller et retour avec un bagage enregistré pour le CRJ et chacun des membres de sa famille qui l’accompagnent. Le montant de cette allocation annuelle est établi selon la même méthode que celle indiquée pour l’allocation mensuelle.</w:t>
      </w:r>
    </w:p>
    <w:p w14:paraId="06234363" w14:textId="293F571D"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 xml:space="preserve">Le montant est versé pour la première fois lors du septième mois de la mission et tous les ans par la suite. Pour la dernière année, seul un ratio des mois de mission divisé par douze sera versé. </w:t>
      </w:r>
    </w:p>
    <w:p w14:paraId="11DCDFB2"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z w:val="24"/>
        </w:rPr>
        <w:t xml:space="preserve">Aux fins de la détermination des coûts éligibles au remboursement des frais de scolarité et de voyage, on entend par «enfant à charge», au sens de la législation de l’État membre concerné, l’enfant légitime, naturel ou adopté ou de celui de son conjoint, dont le lien avec le CJR a été juridiquement établi et qui se rend avec lui dans le pays d’affectation. </w:t>
      </w:r>
      <w:r>
        <w:rPr>
          <w:rFonts w:ascii="Times New Roman" w:hAnsi="Times New Roman"/>
          <w:snapToGrid w:val="0"/>
          <w:color w:val="000000"/>
          <w:sz w:val="24"/>
        </w:rPr>
        <w:t>Cela s’applique également aux enfants pour lesquels une demande d’adoption a été déposée et une procédure d’adoption a été engagée.</w:t>
      </w:r>
    </w:p>
    <w:p w14:paraId="617E6204" w14:textId="77777777" w:rsidR="00D0198E" w:rsidRPr="005107DF" w:rsidRDefault="00D0198E" w:rsidP="00C33E9F">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Si le conjoint et/ou les enfants à charge accompagnent le CRJ mais renoncent à leur statut de résidents permanents par la suite, ils n’auront plus droit au remboursement des frais de scolarité et le CRJ ne pourra plus bénéficier d’une allocation de voyage mensuelle. Le CRJ doit donc prendre une décision définitive concernant le lieu de résidence de la famille avant de la notifier à l’administration contractante. </w:t>
      </w:r>
    </w:p>
    <w:p w14:paraId="48830FB1" w14:textId="77777777" w:rsidR="00D0198E" w:rsidRPr="005107DF" w:rsidRDefault="00D0198E" w:rsidP="00C33E9F">
      <w:pPr>
        <w:spacing w:after="0" w:line="240" w:lineRule="auto"/>
        <w:rPr>
          <w:rFonts w:ascii="Times New Roman" w:eastAsia="Times New Roman" w:hAnsi="Times New Roman" w:cs="Times New Roman"/>
          <w:snapToGrid w:val="0"/>
          <w:color w:val="000000"/>
          <w:sz w:val="24"/>
          <w:szCs w:val="24"/>
        </w:rPr>
      </w:pPr>
    </w:p>
    <w:p w14:paraId="66FDC3C7" w14:textId="77777777" w:rsidR="00D0198E" w:rsidRPr="005107DF" w:rsidRDefault="00D0198E" w:rsidP="007338F0">
      <w:pPr>
        <w:pStyle w:val="Heading4"/>
      </w:pPr>
      <w:bookmarkStart w:id="680" w:name="_Toc464459950"/>
      <w:bookmarkStart w:id="681" w:name="_Toc476063330"/>
      <w:bookmarkStart w:id="682" w:name="_Toc476067812"/>
      <w:r>
        <w:t>6.2.5.6 Déménagement des effets personnels</w:t>
      </w:r>
      <w:bookmarkEnd w:id="680"/>
      <w:r>
        <w:t xml:space="preserve"> du CRJ</w:t>
      </w:r>
      <w:bookmarkEnd w:id="681"/>
      <w:bookmarkEnd w:id="682"/>
    </w:p>
    <w:p w14:paraId="304C9843" w14:textId="77777777" w:rsidR="00D0198E" w:rsidRPr="005107DF" w:rsidRDefault="00C33E9F"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Les coûts afférents au déménagement de la totalité ou d’une partie des meubles et effets personnels du CRJ (y compris sa voiture) entre son lieu de travail habituel et le lieu de sa mission, au début et à la fin de celle-ci, peuvent être remboursés par le projet de jumelage sur présentation d’une facture. Le remboursement sera basé sur les coûts réels</w:t>
      </w:r>
      <w:r>
        <w:rPr>
          <w:rFonts w:ascii="Times New Roman" w:hAnsi="Times New Roman"/>
          <w:color w:val="000000"/>
          <w:sz w:val="24"/>
        </w:rPr>
        <w:t xml:space="preserve"> et tiendra compte de la moins chère de trois offres soumises par des sociétés de déménagement.</w:t>
      </w:r>
    </w:p>
    <w:p w14:paraId="057A1C8F"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En cas de remplacement du CRJ pendant la mise en œuvre d’un projet de jumelage pour des motifs autres que la force majeure (telle que définie à l’article 11.8 des conditions générales), les frais de déménagement du CRJ arrivant ne sont pas remboursés si le CRJ sortant a bénéficié d’un tel remboursement.</w:t>
      </w:r>
    </w:p>
    <w:p w14:paraId="38A641BD" w14:textId="77777777" w:rsidR="00D0198E" w:rsidRPr="005107DF" w:rsidRDefault="00D0198E" w:rsidP="007338F0">
      <w:pPr>
        <w:pStyle w:val="Heading4"/>
      </w:pPr>
      <w:bookmarkStart w:id="683" w:name="_Toc464459951"/>
      <w:bookmarkStart w:id="684" w:name="_Toc476063331"/>
      <w:bookmarkStart w:id="685" w:name="_Toc476067813"/>
      <w:r>
        <w:t xml:space="preserve">6.2.5.7 Formation </w:t>
      </w:r>
      <w:bookmarkEnd w:id="683"/>
      <w:bookmarkEnd w:id="684"/>
      <w:bookmarkEnd w:id="685"/>
      <w:r>
        <w:t>au siège de la Commission</w:t>
      </w:r>
    </w:p>
    <w:p w14:paraId="5D34B471" w14:textId="20704325"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L’équipe de coordination du jumelage organise des formations à l’intention des CRJ au siège de la Commission à Bruxelles (voir le point 4.1.6.6). Ces formations fournissent une présentation détaillée des règles et des procédures de jumelage, ainsi que des informations pratiques sur la mise en œuvre d’un projet. Les invitations à suivre la formation sont envoyées par l’équipe de coordination du jumelage.</w:t>
      </w:r>
    </w:p>
    <w:p w14:paraId="49FB4983" w14:textId="721CDE76"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coûts relatifs à la participation à la formation (frais de voyage et per diem pour la Belgique) sont des coûts éligibles et le remboursement/l’indemnisation peut être inscrit, avec les autres coûts budgétisés relatifs au CRJ, dans la rubrique budgétaire correspondante. </w:t>
      </w:r>
    </w:p>
    <w:p w14:paraId="4840071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chef de projet du bénéficiaire ou l’homologue du CRJ peuvent assister à la formation avec le CRJ du même projet. Les coûts (frais de voyage et per diem pour la Belgique) peuvent être financés par le budget du projet (comme pour le CRJ). La participation du chef de projet du bénéficiaire ne peut être déléguée à une tierce personne, sauf à l’homologue du CRJ. La formation étant en principe dispensée en anglais et en français (interprétation simultanée fournie), les personnes qui ne maîtrisent aucune de ces langues devraient s’abstenir de participer.</w:t>
      </w:r>
    </w:p>
    <w:p w14:paraId="5B5D221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participation du chef de projet du bénéficiaire ou de l’homologue du CRJ doit être convenue avec le chef de projet de l’État membre, qui sera responsable des arrangements logistiques nécessaires à cette participation et qui inscrira les coûts correspondants dans le budget conformément aux mêmes dispositions que celles applicables au CRJ. </w:t>
      </w:r>
    </w:p>
    <w:p w14:paraId="1EF2E98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chefs de projet des États membres peuvent également assister à la formation s’ils le souhaitent, mais les coûts correspondants ne seront pas éligibles à un remboursement sur le budget du jumelage.</w:t>
      </w:r>
    </w:p>
    <w:p w14:paraId="67F50FCB" w14:textId="77777777" w:rsidR="00D0198E" w:rsidRPr="005107DF" w:rsidRDefault="00D0198E" w:rsidP="007338F0">
      <w:pPr>
        <w:pStyle w:val="Heading4"/>
      </w:pPr>
      <w:bookmarkStart w:id="686" w:name="_Toc464459952"/>
      <w:bookmarkStart w:id="687" w:name="_Toc476063332"/>
      <w:bookmarkStart w:id="688" w:name="_Toc476067814"/>
      <w:r>
        <w:t>6.2.5.8. Frais de scolarité</w:t>
      </w:r>
      <w:bookmarkEnd w:id="686"/>
      <w:bookmarkEnd w:id="687"/>
      <w:bookmarkEnd w:id="688"/>
    </w:p>
    <w:p w14:paraId="3F6BCA5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Lorsque le CRJ se rend dans son pays d’affectation accompagné d’enfants à charge, les frais de scolarité de ceux-ci peuvent être remboursés par le budget du projet à condition que l’enseignement dispensé satisfasse aux règles de la scolarité à temps plein dans le pays bénéficiaire ou, en l’absence de telles règles, représente au minimum 16 heures d’enseignement par semaine pendant une période minimale de trois mois consécutifs. Le remboursement sera effectué sur la base des coûts réels justifiés par une facture payée. </w:t>
      </w:r>
    </w:p>
    <w:p w14:paraId="253E658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Les droits d’inscription, les frais d’examen, le transport entre le domicile et l’école lorsqu’il est assuré par cette dernière et figure dans les frais de scolarité et le coût des livres et des autres fournitures nécessaires pour participer aux cours obligatoires sont remboursés, tandis que les coûts liés au transport privé entre le domicile et l’école, à la cantine, aux uniformes, ainsi qu’aux cours extrascolaires ou autres cours ou activités facultatifs et aux excursions scolaires non obligatoires ne sont pas éligibles et ne sont pas remboursés par le projet.</w:t>
      </w:r>
    </w:p>
    <w:p w14:paraId="65C940BC"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frais de scolarité sont remboursés dans la limite de 18 600 EUR par enfant et par année scolaire. Le remboursement s’effectue sur la base de factures détaillant les postes de frais justifiés, accompagnées d’un document dûment certifié par l’établissement d’enseignement en question indiquant les nom et prénom de chaque enfant, le montant exposé par enfant et la devise dans lequel les paiements ont été effectués, la date du paiement à l’établissement d’enseignement, l’année scolaire et la période concernée (mois, trimestre, semestre).</w:t>
      </w:r>
    </w:p>
    <w:p w14:paraId="74C54695" w14:textId="77777777" w:rsidR="00D0198E" w:rsidRPr="005107DF" w:rsidRDefault="00D0198E" w:rsidP="007338F0">
      <w:pPr>
        <w:pStyle w:val="Heading4"/>
      </w:pPr>
      <w:bookmarkStart w:id="689" w:name="_Toc464459953"/>
      <w:bookmarkStart w:id="690" w:name="_Toc476063333"/>
      <w:bookmarkStart w:id="691" w:name="_Toc476067815"/>
      <w:r>
        <w:t>6.2.5.9 Autres dispositions relatives aux coûts associés au CRJ</w:t>
      </w:r>
      <w:bookmarkEnd w:id="689"/>
      <w:bookmarkEnd w:id="690"/>
      <w:bookmarkEnd w:id="691"/>
    </w:p>
    <w:p w14:paraId="4F31BD9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napToGrid w:val="0"/>
          <w:color w:val="000000"/>
          <w:sz w:val="24"/>
        </w:rPr>
        <w:t>Si</w:t>
      </w:r>
      <w:r>
        <w:rPr>
          <w:rFonts w:ascii="Times New Roman" w:hAnsi="Times New Roman"/>
          <w:color w:val="000000"/>
          <w:sz w:val="24"/>
        </w:rPr>
        <w:t xml:space="preserve"> le CRJ contribue à l’une des activités du projet en dehors du lieu de sa mission, outre les frais de déplacement (voir le point 6.2.4), les frais d’hébergement peuvent également être remboursés sur présentation de pièces justificatives (factures). Aucune indemnité journalière supplémentaire ne sera versée.</w:t>
      </w:r>
    </w:p>
    <w:p w14:paraId="4243F0B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le CRJ intervient exceptionnellement en tant qu’expert de courte durée dans un autre projet de jumelage ou lors d’une activité TAIEX (voir le point 4.1.6.5), l’indemnisation de base des coûts unitaires, des coûts salariaux, des allocations et le remboursement des coûts continue à être financé par le projet dans lequel il agit en tant que CRJ. Conformément aux annexes B et A7, les allocations de voyage et indemnités journalières sont versées par le projet de jumelage ou l’activité TAIEX concerné.</w:t>
      </w:r>
    </w:p>
    <w:p w14:paraId="4375D38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dépenses liées à la mise à disposition de l’équipement dont le CRJ a besoin dans le cadre de ses activités (bureaux, mobilier, ordinateur, téléphone, connexion internet, etc.) sont à la charge de l’administration hôte du pays bénéficiaire (voir le point 4.1.6).</w:t>
      </w:r>
    </w:p>
    <w:p w14:paraId="1A3FB27D" w14:textId="77777777" w:rsidR="00D0198E" w:rsidRPr="005107DF" w:rsidRDefault="00D0198E" w:rsidP="007338F0">
      <w:pPr>
        <w:pStyle w:val="Heading3"/>
      </w:pPr>
      <w:bookmarkStart w:id="692" w:name="_Toc464459954"/>
      <w:bookmarkStart w:id="693" w:name="_Toc476063334"/>
      <w:bookmarkStart w:id="694" w:name="_Toc476067816"/>
      <w:bookmarkStart w:id="695" w:name="_Toc517434435"/>
      <w:bookmarkStart w:id="696" w:name="_Toc2860998"/>
      <w:r>
        <w:t>6.2.6 Activités dans le pays bénéficiaire</w:t>
      </w:r>
      <w:bookmarkEnd w:id="692"/>
      <w:bookmarkEnd w:id="693"/>
      <w:bookmarkEnd w:id="694"/>
      <w:bookmarkEnd w:id="695"/>
      <w:bookmarkEnd w:id="696"/>
    </w:p>
    <w:p w14:paraId="18AF28D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principaux coûts des activités mises en œuvre dans le pays bénéficiaire sont ceux relatifs au transport et aux indemnités journalières des experts des États membres (voir ci-dessus).</w:t>
      </w:r>
    </w:p>
    <w:p w14:paraId="12BED29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L’administration bénéficiaire fournit gratuitement des locaux appropriés pour toutes les activités réalisées dans le pays bénéficiaire. Dans des cas justifiés, lorsqu’aucun local adéquat n’est disponible ou que le type d’activité prévu nécessite un environnement spécifique (laboratoires, centres de formation, etc.), les frais de location de locaux sont éligibles à un financement sur le budget du jumelage. Ces coûts doivent être spécifiés aux rubrique et sous-rubrique budgétaires adéquates.</w:t>
      </w:r>
    </w:p>
    <w:p w14:paraId="3DA1C8D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Aucun coût relatif à la participation du personnel du bénéficiaire aux activités (ou à leur suivi) organisées dans le pays bénéficiaire ne peut être couvert par le projet de jumelage. L’administration bénéficiaire a l’obligation de faire en sorte que ses fonctionnaires puissent utilement participer à ces activités. </w:t>
      </w:r>
    </w:p>
    <w:p w14:paraId="02A1CB3A" w14:textId="77777777" w:rsidR="00D0198E" w:rsidRPr="005107DF" w:rsidRDefault="00D0198E" w:rsidP="007338F0">
      <w:pPr>
        <w:pStyle w:val="Heading3"/>
      </w:pPr>
      <w:bookmarkStart w:id="697" w:name="_Toc464459955"/>
      <w:bookmarkStart w:id="698" w:name="_Toc476063335"/>
      <w:bookmarkStart w:id="699" w:name="_Toc476067817"/>
      <w:bookmarkStart w:id="700" w:name="_Toc517434436"/>
      <w:bookmarkStart w:id="701" w:name="_Toc2860999"/>
      <w:r>
        <w:t xml:space="preserve">6.2.7 Activités dans un </w:t>
      </w:r>
      <w:bookmarkEnd w:id="697"/>
      <w:bookmarkEnd w:id="698"/>
      <w:bookmarkEnd w:id="699"/>
      <w:r>
        <w:t>État membre</w:t>
      </w:r>
      <w:bookmarkEnd w:id="700"/>
      <w:bookmarkEnd w:id="701"/>
    </w:p>
    <w:p w14:paraId="13FE269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la majorité des activités d’un projet de jumelage doivent être réalisées dans le pays bénéficiaire, certaines activités peuvent, à titre exceptionnel et en cas de nécessité, avoir lieu dans un État membre.</w:t>
      </w:r>
    </w:p>
    <w:p w14:paraId="181C5E3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Les activités organisées dans les États membres sont principalement des visites d’étude. Des stages et formations peuvent également être prévus, sur justification particulière. L’utilité d’organiser des activités dans un État membre plutôt que dans le pays bénéficiaire est toujours envisagée dans un souci d’efficacité, d’efficience et de bonne gestion financière et la nécessité de ces activités pour l’obtention des résultats/produits obligatoires est dûment justifiée. Les mêmes critères s’appliquent à la détermination du nombre et du profil des fonctionnaires du bénéficiaire qui participeront à ces activités.</w:t>
      </w:r>
    </w:p>
    <w:p w14:paraId="1357DE5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indemnités journalières (per diem) et les frais de déplacement des fonctionnaires ou agents du bénéficiaire participant aux activités organisées dans un État membre peuvent être couverts par le projet de jumelage conformément aux annexes B et A7. </w:t>
      </w:r>
    </w:p>
    <w:p w14:paraId="2CF89DF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États membres peuvent également proposer à certains fonctionnaires du bénéficiaire un nombre limité de places de stage au sein de leur propre administration, si ceux-ci sont jugés contribuer au renforcement des liens structurels entre les administrations prenant part au projet de jumelage. Les stages diffèrent des voyages d’étude non seulement par le nombre de participants et la durée, mais aussi au niveau de la méthodologie (suivre les homologues de l’État membre dans leurs tâches quotidiennes).</w:t>
      </w:r>
    </w:p>
    <w:p w14:paraId="58D0228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Pour les formations ou stages de plus de 28 jours, l’indemnité journalière est réduite de 50 % à partir du 28</w:t>
      </w:r>
      <w:r>
        <w:rPr>
          <w:rFonts w:ascii="Times New Roman" w:hAnsi="Times New Roman"/>
          <w:color w:val="000000"/>
          <w:sz w:val="24"/>
          <w:vertAlign w:val="superscript"/>
        </w:rPr>
        <w:t>e</w:t>
      </w:r>
      <w:r>
        <w:rPr>
          <w:rFonts w:ascii="Times New Roman" w:hAnsi="Times New Roman"/>
          <w:color w:val="000000"/>
          <w:sz w:val="24"/>
        </w:rPr>
        <w:t> jour conformément aux annexes B et A7.</w:t>
      </w:r>
    </w:p>
    <w:p w14:paraId="43CA930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Aucun coût relatif à la participation de fonctionnaires ou agents assimilés des États membres aux activités organisées dans un État membre ne pourra être remboursé séparément par le projet de jumelage. Ces coûts sont couverts par la compensation des coûts de soutien aux projets de jumelage (voir le point 6.2.14).</w:t>
      </w:r>
    </w:p>
    <w:p w14:paraId="4D774D88" w14:textId="77777777" w:rsidR="00D0198E" w:rsidRPr="005107DF" w:rsidRDefault="00D0198E" w:rsidP="007338F0">
      <w:pPr>
        <w:pStyle w:val="Heading3"/>
      </w:pPr>
      <w:bookmarkStart w:id="702" w:name="_Toc464459956"/>
      <w:bookmarkStart w:id="703" w:name="_Toc476063336"/>
      <w:bookmarkStart w:id="704" w:name="_Toc476067818"/>
      <w:bookmarkStart w:id="705" w:name="_Toc517434437"/>
      <w:bookmarkStart w:id="706" w:name="_Toc2861000"/>
      <w:r>
        <w:t xml:space="preserve">6.2.8 Traduction et </w:t>
      </w:r>
      <w:bookmarkEnd w:id="702"/>
      <w:bookmarkEnd w:id="703"/>
      <w:bookmarkEnd w:id="704"/>
      <w:r>
        <w:t>interprétation</w:t>
      </w:r>
      <w:bookmarkEnd w:id="705"/>
      <w:bookmarkEnd w:id="706"/>
    </w:p>
    <w:p w14:paraId="74E63A03" w14:textId="588F554B"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l’administration bénéficiaire n’est pas en mesure de fournir les services de traduction et d’interprétation nécessaires à la mise en œuvre des activités en utilisant ses propres ressources, le coût de ces services peut être couvert par le budget du projet en tant qu’apport du secteur privé et inclus dans les rubrique et sous-rubrique budgétaires pertinentes. Ces coûts de traduction et d’interprétation seront inscrits au budget sur la base d’une facture justifiant les coûts réels et d’une procédure de passation de marché pour laquelle au moins trois offres auront été soumises.</w:t>
      </w:r>
    </w:p>
    <w:p w14:paraId="3F4C7C9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le volume de traduction et/ou d’interprétation demandé dans le cadre d’un projet de jumelage risque d’être important, il peut être envisagé de recruter un assistant linguistique à temps complet ou partiel. Les dispositions relatives au recrutement de l’assistant du CRJ (voir le point 6.2.13) s’appliquent également au recrutement de l’assistant linguistique.</w:t>
      </w:r>
    </w:p>
    <w:p w14:paraId="7454EEFE" w14:textId="77777777" w:rsidR="00D0198E" w:rsidRPr="005107DF" w:rsidRDefault="00D0198E" w:rsidP="007338F0">
      <w:pPr>
        <w:pStyle w:val="Heading3"/>
      </w:pPr>
      <w:bookmarkStart w:id="707" w:name="_Toc517434438"/>
      <w:bookmarkStart w:id="708" w:name="_Toc2861001"/>
      <w:bookmarkStart w:id="709" w:name="_Toc464459957"/>
      <w:bookmarkStart w:id="710" w:name="_Toc476063337"/>
      <w:bookmarkStart w:id="711" w:name="_Toc476067819"/>
      <w:r>
        <w:t>6.2.9 Apports du secteur privé</w:t>
      </w:r>
      <w:bookmarkEnd w:id="707"/>
      <w:bookmarkEnd w:id="708"/>
      <w:r>
        <w:t xml:space="preserve"> </w:t>
      </w:r>
      <w:bookmarkEnd w:id="709"/>
      <w:bookmarkEnd w:id="710"/>
      <w:bookmarkEnd w:id="711"/>
    </w:p>
    <w:p w14:paraId="79617850" w14:textId="77777777" w:rsidR="00D0198E" w:rsidRPr="005107DF" w:rsidRDefault="00D0198E" w:rsidP="00F77837">
      <w:pPr>
        <w:spacing w:after="240" w:line="240" w:lineRule="auto"/>
        <w:jc w:val="both"/>
        <w:rPr>
          <w:rFonts w:ascii="Times New Roman" w:eastAsia="Times New Roman" w:hAnsi="Times New Roman" w:cs="Times New Roman"/>
          <w:i/>
          <w:color w:val="000000"/>
          <w:sz w:val="24"/>
          <w:szCs w:val="24"/>
        </w:rPr>
      </w:pPr>
      <w:bookmarkStart w:id="712" w:name="_Toc476063463"/>
      <w:bookmarkStart w:id="713" w:name="_Toc476067945"/>
      <w:r>
        <w:rPr>
          <w:rFonts w:ascii="Times New Roman" w:hAnsi="Times New Roman"/>
          <w:i/>
          <w:color w:val="000000"/>
          <w:sz w:val="24"/>
        </w:rPr>
        <w:t>Sous-traitants du secteur privé</w:t>
      </w:r>
      <w:bookmarkEnd w:id="712"/>
      <w:bookmarkEnd w:id="713"/>
    </w:p>
    <w:p w14:paraId="2B51809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Lorsqu’un État membre partenaire se trouve dans l’incapacité de mener une activité nécessaire à la mise en œuvre du projet de jumelage et fournit une attestation adéquate à cet effet, cette activité peut être sous-traitée. Cela pourrait concerner notamment la conception ou le développement de logiciels pour lesquels la participation d’un spécialiste du secteur privé serait essentielle à l’accomplissement du projet de jumelage.</w:t>
      </w:r>
    </w:p>
    <w:p w14:paraId="70BEC72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États membres partenaires </w:t>
      </w:r>
      <w:r>
        <w:rPr>
          <w:rFonts w:ascii="Times New Roman" w:hAnsi="Times New Roman"/>
          <w:b/>
          <w:color w:val="000000"/>
          <w:sz w:val="24"/>
        </w:rPr>
        <w:t>ne sont pas autorisés à sous-traiter des activités essentielles</w:t>
      </w:r>
      <w:r>
        <w:rPr>
          <w:rFonts w:ascii="Times New Roman" w:hAnsi="Times New Roman"/>
          <w:color w:val="000000"/>
          <w:sz w:val="24"/>
        </w:rPr>
        <w:t xml:space="preserve"> du projet de jumelage. </w:t>
      </w:r>
    </w:p>
    <w:p w14:paraId="61EAA94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 xml:space="preserve">Tous les services à sous-traiter doivent figurer dans le budget du contrat de subvention de jumelage, qui doit mentionner clairement quelles autorités sont responsables de l’attribution et du paiement de ces postes. Les experts du secteur privé inclus dans le contrat de subvention de jumelage tel que décrit ci-dessus doivent être inscrits au budget en fonction de leurs honoraires (factures) et ne sont pas éligibles à la compensation au titre des coûts de soutien aux projets de jumelage. </w:t>
      </w:r>
    </w:p>
    <w:p w14:paraId="026E3802" w14:textId="77777777" w:rsidR="00D0198E" w:rsidRPr="005107DF" w:rsidRDefault="00D0198E" w:rsidP="00F7783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dispositions de la section «Remarques liminaires» de l’annexe A4 sont applicables. Le choix des sous-traitants du secteur privé doit respecter les règles et procédures décrites à l’annexe A4. Les apports du secteur privé ne peuvent excéder un plafond de 5 000 EUR par volet dans la rubrique budgétaire «Résultats/produits obligatoires». L’ensemble de ces coûts seront remboursés sur la base des coûts réellement engagés. Toutes les factures ainsi que les documents justificatifs relatifs à l’apport de sous-traitants privés doivent être conservés à des fins de vérification des dépenses et d’audit.</w:t>
      </w:r>
    </w:p>
    <w:p w14:paraId="59676550" w14:textId="77777777" w:rsidR="00D0198E" w:rsidRPr="005107DF" w:rsidRDefault="00D0198E" w:rsidP="00F77837">
      <w:pPr>
        <w:spacing w:after="24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Autres apports du secteur privé</w:t>
      </w:r>
    </w:p>
    <w:p w14:paraId="6EA69DEE" w14:textId="77777777" w:rsidR="00A241CF" w:rsidRPr="005107DF" w:rsidRDefault="00D0198E" w:rsidP="00F7783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Alors qu’une grande partie des apports pour la mise en œuvre du plan de communication et de visibilité et/ou des services supplémentaires d’interprétation ou de traduction ou liés à la préparation et la présentation de rapports rentrera dans cette catégorie, les coûts de ces apports ne sont pas soumis aux plafonds fixés pour les apports du secteur privé. Les contrats relatifs à l’assistant ou aux assistants du CRJ conclus en vertu du point 1.1 b) de l’annexe B sont définis par un coût unitaire dans le contrat, conformément au point 2.2 de l’annexe B.  </w:t>
      </w:r>
    </w:p>
    <w:p w14:paraId="0905AB93" w14:textId="77777777" w:rsidR="00D0198E" w:rsidRPr="005107DF" w:rsidRDefault="00D0198E" w:rsidP="00F7783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Tous les autres coûts liés aux apports du secteur privé seront remboursés sur la base des coûts réellement engagés.</w:t>
      </w:r>
    </w:p>
    <w:p w14:paraId="3993E079" w14:textId="77777777" w:rsidR="00D0198E" w:rsidRPr="005107DF" w:rsidRDefault="00D0198E" w:rsidP="007338F0">
      <w:pPr>
        <w:pStyle w:val="Heading3"/>
      </w:pPr>
      <w:bookmarkStart w:id="714" w:name="_Toc464459958"/>
      <w:bookmarkStart w:id="715" w:name="_Toc476063338"/>
      <w:bookmarkStart w:id="716" w:name="_Toc476067820"/>
      <w:bookmarkStart w:id="717" w:name="_Toc517434439"/>
      <w:bookmarkStart w:id="718" w:name="_Toc2861002"/>
      <w:r>
        <w:t>6.2.10 Équipements et fournitures</w:t>
      </w:r>
      <w:bookmarkEnd w:id="714"/>
      <w:bookmarkEnd w:id="715"/>
      <w:bookmarkEnd w:id="716"/>
      <w:bookmarkEnd w:id="717"/>
      <w:bookmarkEnd w:id="718"/>
    </w:p>
    <w:p w14:paraId="7917530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projets de jumelage n’incluent pas l’achat d’équipements. Le bénéficiaire assume seul l’entière responsabilité de fournir l’équipement de bureau requis pour garantir des conditions de travail optimales pour le projet et, en particulier, pour le CRJ et son ou ses assistants.</w:t>
      </w:r>
    </w:p>
    <w:p w14:paraId="0ED921EA" w14:textId="77777777" w:rsidR="00D0198E" w:rsidRPr="005107DF" w:rsidRDefault="00D0198E" w:rsidP="00827DB2">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Dans des cas exceptionnels et dûment justifiés, de petites fournitures essentielles (par exemple, petit matériel ou équipement de laboratoire) peuvent être éligibles à un remboursement, dans les limites du plafond global de 5 000 EUR prévu pour l’achat de biens (voir le point 6.2.1). Les biens achetés avec les fonds du projet deviennent la propriété du bénéficiaire à la fin du projet, pour autant qu’un certificat de transfert soit signé par les deux chefs de projet et que le ou les articles en question soient inscrits au registre des actifs du bénéficiaire. La sélection des fournisseurs doit se faire selon l’approche prévue pour les apports du secteur privé (voir le point 6.2.9). Les règles de nationalité et d’origine applicables au programme de l’Union européenne finançant le projet de jumelage s’appliquent.</w:t>
      </w:r>
    </w:p>
    <w:p w14:paraId="3AF6D6EA" w14:textId="0DC804FA" w:rsidR="00D0198E" w:rsidRPr="005107DF" w:rsidRDefault="00D0198E" w:rsidP="007338F0">
      <w:pPr>
        <w:pStyle w:val="Heading3"/>
      </w:pPr>
      <w:bookmarkStart w:id="719" w:name="_Toc442374744"/>
      <w:bookmarkStart w:id="720" w:name="_Toc476063339"/>
      <w:bookmarkStart w:id="721" w:name="_Toc476067821"/>
      <w:bookmarkStart w:id="722" w:name="_Toc517434440"/>
      <w:bookmarkStart w:id="723" w:name="_Toc464459959"/>
      <w:bookmarkStart w:id="724" w:name="_Toc2861003"/>
      <w:r>
        <w:t xml:space="preserve">6.2.11 </w:t>
      </w:r>
      <w:bookmarkEnd w:id="719"/>
      <w:r>
        <w:t>Réserve</w:t>
      </w:r>
      <w:bookmarkEnd w:id="720"/>
      <w:bookmarkEnd w:id="721"/>
      <w:bookmarkEnd w:id="722"/>
      <w:r>
        <w:t>/provisions pour imprévus</w:t>
      </w:r>
      <w:bookmarkEnd w:id="723"/>
      <w:bookmarkEnd w:id="724"/>
    </w:p>
    <w:p w14:paraId="2A9F9EB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bookmarkStart w:id="725" w:name="_Toc86818998"/>
      <w:bookmarkStart w:id="726" w:name="_Toc90818465"/>
      <w:bookmarkStart w:id="727" w:name="_Toc30492328"/>
      <w:bookmarkStart w:id="728" w:name="_Toc30492802"/>
      <w:bookmarkStart w:id="729" w:name="_Toc30498040"/>
      <w:bookmarkStart w:id="730" w:name="_Toc47349020"/>
      <w:bookmarkStart w:id="731" w:name="_Toc47349497"/>
      <w:bookmarkStart w:id="732" w:name="_Toc47499090"/>
      <w:bookmarkStart w:id="733" w:name="_Toc47684262"/>
      <w:r>
        <w:rPr>
          <w:rFonts w:ascii="Times New Roman" w:hAnsi="Times New Roman"/>
          <w:color w:val="000000"/>
          <w:sz w:val="24"/>
        </w:rPr>
        <w:t xml:space="preserve">Une réserve pour besoins imprévus correspondant à maximum 2,5 % des coûts directs éligibles peut être prévue. Bien que de nombreux coûts éligibles d’un projet de jumelage soient inscrits au budget sous la forme de coûts unitaires ou de taux forfaitaires, les coûts remboursés sur présentation de justificatifs (factures) peuvent augmenter de manière inattendue et nécessiter la mobilisation de ressources supplémentaires. </w:t>
      </w:r>
    </w:p>
    <w:p w14:paraId="48994FF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L’augmentation des fonds alloués à la réserve ne peut être supérieure à 2,5 % des coûts directs éligibles du projet et ce poste du budget ne peut être renfloué avec des économies éventuelles résultant d’une sous-utilisation des fonds lors de la mise en œuvre d’activités. La réserve peut </w:t>
      </w:r>
      <w:r>
        <w:rPr>
          <w:rFonts w:ascii="Times New Roman" w:hAnsi="Times New Roman"/>
          <w:color w:val="000000"/>
          <w:sz w:val="24"/>
        </w:rPr>
        <w:lastRenderedPageBreak/>
        <w:t>être utilisée pour financer la réalisation d’activités supplémentaires ou d’activités prolongées, pourvu que celles-ci soient nécessaires à l’obtention des résultats ou à leur pérennisation.</w:t>
      </w:r>
    </w:p>
    <w:p w14:paraId="3C9D7D04" w14:textId="77777777" w:rsidR="00D0198E" w:rsidRPr="005107DF" w:rsidRDefault="00D0198E" w:rsidP="007338F0">
      <w:pPr>
        <w:pStyle w:val="Heading3"/>
      </w:pPr>
      <w:bookmarkStart w:id="734" w:name="_Toc464459960"/>
      <w:bookmarkStart w:id="735" w:name="_Toc476063340"/>
      <w:bookmarkStart w:id="736" w:name="_Toc476067822"/>
      <w:bookmarkStart w:id="737" w:name="_Toc517434441"/>
      <w:bookmarkStart w:id="738" w:name="_Toc2861004"/>
      <w:r>
        <w:t>6.2.12 Rapport de vérification des dépenses</w:t>
      </w:r>
      <w:bookmarkEnd w:id="734"/>
      <w:bookmarkEnd w:id="735"/>
      <w:bookmarkEnd w:id="736"/>
      <w:bookmarkEnd w:id="737"/>
      <w:bookmarkEnd w:id="738"/>
    </w:p>
    <w:p w14:paraId="00D1C47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rapport de vérification des dépenses (voir le point 5.5.4) est soumis en même temps que le rapport final du projet de jumelage. Il peut être soumis par une institution nationale de contrôle externe indépendant, par exemple la Cour des comptes, ou par un cabinet d’audit engagé par contrat pour réaliser cette tâche. Les coûts facturés par l’institution de contrôle à l’État membre sont éligibles au remboursement sur le budget du projet de jumelage.</w:t>
      </w:r>
    </w:p>
    <w:p w14:paraId="0A6AE40C" w14:textId="77777777" w:rsidR="00D0198E" w:rsidRPr="005107DF" w:rsidRDefault="00D0198E" w:rsidP="00F526CA">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Une fois les coûts simplifiés (tels que fixés dans le budget) évalués et approuvés par l’administration contractante, ils ne seront pas soumis à un contrôle ex post des données réelles sous-tendant les coûts. Par conséquent, les auditeurs ne devront pas vérifier les justificatifs lors du contrôle des coûts réellement engagés, mais vérifieront l’application correcte de la méthode et de la formule de calcul des coûts sur la base des apports correspondants et des informations quantitatives et qualitatives pertinentes.</w:t>
      </w:r>
    </w:p>
    <w:p w14:paraId="41BB5988" w14:textId="77777777" w:rsidR="00D0198E" w:rsidRPr="005107DF" w:rsidRDefault="00D0198E" w:rsidP="00F526CA">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bénéficiaires doivent tenir un registre approprié et conserver les documents pertinents pour pouvoir démontrer que les coûts sont déclarés conformément à la méthode et à la formule convenues et que les conditions qualitatives et quantitatives ont été respectées. </w:t>
      </w:r>
    </w:p>
    <w:p w14:paraId="4B668C16" w14:textId="77777777" w:rsidR="00D0198E" w:rsidRPr="005107DF" w:rsidRDefault="00D0198E" w:rsidP="00F526CA">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une vérification ou un contrôle révèle que les méthodes de calcul utilisées par le ou les bénéficiaires ou leur(s) entité(s) affiliée(s) pour déterminer les coûts unitaires, les montants forfaitaires ou les financements à taux forfaitaire ne sont pas conformes aux conditions pertinentes ou aux informations factuelles (par exemple, les événements censés être à l’origine des coûts n’ont pas eu lieu), l’administration contractante peut décider que ces coûts ne sont pas éligibles et procéder à un recouvrement à hauteur du montant des options de coûts simplifiés utilisées.</w:t>
      </w:r>
    </w:p>
    <w:p w14:paraId="381909B3" w14:textId="77777777" w:rsidR="00D0198E" w:rsidRPr="005107DF" w:rsidRDefault="00D0198E" w:rsidP="007338F0">
      <w:pPr>
        <w:pStyle w:val="Heading3"/>
      </w:pPr>
      <w:bookmarkStart w:id="739" w:name="_Toc464459961"/>
      <w:bookmarkStart w:id="740" w:name="_Toc476063341"/>
      <w:bookmarkStart w:id="741" w:name="_Toc476067823"/>
      <w:bookmarkStart w:id="742" w:name="_Toc517434442"/>
      <w:bookmarkStart w:id="743" w:name="_Toc2861005"/>
      <w:r>
        <w:t>6.2.13 Le ou les assistants du CRJ</w:t>
      </w:r>
      <w:bookmarkEnd w:id="739"/>
      <w:bookmarkEnd w:id="740"/>
      <w:bookmarkEnd w:id="741"/>
      <w:bookmarkEnd w:id="742"/>
      <w:bookmarkEnd w:id="743"/>
    </w:p>
    <w:p w14:paraId="3395EC7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Généralement, un CRJ est aidé par un (ou exceptionnellement plusieurs, </w:t>
      </w:r>
      <w:r>
        <w:rPr>
          <w:rFonts w:ascii="Times New Roman" w:hAnsi="Times New Roman"/>
          <w:color w:val="000000"/>
          <w:sz w:val="24"/>
        </w:rPr>
        <w:t>si cela est justifié par des besoins spécifiques, voir le point 4.1.6.10</w:t>
      </w:r>
      <w:r>
        <w:rPr>
          <w:rFonts w:ascii="Times New Roman" w:hAnsi="Times New Roman"/>
          <w:sz w:val="24"/>
        </w:rPr>
        <w:t xml:space="preserve">) assistant linguistique ou administratif à temps plein, ou par un assistant qui remplit à la fois le rôle d’assistant linguistique et administratif. La rémunération mensuelle de ces assistants sera portée au budget en tant que coûts unitaires mensuels, conformément aux annexes B et A7, sur la base de la valeur du contrat signé divisée par le nombre de mois que dure le contrat de subvention de jumelage. Les contrats sont conclus à la suite d’une procédure de passation de marchés et établis au cas par cas. </w:t>
      </w:r>
    </w:p>
    <w:p w14:paraId="199DACA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procédures de sélection et d’attribution suivent les dispositions arrêtées à l’annexe A4 du contrat de subvention de jumelage. Trois candidats au minimum doivent être évalués/interviewés.</w:t>
      </w:r>
    </w:p>
    <w:p w14:paraId="50F4920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Comme pour toute prestation effectuée par le bénéficiaire, les coûts afférents aux assistants mis à la disposition du CRJ au début de la mise en œuvre du projet (voir le point 4.2.6) ne peuvent être couverts par le budget du jumelage. De même, si l’assistant du CRJ est détaché par le bénéficiaire, les coûts correspondants ne sont pas éligibles à un financement au titre du projet.</w:t>
      </w:r>
    </w:p>
    <w:p w14:paraId="5193D656" w14:textId="77777777" w:rsidR="00D0198E" w:rsidRPr="005107DF" w:rsidRDefault="00D0198E" w:rsidP="007338F0">
      <w:pPr>
        <w:pStyle w:val="Heading3"/>
      </w:pPr>
      <w:bookmarkStart w:id="744" w:name="_Toc464459962"/>
      <w:bookmarkStart w:id="745" w:name="_Toc476063342"/>
      <w:bookmarkStart w:id="746" w:name="_Toc476067824"/>
      <w:bookmarkStart w:id="747" w:name="_Toc517434443"/>
      <w:bookmarkStart w:id="748" w:name="_Toc2861006"/>
      <w:bookmarkStart w:id="749" w:name="_Toc30492332"/>
      <w:bookmarkStart w:id="750" w:name="_Toc30492806"/>
      <w:bookmarkStart w:id="751" w:name="_Toc30498044"/>
      <w:bookmarkStart w:id="752" w:name="_Toc47349024"/>
      <w:bookmarkStart w:id="753" w:name="_Toc47349501"/>
      <w:bookmarkStart w:id="754" w:name="_Toc47499094"/>
      <w:bookmarkStart w:id="755" w:name="_Toc47684266"/>
      <w:bookmarkStart w:id="756" w:name="_Toc442374749"/>
      <w:bookmarkEnd w:id="725"/>
      <w:bookmarkEnd w:id="726"/>
      <w:bookmarkEnd w:id="727"/>
      <w:bookmarkEnd w:id="728"/>
      <w:bookmarkEnd w:id="729"/>
      <w:bookmarkEnd w:id="730"/>
      <w:bookmarkEnd w:id="731"/>
      <w:bookmarkEnd w:id="732"/>
      <w:bookmarkEnd w:id="733"/>
      <w:r>
        <w:t>6.2.14 Compensation des coûts de soutien aux projets de jumelage</w:t>
      </w:r>
      <w:bookmarkEnd w:id="744"/>
      <w:bookmarkEnd w:id="745"/>
      <w:bookmarkEnd w:id="746"/>
      <w:bookmarkEnd w:id="747"/>
      <w:bookmarkEnd w:id="748"/>
      <w:r>
        <w:t xml:space="preserve"> </w:t>
      </w:r>
      <w:bookmarkEnd w:id="749"/>
      <w:bookmarkEnd w:id="750"/>
      <w:bookmarkEnd w:id="751"/>
      <w:bookmarkEnd w:id="752"/>
      <w:bookmarkEnd w:id="753"/>
      <w:bookmarkEnd w:id="754"/>
      <w:bookmarkEnd w:id="755"/>
      <w:bookmarkEnd w:id="756"/>
    </w:p>
    <w:p w14:paraId="2F928460" w14:textId="77777777" w:rsidR="00D0198E" w:rsidRPr="005107DF" w:rsidRDefault="00D0198E" w:rsidP="007338F0">
      <w:pPr>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L’administration de l’État membre est indemnisée pour les heures de travail que les membres de son personnel ne pourront effectuer mais pour lesquelles ils sont rémunérés. Un taux </w:t>
      </w:r>
      <w:r>
        <w:rPr>
          <w:rFonts w:ascii="Times New Roman" w:hAnsi="Times New Roman"/>
          <w:color w:val="000000"/>
          <w:sz w:val="24"/>
        </w:rPr>
        <w:lastRenderedPageBreak/>
        <w:t xml:space="preserve">forfaitaire applicable à ces coûts, définis aux annexes B et A7, sera utilisé pour indemniser l’État membre des autres coûts éligibles exposés dans le cadre de sa participation à un projet de jumelage, sur la base des jours de travail effectués par les fonctionnaires ou les agents assimilés dans le pays bénéficiaire. Le taux forfaitaire est défini dans les coûts de soutien aux projets de jumelage. </w:t>
      </w:r>
    </w:p>
    <w:p w14:paraId="22ED1644" w14:textId="77777777" w:rsidR="00D0198E" w:rsidRPr="005107DF" w:rsidRDefault="00D0198E" w:rsidP="007338F0">
      <w:pPr>
        <w:pStyle w:val="Heading3"/>
      </w:pPr>
      <w:bookmarkStart w:id="757" w:name="_Toc517434444"/>
      <w:bookmarkStart w:id="758" w:name="_Toc2861007"/>
      <w:r>
        <w:t>6.2.15 Taux forfaitaire pour les autres coûts indirects</w:t>
      </w:r>
      <w:bookmarkEnd w:id="757"/>
      <w:bookmarkEnd w:id="758"/>
      <w:r>
        <w:t xml:space="preserve"> </w:t>
      </w:r>
    </w:p>
    <w:p w14:paraId="7C7BFBCD" w14:textId="77777777" w:rsidR="00D0198E" w:rsidRPr="005A5556" w:rsidRDefault="00D0198E" w:rsidP="00D0198E">
      <w:pPr>
        <w:spacing w:line="240" w:lineRule="auto"/>
        <w:jc w:val="both"/>
        <w:rPr>
          <w:rFonts w:ascii="Times New Roman" w:eastAsia="Calibri" w:hAnsi="Times New Roman" w:cs="Times New Roman"/>
          <w:sz w:val="24"/>
          <w:szCs w:val="24"/>
        </w:rPr>
      </w:pPr>
      <w:r w:rsidRPr="005A5556">
        <w:rPr>
          <w:rFonts w:ascii="Times New Roman" w:hAnsi="Times New Roman" w:cs="Times New Roman"/>
          <w:sz w:val="24"/>
          <w:szCs w:val="24"/>
        </w:rPr>
        <w:t>Les autres coûts indirects, identifiés aux annexes B et A7, sont compensés au moyen d’un pourcentage fixe limité à 6 % du total des coûts directs éligibles de l’action.</w:t>
      </w:r>
      <w:r w:rsidRPr="0046612B">
        <w:rPr>
          <w:rFonts w:ascii="Times New Roman" w:hAnsi="Times New Roman" w:cs="Times New Roman"/>
          <w:sz w:val="24"/>
          <w:szCs w:val="24"/>
        </w:rPr>
        <w:t xml:space="preserve"> </w:t>
      </w:r>
    </w:p>
    <w:p w14:paraId="3B77E427" w14:textId="77777777" w:rsidR="00D0198E" w:rsidRPr="005107DF" w:rsidRDefault="00D0198E" w:rsidP="007338F0">
      <w:pPr>
        <w:pStyle w:val="Heading3"/>
      </w:pPr>
      <w:bookmarkStart w:id="759" w:name="_Toc517434445"/>
      <w:bookmarkStart w:id="760" w:name="_Toc2861008"/>
      <w:r>
        <w:t>6.2.16 Gestion des coûts de soutien aux projets de jumelage et du taux forfaitaire pour les coûts indirects</w:t>
      </w:r>
      <w:bookmarkEnd w:id="759"/>
      <w:bookmarkEnd w:id="760"/>
    </w:p>
    <w:p w14:paraId="01788F9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Lorsqu’un projet de jumelage est mis en œuvre par un consortium, l’État membre principal transfère à l’État membre ou aux États membres juniors une partie de la compensation des coûts de soutien aux projets de jumelage et des coûts indirects proportionnellement à leur participation aux travaux exécutés dans le pays bénéficiaire. L’État membre principal peut garder une proportion raisonnable des compensations pour couvrir les tâches et coûts supplémentaires liés à son rôle de direction. Afin d’éviter d’éventuels malentendus entre les partenaires du consortium, </w:t>
      </w:r>
      <w:r>
        <w:rPr>
          <w:rFonts w:ascii="Times New Roman" w:hAnsi="Times New Roman"/>
          <w:sz w:val="24"/>
        </w:rPr>
        <w:t>l’accord de consortium</w:t>
      </w:r>
      <w:r>
        <w:rPr>
          <w:rFonts w:ascii="Times New Roman" w:hAnsi="Times New Roman"/>
          <w:color w:val="000000"/>
          <w:sz w:val="24"/>
        </w:rPr>
        <w:t xml:space="preserve"> (voir le point 5.4.2) devrait</w:t>
      </w:r>
      <w:r>
        <w:rPr>
          <w:rFonts w:ascii="Times New Roman" w:hAnsi="Times New Roman"/>
          <w:sz w:val="24"/>
        </w:rPr>
        <w:t xml:space="preserve"> définir les modalités claires et précises du partage de ces compensations. </w:t>
      </w:r>
      <w:r>
        <w:rPr>
          <w:rFonts w:ascii="Times New Roman" w:hAnsi="Times New Roman"/>
          <w:color w:val="000000"/>
          <w:sz w:val="24"/>
        </w:rPr>
        <w:t>Les membres du consortium élaborent cet accord de façon indépendante sans aucun conseil ni interférence de l’administration contractante, de l’administration bénéficiaire ou des services de la Commission.</w:t>
      </w:r>
    </w:p>
    <w:p w14:paraId="0929BBD9" w14:textId="77777777" w:rsidR="00D0198E" w:rsidRPr="005107DF" w:rsidRDefault="00D0198E" w:rsidP="00D0198E">
      <w:pPr>
        <w:rPr>
          <w:rFonts w:ascii="Times New Roman" w:hAnsi="Times New Roman" w:cs="Times New Roman"/>
        </w:rPr>
      </w:pPr>
    </w:p>
    <w:p w14:paraId="21183074" w14:textId="77777777" w:rsidR="00D0198E" w:rsidRPr="005107DF" w:rsidRDefault="00D0198E">
      <w:pPr>
        <w:rPr>
          <w:rFonts w:ascii="Times New Roman" w:hAnsi="Times New Roman" w:cs="Times New Roman"/>
        </w:rPr>
      </w:pPr>
      <w:r>
        <w:br w:type="page"/>
      </w:r>
    </w:p>
    <w:p w14:paraId="38078F18" w14:textId="77777777" w:rsidR="00D0198E" w:rsidRPr="005107DF" w:rsidRDefault="00D0198E" w:rsidP="007338F0">
      <w:pPr>
        <w:pStyle w:val="Heading1"/>
        <w:pBdr>
          <w:bottom w:val="single" w:sz="4" w:space="1" w:color="auto"/>
        </w:pBdr>
      </w:pPr>
      <w:bookmarkStart w:id="761" w:name="_Toc86819225"/>
      <w:bookmarkStart w:id="762" w:name="_Toc86819256"/>
      <w:bookmarkStart w:id="763" w:name="_Toc442374773"/>
      <w:bookmarkStart w:id="764" w:name="_Toc464459963"/>
      <w:bookmarkStart w:id="765" w:name="_Toc476063343"/>
      <w:bookmarkStart w:id="766" w:name="_Toc476067825"/>
      <w:bookmarkStart w:id="767" w:name="_Toc517434446"/>
      <w:bookmarkStart w:id="768" w:name="_Toc2861009"/>
      <w:bookmarkStart w:id="769" w:name="_Toc30492339"/>
      <w:bookmarkStart w:id="770" w:name="_Toc30492813"/>
      <w:bookmarkStart w:id="771" w:name="_Toc30498051"/>
      <w:bookmarkStart w:id="772" w:name="_Toc86819223"/>
      <w:bookmarkStart w:id="773" w:name="_Toc86819254"/>
      <w:bookmarkStart w:id="774" w:name="_Toc302458005"/>
      <w:bookmarkStart w:id="775" w:name="_Toc442374757"/>
      <w:r>
        <w:lastRenderedPageBreak/>
        <w:t xml:space="preserve">Section 7: la gestion et </w:t>
      </w:r>
      <w:bookmarkEnd w:id="761"/>
      <w:bookmarkEnd w:id="762"/>
      <w:bookmarkEnd w:id="763"/>
      <w:bookmarkEnd w:id="764"/>
      <w:bookmarkEnd w:id="765"/>
      <w:bookmarkEnd w:id="766"/>
      <w:r>
        <w:t>le contrôle financiers</w:t>
      </w:r>
      <w:bookmarkEnd w:id="767"/>
      <w:bookmarkEnd w:id="768"/>
    </w:p>
    <w:p w14:paraId="15096FB7" w14:textId="4D739F6B" w:rsidR="00D0198E" w:rsidRPr="005107DF" w:rsidRDefault="00D0198E" w:rsidP="0019382C">
      <w:pPr>
        <w:pStyle w:val="Heading2"/>
        <w:ind w:left="0" w:firstLine="0"/>
      </w:pPr>
      <w:bookmarkStart w:id="776" w:name="_Toc442374774"/>
      <w:bookmarkStart w:id="777" w:name="_Toc464459964"/>
      <w:bookmarkStart w:id="778" w:name="_Toc476063344"/>
      <w:bookmarkStart w:id="779" w:name="_Toc476067826"/>
      <w:bookmarkStart w:id="780" w:name="_Toc517434447"/>
      <w:bookmarkStart w:id="781" w:name="_Toc2861010"/>
      <w:r>
        <w:t xml:space="preserve">7.1 </w:t>
      </w:r>
      <w:bookmarkEnd w:id="776"/>
      <w:bookmarkEnd w:id="777"/>
      <w:r>
        <w:t xml:space="preserve">Remarques spécifiques relatives à l’outil </w:t>
      </w:r>
      <w:bookmarkEnd w:id="778"/>
      <w:bookmarkEnd w:id="779"/>
      <w:r>
        <w:t>de jumelage</w:t>
      </w:r>
      <w:bookmarkEnd w:id="780"/>
      <w:bookmarkEnd w:id="781"/>
    </w:p>
    <w:p w14:paraId="260F6F2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Tous les aspects réglementant les flux financiers entre les parties contractantes sont définis dans les documents contractuels, en particulier les conditions générales et les conditions particulières.  </w:t>
      </w:r>
    </w:p>
    <w:p w14:paraId="3927594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napToGrid w:val="0"/>
          <w:color w:val="000000"/>
          <w:sz w:val="24"/>
        </w:rPr>
        <w:t xml:space="preserve">Si, en règle générale, </w:t>
      </w:r>
      <w:r>
        <w:rPr>
          <w:rFonts w:ascii="Times New Roman" w:hAnsi="Times New Roman"/>
          <w:color w:val="000000"/>
          <w:sz w:val="24"/>
        </w:rPr>
        <w:t xml:space="preserve">l’organisme payeur dans les projets de jumelage est l’administration contractante, d’autres accords locaux conclus entre l’UE et le bénéficiaire peuvent donner à la délégation de l’UE le rôle d’organisme payeur, également en </w:t>
      </w:r>
      <w:r>
        <w:rPr>
          <w:rFonts w:ascii="Times New Roman" w:hAnsi="Times New Roman"/>
          <w:snapToGrid w:val="0"/>
          <w:color w:val="000000"/>
          <w:sz w:val="24"/>
        </w:rPr>
        <w:t>gestion indirecte</w:t>
      </w:r>
      <w:r>
        <w:rPr>
          <w:rFonts w:ascii="Times New Roman" w:hAnsi="Times New Roman"/>
          <w:color w:val="000000"/>
          <w:sz w:val="24"/>
        </w:rPr>
        <w:t>.</w:t>
      </w:r>
    </w:p>
    <w:p w14:paraId="359897D0"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Les procédures de paiement respectent les dispositions des conditions générales. L’option 2 de l’article 15.1 est suivie en cas de jumelage standard et l’option 1 en cas de jumelage léger. Des procédures spécifiques de paiement applicables aux jumelages légers sont présentées au point 8.5.</w:t>
      </w:r>
    </w:p>
    <w:p w14:paraId="3A04E80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paiements sont toujours réalisés par l’entité de l’État membre signant le contrat de subvention de jumelage, sauf disposition contraire dans ledit contrat. Le CRJ est responsable de la gestion financière journalière de ses allocations personnelles et de ses relevés de dépenses. Le CP de l’État membre doit intégrer le rapport du CRJ dans l’état financier du projet qu’il soumet chaque trimestre au comité de pilotage du projet. Il doit arrêter dès le départ le format du rapport financier et instruire le CRJ en conséquence, afin que celui-ci livre les rapports sous une forme compatible avec l’état financier du projet.</w:t>
      </w:r>
    </w:p>
    <w:p w14:paraId="6946D3E5" w14:textId="0E4E26E9"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À l’exception du versement du premier préfinancement, déclenché par la notification de la signature du contrat de subvention de jumelage, tous les paiements nécessitent la soumission d’une demande de paiement. Le formulaire est joint à l’annexe A5 du contrat de subvention de jumelage et doit porter la signature originale du CP de l’État membre. Les paiements sont effectués dans le délai maximal fixé dans le contrat de subvention de jumelage conformément à l’article 15.4 des conditions générales, sauf mention contraire dans les conditions particulières.</w:t>
      </w:r>
    </w:p>
    <w:p w14:paraId="5D3BF997" w14:textId="32DD0ADE" w:rsidR="00860CD1" w:rsidRPr="005107DF" w:rsidRDefault="00FC7DEE" w:rsidP="007338F0">
      <w:pPr>
        <w:jc w:val="both"/>
        <w:rPr>
          <w:rFonts w:ascii="Times New Roman" w:hAnsi="Times New Roman" w:cs="Times New Roman"/>
        </w:rPr>
      </w:pPr>
      <w:r>
        <w:rPr>
          <w:rFonts w:ascii="Times New Roman" w:hAnsi="Times New Roman"/>
          <w:color w:val="000000"/>
          <w:sz w:val="24"/>
        </w:rPr>
        <w:t xml:space="preserve">Conformément à l’article 17.3 des conditions générales du contrat, qui reflète l’article 192, paragraphe 1, du </w:t>
      </w:r>
      <w:r w:rsidR="0046612B">
        <w:rPr>
          <w:rFonts w:ascii="Times New Roman" w:hAnsi="Times New Roman"/>
          <w:color w:val="000000"/>
          <w:sz w:val="24"/>
        </w:rPr>
        <w:t>R</w:t>
      </w:r>
      <w:r>
        <w:rPr>
          <w:rFonts w:ascii="Times New Roman" w:hAnsi="Times New Roman"/>
          <w:color w:val="000000"/>
          <w:sz w:val="24"/>
        </w:rPr>
        <w:t xml:space="preserve">èglement </w:t>
      </w:r>
      <w:r w:rsidR="0046612B">
        <w:rPr>
          <w:rFonts w:ascii="Times New Roman" w:hAnsi="Times New Roman"/>
          <w:color w:val="000000"/>
          <w:sz w:val="24"/>
        </w:rPr>
        <w:t>F</w:t>
      </w:r>
      <w:r>
        <w:rPr>
          <w:rFonts w:ascii="Times New Roman" w:hAnsi="Times New Roman"/>
          <w:color w:val="000000"/>
          <w:sz w:val="24"/>
        </w:rPr>
        <w:t xml:space="preserve">inancier, une subvention de jumelage ne peut générer des profits. Les coûts unitaires et taux forfaitaires utilisés dans le cadre du jumelage ont été fixés selon une méthodologie déterminée en appliquant le principe de non-profit. Les autres coûts sont basés sur les coûts réellement engagés. </w:t>
      </w:r>
      <w:bookmarkStart w:id="782" w:name="_Toc442374779"/>
      <w:bookmarkStart w:id="783" w:name="_Toc464459971"/>
      <w:bookmarkStart w:id="784" w:name="_Toc476063345"/>
      <w:bookmarkStart w:id="785" w:name="_Toc476067827"/>
    </w:p>
    <w:p w14:paraId="60E30A4B" w14:textId="77777777" w:rsidR="00D0198E" w:rsidRPr="005107DF" w:rsidRDefault="00D0198E" w:rsidP="007338F0">
      <w:pPr>
        <w:pStyle w:val="Heading2"/>
      </w:pPr>
      <w:bookmarkStart w:id="786" w:name="_Toc517434448"/>
      <w:bookmarkStart w:id="787" w:name="_Toc2861011"/>
      <w:r>
        <w:t xml:space="preserve">7.2 Pièces justificatives à l’appui des </w:t>
      </w:r>
      <w:bookmarkEnd w:id="782"/>
      <w:bookmarkEnd w:id="783"/>
      <w:bookmarkEnd w:id="784"/>
      <w:bookmarkEnd w:id="785"/>
      <w:r>
        <w:t>demandes de paiement</w:t>
      </w:r>
      <w:bookmarkEnd w:id="786"/>
      <w:bookmarkEnd w:id="787"/>
    </w:p>
    <w:p w14:paraId="010EC36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L’État membre a l’obligation de tenir un registre systématique et précis des activités mises en œuvre au titre du contrat de subvention de jumelage. La forme et le degré de détail de ce registre devront permettre de déterminer le nombre exact de jours travaillés dans le pays bénéficiaire, ainsi que l’ensemble des dépenses réelles budgétisées qui se rapportent à l’exécution du contrat de subvention de jumelage. </w:t>
      </w:r>
    </w:p>
    <w:p w14:paraId="2E6C00D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Le bénéficiaire et l’État membre devront conserver ces preuves pendant cinq ans à compter du dernier paiement effectué au titre du contrat de subvention de jumelage. Ces preuves doivent comprendre des documents concernant les recettes et les dépenses ainsi que tout inventaire nécessaire à la vérification des pièces justificatives, en particulier les certificats de mission (qui doivent être élaborés conformément au modèle fourni à l’annexe C10 du présent manuel de jumelage), les factures, les reçus et tout autre justificatif des dépenses basées sur les coûts réels. En ce qui concerne les coûts unitaires, des preuves de l’activité ou de l’événement dans le cadre duquel les dépenses sont engagées doivent être conservées à des fins de contrôle. Le non-respect de cette obligation constituera une violation des obligations et entraînera la résiliation du financement de l’UE ou justifiera le remboursement à la Commission d’une partie ou de la totalité des fonds.</w:t>
      </w:r>
    </w:p>
    <w:p w14:paraId="0068321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En ce qui concerne les coûts unitaires ou taux forfaitaires, tels qu’inclus à l’annexe A3 du contrat de subvention de jumelage, les coûts réels sur la base desquels les coûts unitaires et/ou les taux forfaitaires ont été fixés ne sont pas vérifiés (voir également le point 6.2.12).</w:t>
      </w:r>
    </w:p>
    <w:p w14:paraId="3855508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Sans préjudice des droits et obligations de la Cour des comptes européenne (CCE)</w:t>
      </w:r>
      <w:r>
        <w:rPr>
          <w:rFonts w:ascii="Times New Roman" w:hAnsi="Times New Roman"/>
          <w:color w:val="000000"/>
          <w:sz w:val="24"/>
          <w:vertAlign w:val="superscript"/>
        </w:rPr>
        <w:footnoteReference w:id="18"/>
      </w:r>
      <w:r>
        <w:rPr>
          <w:rFonts w:ascii="Times New Roman" w:hAnsi="Times New Roman"/>
          <w:color w:val="000000"/>
          <w:sz w:val="24"/>
        </w:rPr>
        <w:t>, l’Office européen de lutte antifraude (OLAF)</w:t>
      </w:r>
      <w:r>
        <w:rPr>
          <w:rFonts w:ascii="Times New Roman" w:hAnsi="Times New Roman"/>
          <w:color w:val="000000"/>
          <w:sz w:val="24"/>
          <w:vertAlign w:val="superscript"/>
        </w:rPr>
        <w:footnoteReference w:id="19"/>
      </w:r>
      <w:r>
        <w:rPr>
          <w:rFonts w:ascii="Times New Roman" w:hAnsi="Times New Roman"/>
          <w:color w:val="000000"/>
          <w:sz w:val="24"/>
        </w:rPr>
        <w:t>, les autres services de la Commission, les représentants de l’ECFC/UGP ou d’autres institutions autorisées du bénéficiaire sont habilités à contrôler et à vérifier, en temps opportun, pendant et après la mise en œuvre du contrat de subvention de jumelage, les registres et les comptes relatifs à cette mise en œuvre et à en prendre des copies.</w:t>
      </w:r>
    </w:p>
    <w:p w14:paraId="3BFE98BB"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Dans le cas de contrôles techniques et financiers, sur pièce ou sur place, le personnel de la Commission européenne, l’OLAF, la CCE ou des personnes extérieures autorisées par la Commission doivent toujours avoir un droit d’accès approprié aux informations, sur papier ou sous forme électronique. Cette obligation vise à garantir l’accessibilité des documents au cours de la </w:t>
      </w:r>
      <w:r>
        <w:rPr>
          <w:rFonts w:ascii="Times New Roman" w:hAnsi="Times New Roman"/>
          <w:color w:val="000000"/>
          <w:sz w:val="24"/>
        </w:rPr>
        <w:t>période</w:t>
      </w:r>
      <w:r>
        <w:rPr>
          <w:rFonts w:ascii="Times New Roman" w:hAnsi="Times New Roman"/>
          <w:sz w:val="24"/>
        </w:rPr>
        <w:t xml:space="preserve"> stipulée (cinq ans), quel que soit leur format.</w:t>
      </w:r>
    </w:p>
    <w:p w14:paraId="31361407" w14:textId="77777777" w:rsidR="00300578" w:rsidRPr="005107DF" w:rsidRDefault="00300578" w:rsidP="00300578">
      <w:pPr>
        <w:spacing w:after="240" w:line="240" w:lineRule="auto"/>
        <w:jc w:val="both"/>
        <w:rPr>
          <w:rFonts w:ascii="Times New Roman" w:hAnsi="Times New Roman" w:cs="Times New Roman"/>
          <w:sz w:val="24"/>
          <w:szCs w:val="24"/>
        </w:rPr>
      </w:pPr>
      <w:r>
        <w:rPr>
          <w:rFonts w:ascii="Times New Roman" w:hAnsi="Times New Roman"/>
          <w:sz w:val="24"/>
        </w:rPr>
        <w:t>Conformément à l’article 15.1, option 2, des conditions générales, le paiement initial de préfinancement</w:t>
      </w:r>
      <w:r w:rsidRPr="005A5556">
        <w:rPr>
          <w:rFonts w:ascii="Times New Roman" w:hAnsi="Times New Roman"/>
          <w:spacing w:val="38"/>
          <w:sz w:val="24"/>
        </w:rPr>
        <w:t xml:space="preserve"> </w:t>
      </w:r>
      <w:r>
        <w:rPr>
          <w:rFonts w:ascii="Times New Roman" w:hAnsi="Times New Roman"/>
          <w:sz w:val="24"/>
        </w:rPr>
        <w:t xml:space="preserve">sera calculé comme suit:  </w:t>
      </w:r>
    </w:p>
    <w:p w14:paraId="02AB1F12" w14:textId="64F6BE50" w:rsidR="00300578" w:rsidRPr="0019382C" w:rsidRDefault="0046612B" w:rsidP="00300578">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B</w:t>
      </w:r>
      <w:r w:rsidR="00CF2846">
        <w:rPr>
          <w:rFonts w:ascii="Times New Roman" w:hAnsi="Times New Roman"/>
          <w:color w:val="000000"/>
          <w:sz w:val="24"/>
        </w:rPr>
        <w:t>udget total (à l’exclusion des provisions pour imprévus/réserves et services fournis par le secteur privé et sous-traités par l’administration contractante) divisé par le nombre de mois de mise en œuvre, puis multiplié par douze.</w:t>
      </w:r>
    </w:p>
    <w:p w14:paraId="4A18B855" w14:textId="77777777" w:rsidR="00D0198E" w:rsidRPr="005107DF" w:rsidRDefault="00D0198E" w:rsidP="007338F0">
      <w:pPr>
        <w:pStyle w:val="Heading2"/>
      </w:pPr>
      <w:bookmarkStart w:id="788" w:name="_Toc442374780"/>
      <w:bookmarkStart w:id="789" w:name="_Toc464459972"/>
      <w:bookmarkStart w:id="790" w:name="_Toc476063346"/>
      <w:bookmarkStart w:id="791" w:name="_Toc476067828"/>
      <w:bookmarkStart w:id="792" w:name="_Toc517434449"/>
      <w:bookmarkStart w:id="793" w:name="_Toc2861012"/>
      <w:r>
        <w:t>7.3 Vérifications</w:t>
      </w:r>
      <w:bookmarkEnd w:id="788"/>
      <w:bookmarkEnd w:id="789"/>
      <w:bookmarkEnd w:id="790"/>
      <w:bookmarkEnd w:id="791"/>
      <w:bookmarkEnd w:id="792"/>
      <w:bookmarkEnd w:id="793"/>
    </w:p>
    <w:p w14:paraId="316467F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Au cours de la mise en œuvre d’un projet de jumelage, tant le projet lui-même que sa gestion peuvent faire l’objet de vérifications ponctuelles sur demande des services de la Commission, de l’OLAF ou de la CCE.</w:t>
      </w:r>
    </w:p>
    <w:p w14:paraId="73F5A62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vérifications ponctuelles demandées par la Commission doivent fournir une appréciation indépendante de la gestion saine et efficace des projets ou peuvent examiner des questions spécifiques.</w:t>
      </w:r>
    </w:p>
    <w:p w14:paraId="31F419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lastRenderedPageBreak/>
        <w:t>Le bénéficiaire et l’État membre accepteront que la Commission européenne, l’OLAF et la CCE contrôlent, sur pièce ou sur place, la mise en œuvre du projet et réalisent un audit complet, si nécessaire, sur la base de pièces justificatives des comptes, des documents comptables et de tout autre document relatif au financement de l’action. Ces inspections peuvent avoir lieu jusqu’à cinq ans après le paiement du solde; leurs procédures respectent les dispositions de l’article 16 des conditions générales (annexe A2 du contrat de subvention de jumelage).</w:t>
      </w:r>
    </w:p>
    <w:bookmarkEnd w:id="769"/>
    <w:bookmarkEnd w:id="770"/>
    <w:bookmarkEnd w:id="771"/>
    <w:bookmarkEnd w:id="772"/>
    <w:bookmarkEnd w:id="773"/>
    <w:bookmarkEnd w:id="774"/>
    <w:bookmarkEnd w:id="775"/>
    <w:p w14:paraId="7C76F304" w14:textId="77777777" w:rsidR="00D0198E" w:rsidRPr="005107DF" w:rsidRDefault="00D0198E" w:rsidP="00D0198E">
      <w:pPr>
        <w:rPr>
          <w:rFonts w:ascii="Times New Roman" w:hAnsi="Times New Roman" w:cs="Times New Roman"/>
        </w:rPr>
      </w:pPr>
    </w:p>
    <w:p w14:paraId="7A55E393" w14:textId="77777777" w:rsidR="00D0198E" w:rsidRPr="005107DF" w:rsidRDefault="00D0198E">
      <w:pPr>
        <w:rPr>
          <w:rFonts w:ascii="Times New Roman" w:hAnsi="Times New Roman" w:cs="Times New Roman"/>
        </w:rPr>
      </w:pPr>
      <w:r>
        <w:br w:type="page"/>
      </w:r>
    </w:p>
    <w:p w14:paraId="4C0879CF" w14:textId="77777777" w:rsidR="00D0198E" w:rsidRPr="005107DF" w:rsidRDefault="00D0198E" w:rsidP="007338F0">
      <w:pPr>
        <w:pStyle w:val="Heading1"/>
        <w:pBdr>
          <w:bottom w:val="single" w:sz="4" w:space="1" w:color="auto"/>
        </w:pBdr>
      </w:pPr>
      <w:bookmarkStart w:id="794" w:name="_Toc58128603"/>
      <w:bookmarkStart w:id="795" w:name="_Toc86819226"/>
      <w:bookmarkStart w:id="796" w:name="_Toc86819257"/>
      <w:bookmarkStart w:id="797" w:name="_Toc442374784"/>
      <w:bookmarkStart w:id="798" w:name="_Toc464459973"/>
      <w:bookmarkStart w:id="799" w:name="_Toc476063347"/>
      <w:bookmarkStart w:id="800" w:name="_Toc476067829"/>
      <w:bookmarkStart w:id="801" w:name="_Toc517434450"/>
      <w:bookmarkStart w:id="802" w:name="_Toc2861013"/>
      <w:r>
        <w:lastRenderedPageBreak/>
        <w:t>Section 8: les procédures spécifiques au jumelage léger</w:t>
      </w:r>
      <w:bookmarkEnd w:id="794"/>
      <w:bookmarkEnd w:id="795"/>
      <w:bookmarkEnd w:id="796"/>
      <w:bookmarkEnd w:id="797"/>
      <w:bookmarkEnd w:id="798"/>
      <w:bookmarkEnd w:id="799"/>
      <w:bookmarkEnd w:id="800"/>
      <w:bookmarkEnd w:id="801"/>
      <w:bookmarkEnd w:id="802"/>
    </w:p>
    <w:p w14:paraId="7C35DA54" w14:textId="77777777" w:rsidR="00D0198E" w:rsidRPr="005107DF" w:rsidRDefault="00D0198E" w:rsidP="007338F0">
      <w:pPr>
        <w:pStyle w:val="Heading2"/>
      </w:pPr>
      <w:bookmarkStart w:id="803" w:name="_Toc58128604"/>
      <w:bookmarkStart w:id="804" w:name="_Toc442374785"/>
      <w:bookmarkStart w:id="805" w:name="_Toc464459974"/>
      <w:bookmarkStart w:id="806" w:name="_Toc476063348"/>
      <w:bookmarkStart w:id="807" w:name="_Toc476067830"/>
      <w:bookmarkStart w:id="808" w:name="_Toc517434451"/>
      <w:bookmarkStart w:id="809" w:name="_Toc2861014"/>
      <w:r>
        <w:t>8.1 Définition du jumelage léger</w:t>
      </w:r>
      <w:bookmarkEnd w:id="803"/>
      <w:bookmarkEnd w:id="804"/>
      <w:bookmarkEnd w:id="805"/>
      <w:bookmarkEnd w:id="806"/>
      <w:bookmarkEnd w:id="807"/>
      <w:bookmarkEnd w:id="808"/>
      <w:bookmarkEnd w:id="809"/>
    </w:p>
    <w:p w14:paraId="3905CA7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jumelage léger est un format de fourniture de l’aide qui, bien qu’il soit de moindre envergure, repose sur le même principe fondamental que le jumelage standard. Il est axé sur la coopération en partenariat entre les administrations publiques des États membres et des bénéficiaires et vise à atteindre des résultats spécifiques définis conjointement avec la Commission. Toutes les dispositions relatives à la mise en œuvre des projets de jumelage standard, décrites aux sections 1 à 7 du présent manuel de jumelage, s’appliquent également</w:t>
      </w:r>
      <w:r>
        <w:rPr>
          <w:rFonts w:ascii="Times New Roman" w:hAnsi="Times New Roman"/>
          <w:i/>
          <w:color w:val="000000"/>
          <w:sz w:val="24"/>
        </w:rPr>
        <w:t xml:space="preserve"> </w:t>
      </w:r>
      <w:r>
        <w:rPr>
          <w:rFonts w:ascii="Times New Roman" w:hAnsi="Times New Roman"/>
          <w:color w:val="000000"/>
          <w:sz w:val="24"/>
        </w:rPr>
        <w:t>mutatis mutandis au jumelage léger. La présente section fournit des orientations sur les procédures relatives au jumelage léger, qui diffèrent de celles applicables au jumelage standard.</w:t>
      </w:r>
    </w:p>
    <w:p w14:paraId="2E3429B1" w14:textId="5B2EE930" w:rsidR="00D0198E" w:rsidRPr="005107DF" w:rsidRDefault="00D0198E" w:rsidP="00D0198E">
      <w:pPr>
        <w:spacing w:after="240" w:line="240" w:lineRule="auto"/>
        <w:jc w:val="both"/>
        <w:rPr>
          <w:rFonts w:ascii="Times New Roman" w:eastAsia="Times New Roman" w:hAnsi="Times New Roman" w:cs="Times New Roman"/>
          <w:b/>
          <w:color w:val="000000"/>
          <w:sz w:val="24"/>
          <w:szCs w:val="24"/>
        </w:rPr>
      </w:pPr>
      <w:r>
        <w:rPr>
          <w:rFonts w:ascii="Times New Roman" w:hAnsi="Times New Roman"/>
          <w:color w:val="000000"/>
          <w:sz w:val="24"/>
        </w:rPr>
        <w:t xml:space="preserve">Le jumelage léger peut être utilisé pour traiter toute question institutionnelle dont la portée est plus limitée que dans le cas d’un jumelage standard. Le scénario le plus probable est la mise en œuvre d’une mesure spécifique plutôt qu’une aide à la réforme du cadre général ou juridique. </w:t>
      </w:r>
    </w:p>
    <w:p w14:paraId="22304092" w14:textId="31B4BAEB"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montant maximal d’une subvention finançant un projet de jumelage léger s’élève à 250 000 EUR et la période de mise en œuvre ne peut excéder huit mois (possibilité de prolongation jusqu’à dix mois dans des cas exceptionnels). Comme pour le jumelage standard, la période de mise en œuvre est complétée par une période de rapport de trois mois (voir l’article 2 des conditions générales du contrat de subvention de jumelage).</w:t>
      </w:r>
    </w:p>
    <w:p w14:paraId="3029EFA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Outre les limites sur le plan du budget et de la durée, quatre autres éléments principaux distinguent le jumelage léger du jumelage standard:</w:t>
      </w:r>
    </w:p>
    <w:p w14:paraId="53DB2EC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il n’y a pas de conseiller résident de jumelage (CRJ);</w:t>
      </w:r>
    </w:p>
    <w:p w14:paraId="1A9F98F0"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les États membres doivent soumettre leur proposition de manière individuelle (pas de consortium autorisé);</w:t>
      </w:r>
    </w:p>
    <w:p w14:paraId="77BAEB94"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le plan de travail détaillé, ainsi que la façon dont il se traduit sur le plan budgétaire, pour l’entièreté de la période de mise en œuvre (d’une durée maximale de huit mois) doit être inclus dans la proposition soumise par l’État membre;</w:t>
      </w:r>
    </w:p>
    <w:p w14:paraId="58EC760A" w14:textId="77777777" w:rsidR="00CB3355" w:rsidRPr="005107DF" w:rsidRDefault="00CB3355"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les CV des experts de courte durée sont inclus dans la proposition;</w:t>
      </w:r>
    </w:p>
    <w:p w14:paraId="02793F6B"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aucune forme de sous-traitance avec le secteur privé n’est autorisée, à la seule exception du recours à des services de traduction et d’interprétation, si nécessaire.</w:t>
      </w:r>
    </w:p>
    <w:p w14:paraId="0082A0ED" w14:textId="77777777" w:rsidR="00D0198E" w:rsidRPr="005107DF" w:rsidRDefault="00D0198E" w:rsidP="007338F0">
      <w:pPr>
        <w:pStyle w:val="Heading2"/>
      </w:pPr>
      <w:bookmarkStart w:id="810" w:name="_Toc58128605"/>
      <w:bookmarkStart w:id="811" w:name="_Toc442374786"/>
      <w:bookmarkStart w:id="812" w:name="_Toc464459975"/>
      <w:bookmarkStart w:id="813" w:name="_Toc476063349"/>
      <w:bookmarkStart w:id="814" w:name="_Toc476067831"/>
      <w:bookmarkStart w:id="815" w:name="_Toc517434452"/>
      <w:bookmarkStart w:id="816" w:name="_Toc2861015"/>
      <w:r>
        <w:t>8.2 La fiche de projet de jumelage léger</w:t>
      </w:r>
      <w:bookmarkEnd w:id="810"/>
      <w:bookmarkEnd w:id="811"/>
      <w:bookmarkEnd w:id="812"/>
      <w:bookmarkEnd w:id="813"/>
      <w:bookmarkEnd w:id="814"/>
      <w:bookmarkEnd w:id="815"/>
      <w:bookmarkEnd w:id="816"/>
    </w:p>
    <w:p w14:paraId="2E64484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L’État membre doit être en mesure d’élaborer un plan de travail détaillé pour la mise en œuvre immédiate de la totalité du projet de jumelage léger sur la base de la fiche de projet. Il est donc nécessaire que cette fiche, outre toutes les données et informations mentionnées au point 2.1.1, fournisse également des indications concrètes sur la manière dont le plan de </w:t>
      </w:r>
      <w:r>
        <w:rPr>
          <w:rFonts w:ascii="Times New Roman" w:hAnsi="Times New Roman"/>
          <w:color w:val="000000"/>
          <w:sz w:val="24"/>
        </w:rPr>
        <w:lastRenderedPageBreak/>
        <w:t>travail devrait être élaboré, le programme d’activités suggéré, le profil des experts de courte durée et les cibles et indicateurs qui devraient être utilisés pour assurer l’obtention en temps opportun des résultats/produits obligatoires.</w:t>
      </w:r>
    </w:p>
    <w:p w14:paraId="5836257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Avant la diffusion aux PCN des États membres, la fiche de projet de jumelage léger doit être soumise à la procédure relative au groupe interservices de jumelage (voir le point 2.1.2). La fiche est jointe à l’annexe A1 du contrat de subvention de jumelage léger en tant que document de travail.</w:t>
      </w:r>
      <w:bookmarkStart w:id="817" w:name="_Toc58128606"/>
    </w:p>
    <w:p w14:paraId="3047B363" w14:textId="77777777" w:rsidR="00D0198E" w:rsidRPr="005107DF" w:rsidRDefault="00D0198E" w:rsidP="006321AB">
      <w:pPr>
        <w:pStyle w:val="Heading2"/>
      </w:pPr>
      <w:bookmarkStart w:id="818" w:name="_Toc58128608"/>
      <w:bookmarkStart w:id="819" w:name="_Toc442374788"/>
      <w:bookmarkStart w:id="820" w:name="_Toc464459976"/>
      <w:bookmarkStart w:id="821" w:name="_Toc476063350"/>
      <w:bookmarkStart w:id="822" w:name="_Toc476067832"/>
      <w:bookmarkStart w:id="823" w:name="_Toc517434453"/>
      <w:bookmarkStart w:id="824" w:name="_Toc2861016"/>
      <w:bookmarkEnd w:id="817"/>
      <w:r>
        <w:t xml:space="preserve">8.3 Propositions des États membres et sélection de </w:t>
      </w:r>
      <w:bookmarkEnd w:id="818"/>
      <w:bookmarkEnd w:id="819"/>
      <w:bookmarkEnd w:id="820"/>
      <w:bookmarkEnd w:id="821"/>
      <w:bookmarkEnd w:id="822"/>
      <w:r>
        <w:t>l’État membre</w:t>
      </w:r>
      <w:bookmarkEnd w:id="823"/>
      <w:bookmarkEnd w:id="824"/>
    </w:p>
    <w:p w14:paraId="49B9AFD6" w14:textId="77777777" w:rsidR="00D0198E" w:rsidRPr="005107DF" w:rsidRDefault="00D0198E" w:rsidP="007338F0">
      <w:pPr>
        <w:pStyle w:val="Heading3"/>
      </w:pPr>
      <w:bookmarkStart w:id="825" w:name="_Toc58128609"/>
      <w:bookmarkStart w:id="826" w:name="_Toc442374789"/>
      <w:bookmarkStart w:id="827" w:name="_Toc464459977"/>
      <w:bookmarkStart w:id="828" w:name="_Toc476063351"/>
      <w:bookmarkStart w:id="829" w:name="_Toc476067833"/>
      <w:bookmarkStart w:id="830" w:name="_Toc517434454"/>
      <w:bookmarkStart w:id="831" w:name="_Toc2861017"/>
      <w:r>
        <w:t>8.3.1 Propositions des États membres</w:t>
      </w:r>
      <w:bookmarkEnd w:id="825"/>
      <w:bookmarkEnd w:id="826"/>
      <w:bookmarkEnd w:id="827"/>
      <w:bookmarkEnd w:id="828"/>
      <w:bookmarkEnd w:id="829"/>
      <w:bookmarkEnd w:id="830"/>
      <w:bookmarkEnd w:id="831"/>
    </w:p>
    <w:p w14:paraId="739B7A88" w14:textId="7D739319" w:rsidR="00D0198E" w:rsidRPr="005107DF" w:rsidRDefault="003F39BD"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États membres ont huit semaines pour préparer leur proposition de projet de jumelage léger. Comme pour le jumelage standard, l’administration contractante peut envisager de fixer un délai plus long, en particulier pour tenir compte de périodes de vacances, ou un délai plus court, en particulier si la durée et/ou le budget prévus du projet sont inférieurs au maximum autorisé.</w:t>
      </w:r>
    </w:p>
    <w:p w14:paraId="2EB8B2C9" w14:textId="55DF1C18"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Contrairement à une proposition de jumelage standard, une proposition de projet de jumelage léger doit contenir un plan de travail finalisé présentant l’ensemble des activités de manière détaillée, notamment l’objectif spécifique, le contenu, la durée, l’enchaînement, les indicateurs, un plan de communication et de visibilité, etc. Le chef de projet chargé de la coordination de la contribution de l’État membre et les experts de courte durée associés au projet doivent être identifiés et leur CV joint. Le CP peut être l’un des experts de courte durée. La proposition de l’État membre doit également contenir une ventilation du budget par rubrique et sous-rubrique budgétaires, sur la base des taux forfaitaires, des coûts unitaires et des dépenses pouvant être remboursées.</w:t>
      </w:r>
    </w:p>
    <w:p w14:paraId="7EAF9AC3" w14:textId="77777777" w:rsidR="00D0198E" w:rsidRPr="005107DF" w:rsidRDefault="00D0198E" w:rsidP="00D0198E">
      <w:pPr>
        <w:spacing w:after="240" w:line="240" w:lineRule="auto"/>
        <w:jc w:val="both"/>
        <w:rPr>
          <w:rFonts w:ascii="Times New Roman" w:eastAsia="Times New Roman" w:hAnsi="Times New Roman" w:cs="Times New Roman"/>
          <w:b/>
          <w:color w:val="000000"/>
          <w:sz w:val="24"/>
          <w:szCs w:val="24"/>
        </w:rPr>
      </w:pPr>
      <w:r>
        <w:rPr>
          <w:rFonts w:ascii="Times New Roman" w:hAnsi="Times New Roman"/>
          <w:color w:val="000000"/>
          <w:sz w:val="24"/>
        </w:rPr>
        <w:t>Le plan de travail inclus dans la proposition de l’État membre sélectionné doit être joint à l’annexe A1 du contrat de subvention de jumelage léger en tant que document de travail et être accompagné de la fiche de projet. La ventilation du budget doit être jointe à l’annexe A3 du contrat de subvention de jumelage léger en tant que document de travail. Les valeurs correspondant aux taux forfaitaires, aux coûts unitaires et aux montants forfaitaires applicables au projet conformément aux annexes B et A7 sont toutes indiquées à l’annexe A3.</w:t>
      </w:r>
    </w:p>
    <w:p w14:paraId="31D1319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Bien que les États membres doivent soumettre une proposition individuelle et que les consortiums ne soient pas autorisés, des experts provenant d’un autre État membre peuvent être inclus dans le plan de travail. Dans ce cas, ils contribuent au projet sous l’autorité et la responsabilité du chef de projet de l’État membre.</w:t>
      </w:r>
    </w:p>
    <w:p w14:paraId="41672B91" w14:textId="77777777" w:rsidR="00D0198E" w:rsidRPr="005107DF" w:rsidRDefault="00D0198E" w:rsidP="007338F0">
      <w:pPr>
        <w:pStyle w:val="Heading3"/>
      </w:pPr>
      <w:bookmarkStart w:id="832" w:name="_Toc464459978"/>
      <w:bookmarkStart w:id="833" w:name="_Toc476063352"/>
      <w:bookmarkStart w:id="834" w:name="_Toc476067834"/>
      <w:bookmarkStart w:id="835" w:name="_Toc517434455"/>
      <w:bookmarkStart w:id="836" w:name="_Toc2861018"/>
      <w:r>
        <w:t>8</w:t>
      </w:r>
      <w:bookmarkStart w:id="837" w:name="_Toc58128611"/>
      <w:bookmarkStart w:id="838" w:name="_Toc442374791"/>
      <w:bookmarkStart w:id="839" w:name="_Toc464459979"/>
      <w:bookmarkEnd w:id="832"/>
      <w:r>
        <w:t>.3.2 Procédure de sélection</w:t>
      </w:r>
      <w:bookmarkEnd w:id="833"/>
      <w:bookmarkEnd w:id="834"/>
      <w:bookmarkEnd w:id="835"/>
      <w:bookmarkEnd w:id="837"/>
      <w:bookmarkEnd w:id="838"/>
      <w:bookmarkEnd w:id="839"/>
      <w:bookmarkEnd w:id="836"/>
    </w:p>
    <w:p w14:paraId="2DFF33B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sélection de l’État membre repose exclusivement sur les propositions écrites. Après réception et vérification administrative des propositions (voir le point 2.4.2.1) et leur évaluation préliminaire (voir le point 2.4.2.2), l’administration contractante convoque et préside une réunion de sélection à laquelle est invité le CP du bénéficiaire, tout fonctionnaire de l’administration contractante à même de contribuer à une évaluation technique complète et la délégation de l’UE (lorsque celle-ci n’est pas l’administration contractante et si cela est </w:t>
      </w:r>
      <w:r>
        <w:rPr>
          <w:rFonts w:ascii="Times New Roman" w:hAnsi="Times New Roman"/>
          <w:color w:val="000000"/>
          <w:sz w:val="24"/>
        </w:rPr>
        <w:lastRenderedPageBreak/>
        <w:t>approprié). Le PCN du bénéficiaire peut également être invité. La réunion de sélection a lieu au plus tard deux semaines après la date limite de soumission des propositions.</w:t>
      </w:r>
    </w:p>
    <w:p w14:paraId="3270C03D"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Immédiatement après réception des propositions écrites, les représentants de l’administration bénéficiaire participant à la procédure de sélection sont informés que des copies imprimées sont disponibles pour examen. Les propositions ne peuvent être consultées en dehors des locaux de l’administration contractante.</w:t>
      </w:r>
    </w:p>
    <w:p w14:paraId="2A8BB130" w14:textId="6FCDA7DA" w:rsidR="00D0198E" w:rsidRPr="005107DF" w:rsidRDefault="003F39BD"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Comme pour le </w:t>
      </w:r>
      <w:r>
        <w:rPr>
          <w:rFonts w:ascii="Times New Roman" w:hAnsi="Times New Roman"/>
          <w:color w:val="000000"/>
          <w:sz w:val="24"/>
        </w:rPr>
        <w:t>jumelage standard</w:t>
      </w:r>
      <w:r>
        <w:rPr>
          <w:rFonts w:ascii="Times New Roman" w:hAnsi="Times New Roman"/>
          <w:sz w:val="24"/>
        </w:rPr>
        <w:t>, l’avis de l’administration bénéficiaire, qu’elle émet en tenant compte du principe de propriété, est essentiel dans l’évaluation des propositions écrites et la décision doit être prise par consensus par le comité de sélection. Conformément au point 1.1, la délégation de l’UE peut interrompre la procédure à tout moment.</w:t>
      </w:r>
    </w:p>
    <w:p w14:paraId="4C194DC9" w14:textId="77777777" w:rsidR="00D0198E" w:rsidRPr="00A825E9" w:rsidRDefault="00D0198E" w:rsidP="008E66EE">
      <w:pPr>
        <w:spacing w:after="240" w:line="240" w:lineRule="auto"/>
        <w:jc w:val="both"/>
        <w:rPr>
          <w:rFonts w:ascii="Times New Roman" w:eastAsia="Times New Roman" w:hAnsi="Times New Roman" w:cs="Times New Roman"/>
          <w:i/>
          <w:color w:val="000000"/>
          <w:sz w:val="24"/>
          <w:szCs w:val="24"/>
        </w:rPr>
      </w:pPr>
      <w:r>
        <w:rPr>
          <w:rFonts w:ascii="Times New Roman" w:hAnsi="Times New Roman"/>
          <w:color w:val="000000"/>
          <w:sz w:val="24"/>
        </w:rPr>
        <w:t>L’administration contractante notifie les résultats de la réunion de sélection aux États membres ayant soumis les propositions au plus tard deux semaines après la clôture de la réunion. La notification à l’État membre sélectionné (voir le point 2.4.3) indique également la date de début de la mise en œuvre, qui coïncide en principe avec le début de la première activité. Aucune activité ne peut être entreprise avant la signature du contrat.</w:t>
      </w:r>
    </w:p>
    <w:p w14:paraId="01C9FF93" w14:textId="77777777" w:rsidR="00D0198E" w:rsidRPr="005107DF" w:rsidRDefault="00D0198E" w:rsidP="007338F0">
      <w:pPr>
        <w:pStyle w:val="Heading2"/>
      </w:pPr>
      <w:bookmarkStart w:id="840" w:name="_Toc58128613"/>
      <w:bookmarkStart w:id="841" w:name="_Toc442374794"/>
      <w:bookmarkStart w:id="842" w:name="_Toc464459980"/>
      <w:bookmarkStart w:id="843" w:name="_Toc476063353"/>
      <w:bookmarkStart w:id="844" w:name="_Toc476067835"/>
      <w:bookmarkStart w:id="845" w:name="_Toc517434456"/>
      <w:bookmarkStart w:id="846" w:name="_Toc2861019"/>
      <w:r>
        <w:t xml:space="preserve">8.4 Contrat et </w:t>
      </w:r>
      <w:bookmarkEnd w:id="840"/>
      <w:bookmarkEnd w:id="841"/>
      <w:bookmarkEnd w:id="842"/>
      <w:bookmarkEnd w:id="843"/>
      <w:bookmarkEnd w:id="844"/>
      <w:r>
        <w:t>mise en œuvre</w:t>
      </w:r>
      <w:bookmarkEnd w:id="845"/>
      <w:bookmarkEnd w:id="846"/>
    </w:p>
    <w:p w14:paraId="3D5E5EE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bookmarkStart w:id="847" w:name="_Toc58128614"/>
      <w:bookmarkStart w:id="848" w:name="_Toc442374795"/>
      <w:r>
        <w:rPr>
          <w:rFonts w:ascii="Times New Roman" w:hAnsi="Times New Roman"/>
          <w:color w:val="000000"/>
          <w:sz w:val="24"/>
        </w:rPr>
        <w:t xml:space="preserve">Un </w:t>
      </w:r>
      <w:bookmarkEnd w:id="847"/>
      <w:bookmarkEnd w:id="848"/>
      <w:r>
        <w:rPr>
          <w:rFonts w:ascii="Times New Roman" w:hAnsi="Times New Roman"/>
          <w:color w:val="000000"/>
          <w:sz w:val="24"/>
        </w:rPr>
        <w:t>contrat de subvention de jumelage léger comporte les mêmes annexes que le contrat de subvention de jumelage standard (voir la section 3). Le modèle de contrat de subvention de jumelage léger joint au présent manuel indique les dispositions spécifiques au jumelage léger. Étant donné que le jumelage léger n’autorise pas la création de consortiums d’États membres, il n’y a pas d’annexe A8.</w:t>
      </w:r>
    </w:p>
    <w:p w14:paraId="686C909A" w14:textId="6B45A1DA"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L’administration bénéficiaire doit mettre gratuitement à disposition les infrastructures nécessaires (bureaux, équipements destinés aux experts de l’État membre, etc.). Il s’agira de la contribution du bénéficiaire au projet de jumelage. </w:t>
      </w:r>
    </w:p>
    <w:p w14:paraId="27F44102" w14:textId="77777777" w:rsidR="00D0198E" w:rsidRPr="005107DF" w:rsidRDefault="00D0198E" w:rsidP="007338F0">
      <w:pPr>
        <w:pStyle w:val="Heading2"/>
      </w:pPr>
      <w:bookmarkStart w:id="849" w:name="_Toc464459981"/>
      <w:bookmarkStart w:id="850" w:name="_Toc476063354"/>
      <w:bookmarkStart w:id="851" w:name="_Toc476067836"/>
      <w:bookmarkStart w:id="852" w:name="_Toc517434457"/>
      <w:bookmarkStart w:id="853" w:name="_Toc2861020"/>
      <w:bookmarkStart w:id="854" w:name="_Toc77398658"/>
      <w:bookmarkStart w:id="855" w:name="_Toc442374800"/>
      <w:r>
        <w:t>8.5 Établissement de rapports et paiements</w:t>
      </w:r>
      <w:bookmarkEnd w:id="849"/>
      <w:bookmarkEnd w:id="850"/>
      <w:bookmarkEnd w:id="851"/>
      <w:bookmarkEnd w:id="852"/>
      <w:bookmarkEnd w:id="853"/>
    </w:p>
    <w:bookmarkEnd w:id="854"/>
    <w:bookmarkEnd w:id="855"/>
    <w:p w14:paraId="606EB421" w14:textId="17431398"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CP de l’État membre soumet au moins à l’administration contractante un rapport de démarrage couvrant les deux premiers mois de mise en œuvre du contrat de jumelage léger (soumis au cours du troisième mois) ainsi qu’un rapport final.</w:t>
      </w:r>
    </w:p>
    <w:p w14:paraId="12013DF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rapports doivent être avalisés et contresignés par l’administration bénéficiaire qui peut formuler des remarques supplémentaires. </w:t>
      </w:r>
      <w:r>
        <w:rPr>
          <w:rFonts w:ascii="Times New Roman" w:hAnsi="Times New Roman"/>
          <w:sz w:val="24"/>
        </w:rPr>
        <w:t xml:space="preserve">Les modèles de rapports sont les mêmes que pour les projets de jumelage standard. </w:t>
      </w:r>
      <w:r>
        <w:rPr>
          <w:rFonts w:ascii="Times New Roman" w:hAnsi="Times New Roman"/>
          <w:color w:val="000000"/>
          <w:sz w:val="24"/>
        </w:rPr>
        <w:t>Les rapports doivent être transmis de la façon décrite au point 5.5 du présent manuel de jumelage.</w:t>
      </w:r>
    </w:p>
    <w:p w14:paraId="54B3F13E"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z w:val="24"/>
        </w:rPr>
        <w:t xml:space="preserve">Les paiements sont effectués selon l’option 1 de l’article 15.1 des conditions générales et conformément aux dispositions du </w:t>
      </w:r>
      <w:r>
        <w:rPr>
          <w:rFonts w:ascii="Times New Roman" w:hAnsi="Times New Roman"/>
          <w:color w:val="000000"/>
          <w:sz w:val="24"/>
        </w:rPr>
        <w:t>contrat de subvention de jumelage léger</w:t>
      </w:r>
      <w:r>
        <w:rPr>
          <w:rFonts w:ascii="Times New Roman" w:hAnsi="Times New Roman"/>
          <w:sz w:val="24"/>
        </w:rPr>
        <w:t xml:space="preserve">. </w:t>
      </w:r>
      <w:r>
        <w:rPr>
          <w:rFonts w:ascii="Times New Roman" w:hAnsi="Times New Roman"/>
          <w:color w:val="000000"/>
          <w:sz w:val="24"/>
        </w:rPr>
        <w:t>Ils sont effectués conformément à la procédure standard applicable au jumelage standard (voir le point 7.2) à la fin du contrat de subvention de jumelage léger sur présentation, par l’État membre, du rapport final et de la demande de paiement final dans un délai maximal d’un mois après la fin du projet.</w:t>
      </w:r>
    </w:p>
    <w:p w14:paraId="163ACBAA"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lastRenderedPageBreak/>
        <w:t>Les dispositions du point 7.1 relatives à la délégation de la réception des paiements à d’autres entités s’appliquent.</w:t>
      </w:r>
    </w:p>
    <w:p w14:paraId="68A40110" w14:textId="77777777" w:rsidR="00D0198E" w:rsidRPr="005107DF" w:rsidRDefault="00D0198E" w:rsidP="007338F0">
      <w:pPr>
        <w:pStyle w:val="Heading2"/>
      </w:pPr>
      <w:bookmarkStart w:id="856" w:name="_Toc58128621"/>
      <w:bookmarkStart w:id="857" w:name="_Toc442374804"/>
      <w:bookmarkStart w:id="858" w:name="_Toc464459982"/>
      <w:bookmarkStart w:id="859" w:name="_Toc476063355"/>
      <w:bookmarkStart w:id="860" w:name="_Toc476067837"/>
      <w:bookmarkStart w:id="861" w:name="_Toc517434458"/>
      <w:bookmarkStart w:id="862" w:name="_Toc2861021"/>
      <w:r>
        <w:t>8.6 Modification du plan de travail du</w:t>
      </w:r>
      <w:bookmarkEnd w:id="856"/>
      <w:bookmarkEnd w:id="857"/>
      <w:bookmarkEnd w:id="858"/>
      <w:bookmarkEnd w:id="859"/>
      <w:bookmarkEnd w:id="860"/>
      <w:r>
        <w:t xml:space="preserve"> jumelage léger</w:t>
      </w:r>
      <w:bookmarkEnd w:id="861"/>
      <w:bookmarkEnd w:id="862"/>
    </w:p>
    <w:p w14:paraId="757188B8" w14:textId="67837A7C" w:rsidR="00832F98" w:rsidRDefault="00D0198E" w:rsidP="000D1F2A">
      <w:pPr>
        <w:numPr>
          <w:ilvl w:val="12"/>
          <w:numId w:val="0"/>
        </w:numPr>
        <w:spacing w:after="0" w:line="240" w:lineRule="auto"/>
        <w:jc w:val="both"/>
        <w:rPr>
          <w:rFonts w:ascii="Times New Roman" w:hAnsi="Times New Roman"/>
          <w:color w:val="000000"/>
          <w:sz w:val="24"/>
        </w:rPr>
      </w:pPr>
      <w:r>
        <w:rPr>
          <w:rFonts w:ascii="Times New Roman" w:hAnsi="Times New Roman"/>
          <w:color w:val="000000"/>
          <w:sz w:val="24"/>
        </w:rPr>
        <w:t>Si nécessaire, les deux chefs de projet peuvent convenir d’adapter le plan de travail durant la période de mise en œuvre. Ils préparent et signent alors une lettre d’accompagnement (voir l’annexe C13) qui présente clairement les motifs et le contenu des modifications. Le CP de l’État membre veille à ce qu’une copie sur support papier ou électronique de la lettre d’accompagnement signée soit transmise à l’administration contractante et à la délégation de l’UE (lorsque celle-ci n’est pas l’administration contractante) le jour de la signature. Les modifications prennent effet le jour même.</w:t>
      </w:r>
    </w:p>
    <w:p w14:paraId="39FED245" w14:textId="77777777" w:rsidR="00832F98" w:rsidRDefault="00832F98">
      <w:pPr>
        <w:rPr>
          <w:rFonts w:ascii="Times New Roman" w:hAnsi="Times New Roman"/>
          <w:color w:val="000000"/>
          <w:sz w:val="24"/>
        </w:rPr>
      </w:pPr>
      <w:r>
        <w:rPr>
          <w:rFonts w:ascii="Times New Roman" w:hAnsi="Times New Roman"/>
          <w:color w:val="000000"/>
          <w:sz w:val="24"/>
        </w:rPr>
        <w:br w:type="page"/>
      </w:r>
    </w:p>
    <w:p w14:paraId="58E294F5" w14:textId="77777777" w:rsidR="00832F98" w:rsidRPr="005107DF" w:rsidRDefault="00832F98">
      <w:pPr>
        <w:rPr>
          <w:rFonts w:ascii="Times New Roman" w:hAnsi="Times New Roman" w:cs="Times New Roman"/>
        </w:rPr>
      </w:pPr>
    </w:p>
    <w:p w14:paraId="07795E5D" w14:textId="77777777" w:rsidR="00832F98" w:rsidRPr="005107DF" w:rsidRDefault="00832F98" w:rsidP="007338F0">
      <w:pPr>
        <w:pStyle w:val="Heading1"/>
        <w:pBdr>
          <w:bottom w:val="single" w:sz="4" w:space="1" w:color="auto"/>
        </w:pBdr>
        <w:spacing w:before="0" w:after="480"/>
        <w:ind w:left="357" w:hanging="357"/>
        <w:rPr>
          <w:color w:val="000000"/>
          <w:sz w:val="24"/>
          <w:szCs w:val="24"/>
        </w:rPr>
      </w:pPr>
      <w:bookmarkStart w:id="863" w:name="_Toc517434459"/>
      <w:bookmarkStart w:id="864" w:name="_Toc2861022"/>
      <w:r>
        <w:t>ANNEXES A: Annexes au contrat de subvention de jumelage</w:t>
      </w:r>
      <w:bookmarkEnd w:id="863"/>
      <w:bookmarkEnd w:id="864"/>
    </w:p>
    <w:p w14:paraId="5625C3B7"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sz w:val="24"/>
          <w:szCs w:val="24"/>
        </w:rPr>
      </w:pPr>
      <w:r>
        <w:rPr>
          <w:rFonts w:ascii="Times New Roman" w:hAnsi="Times New Roman"/>
          <w:b/>
          <w:sz w:val="24"/>
        </w:rPr>
        <w:t>ANNEXE A</w:t>
      </w:r>
      <w:r>
        <w:rPr>
          <w:rFonts w:ascii="Times New Roman" w:hAnsi="Times New Roman"/>
          <w:sz w:val="24"/>
        </w:rPr>
        <w:t>:</w:t>
      </w:r>
      <w:r>
        <w:tab/>
      </w:r>
      <w:r>
        <w:rPr>
          <w:rFonts w:ascii="Times New Roman" w:hAnsi="Times New Roman"/>
          <w:sz w:val="24"/>
        </w:rPr>
        <w:t>Contrat de subvention de jumelage - Conditions particulières</w:t>
      </w:r>
    </w:p>
    <w:p w14:paraId="01D22A96"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b/>
          <w:sz w:val="24"/>
          <w:szCs w:val="24"/>
        </w:rPr>
      </w:pPr>
    </w:p>
    <w:p w14:paraId="76B86D91" w14:textId="77777777" w:rsidR="00832F98"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color w:val="000000"/>
          <w:sz w:val="24"/>
          <w:szCs w:val="24"/>
        </w:rPr>
      </w:pPr>
      <w:r>
        <w:rPr>
          <w:rFonts w:ascii="Times New Roman" w:hAnsi="Times New Roman"/>
          <w:b/>
          <w:sz w:val="24"/>
        </w:rPr>
        <w:t>ANNEXE A1</w:t>
      </w:r>
      <w:r>
        <w:rPr>
          <w:rFonts w:ascii="Times New Roman" w:hAnsi="Times New Roman"/>
          <w:sz w:val="24"/>
        </w:rPr>
        <w:t>:</w:t>
      </w:r>
      <w:r>
        <w:tab/>
      </w:r>
      <w:r>
        <w:rPr>
          <w:rFonts w:ascii="Times New Roman" w:hAnsi="Times New Roman"/>
          <w:sz w:val="24"/>
        </w:rPr>
        <w:t>Description de l’action (fiche de projet, proposition de l’État membre ainsi que, ultérieurement, pour le jumelage standard, plan de travail évolutif, CV des experts de courte durée)</w:t>
      </w:r>
      <w:r>
        <w:rPr>
          <w:rFonts w:ascii="Times New Roman" w:hAnsi="Times New Roman"/>
          <w:color w:val="000000"/>
          <w:sz w:val="24"/>
        </w:rPr>
        <w:t xml:space="preserve"> </w:t>
      </w:r>
    </w:p>
    <w:p w14:paraId="1C5052E9" w14:textId="77777777" w:rsidR="00832F98"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b/>
          <w:sz w:val="24"/>
          <w:szCs w:val="24"/>
        </w:rPr>
      </w:pPr>
    </w:p>
    <w:p w14:paraId="5089692B"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b/>
          <w:snapToGrid w:val="0"/>
          <w:sz w:val="24"/>
          <w:szCs w:val="24"/>
        </w:rPr>
      </w:pPr>
      <w:r>
        <w:rPr>
          <w:rFonts w:ascii="Times New Roman" w:hAnsi="Times New Roman"/>
          <w:b/>
          <w:sz w:val="24"/>
        </w:rPr>
        <w:t>ANNEXE A2</w:t>
      </w:r>
      <w:r>
        <w:rPr>
          <w:rFonts w:ascii="Times New Roman" w:hAnsi="Times New Roman"/>
          <w:sz w:val="24"/>
        </w:rPr>
        <w:t>:</w:t>
      </w:r>
      <w:r>
        <w:tab/>
      </w:r>
      <w:r>
        <w:rPr>
          <w:rFonts w:ascii="Times New Roman" w:hAnsi="Times New Roman"/>
          <w:sz w:val="24"/>
        </w:rPr>
        <w:t>Conditions générales applicables aux contrats de subvention conclus dans le cadre des actions extérieures de l’Union européenne</w:t>
      </w:r>
      <w:r>
        <w:tab/>
      </w:r>
    </w:p>
    <w:p w14:paraId="42947D20"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sz w:val="24"/>
          <w:szCs w:val="24"/>
        </w:rPr>
      </w:pPr>
    </w:p>
    <w:p w14:paraId="5590FAAF" w14:textId="77777777" w:rsidR="00832F98" w:rsidRPr="005107DF" w:rsidRDefault="00832F98" w:rsidP="00651BA4">
      <w:pPr>
        <w:ind w:left="1843" w:hanging="1843"/>
        <w:jc w:val="both"/>
        <w:rPr>
          <w:rFonts w:ascii="Times New Roman" w:hAnsi="Times New Roman" w:cs="Times New Roman"/>
        </w:rPr>
      </w:pPr>
      <w:r>
        <w:rPr>
          <w:rFonts w:ascii="Times New Roman" w:hAnsi="Times New Roman"/>
          <w:b/>
          <w:sz w:val="24"/>
        </w:rPr>
        <w:t>ANNEXE A3</w:t>
      </w:r>
      <w:r>
        <w:rPr>
          <w:rFonts w:ascii="Times New Roman" w:hAnsi="Times New Roman"/>
          <w:sz w:val="24"/>
        </w:rPr>
        <w:t>:</w:t>
      </w:r>
      <w:r>
        <w:tab/>
      </w:r>
      <w:r>
        <w:rPr>
          <w:rFonts w:ascii="Times New Roman" w:hAnsi="Times New Roman"/>
          <w:color w:val="000000"/>
          <w:sz w:val="24"/>
        </w:rPr>
        <w:t xml:space="preserve">Budget de l’action </w:t>
      </w:r>
      <w:r>
        <w:rPr>
          <w:rFonts w:ascii="Times New Roman" w:hAnsi="Times New Roman"/>
          <w:sz w:val="24"/>
        </w:rPr>
        <w:t>(ainsi que, ultérieurement, pour le jumelage standard, les budgets détaillés correspondant aux plans de travail évolutifs)</w:t>
      </w:r>
    </w:p>
    <w:p w14:paraId="35EDDF0C"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sz w:val="24"/>
          <w:szCs w:val="24"/>
        </w:rPr>
      </w:pPr>
      <w:r>
        <w:tab/>
      </w:r>
    </w:p>
    <w:p w14:paraId="0192902D" w14:textId="77777777" w:rsidR="00832F98" w:rsidRPr="005107DF" w:rsidRDefault="00832F98" w:rsidP="00651BA4">
      <w:pPr>
        <w:tabs>
          <w:tab w:val="left" w:pos="1843"/>
        </w:tabs>
        <w:spacing w:after="0" w:line="240" w:lineRule="auto"/>
        <w:jc w:val="both"/>
        <w:rPr>
          <w:rFonts w:ascii="Times New Roman" w:eastAsia="Times New Roman" w:hAnsi="Times New Roman" w:cs="Times New Roman"/>
          <w:color w:val="000000"/>
          <w:sz w:val="24"/>
          <w:szCs w:val="24"/>
        </w:rPr>
      </w:pPr>
      <w:r>
        <w:rPr>
          <w:rFonts w:ascii="Times New Roman" w:hAnsi="Times New Roman"/>
          <w:b/>
          <w:sz w:val="24"/>
        </w:rPr>
        <w:t>ANNEXE A4</w:t>
      </w:r>
      <w:r>
        <w:rPr>
          <w:rFonts w:ascii="Times New Roman" w:hAnsi="Times New Roman"/>
          <w:sz w:val="24"/>
        </w:rPr>
        <w:t>:</w:t>
      </w:r>
      <w:r>
        <w:tab/>
      </w:r>
      <w:r>
        <w:rPr>
          <w:rFonts w:ascii="Times New Roman" w:hAnsi="Times New Roman"/>
          <w:color w:val="000000"/>
          <w:sz w:val="24"/>
        </w:rPr>
        <w:t>Passation de marchés par les bénéficiaires de subventions</w:t>
      </w:r>
    </w:p>
    <w:p w14:paraId="6EB1C664"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sz w:val="24"/>
          <w:szCs w:val="24"/>
        </w:rPr>
      </w:pPr>
      <w:r>
        <w:tab/>
      </w:r>
    </w:p>
    <w:p w14:paraId="3514E570"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sz w:val="24"/>
          <w:szCs w:val="24"/>
        </w:rPr>
      </w:pPr>
    </w:p>
    <w:p w14:paraId="7DB2C97C"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sz w:val="24"/>
          <w:szCs w:val="24"/>
        </w:rPr>
      </w:pPr>
      <w:r>
        <w:rPr>
          <w:rFonts w:ascii="Times New Roman" w:hAnsi="Times New Roman"/>
          <w:b/>
          <w:sz w:val="24"/>
        </w:rPr>
        <w:t>ANNEXE A5</w:t>
      </w:r>
      <w:r>
        <w:rPr>
          <w:rFonts w:ascii="Times New Roman" w:hAnsi="Times New Roman"/>
          <w:sz w:val="24"/>
        </w:rPr>
        <w:t>:</w:t>
      </w:r>
      <w:r>
        <w:tab/>
      </w:r>
      <w:r>
        <w:rPr>
          <w:rFonts w:ascii="Times New Roman" w:hAnsi="Times New Roman"/>
          <w:color w:val="000000"/>
          <w:sz w:val="24"/>
        </w:rPr>
        <w:t>Demande de paiement pour le contrat de subvention de jumelage, y compris le signalétique financier et la fiche «signalétique entité légale»</w:t>
      </w:r>
      <w:r>
        <w:rPr>
          <w:rFonts w:ascii="Times New Roman" w:hAnsi="Times New Roman"/>
          <w:sz w:val="24"/>
        </w:rPr>
        <w:t xml:space="preserve"> </w:t>
      </w:r>
    </w:p>
    <w:p w14:paraId="4EE8850B"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sz w:val="24"/>
          <w:szCs w:val="24"/>
        </w:rPr>
      </w:pPr>
    </w:p>
    <w:p w14:paraId="4944DF85"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sz w:val="24"/>
          <w:szCs w:val="24"/>
        </w:rPr>
      </w:pPr>
      <w:r>
        <w:rPr>
          <w:rFonts w:ascii="Times New Roman" w:hAnsi="Times New Roman"/>
          <w:b/>
          <w:sz w:val="24"/>
        </w:rPr>
        <w:t>ANNEXE A6</w:t>
      </w:r>
      <w:r>
        <w:rPr>
          <w:rFonts w:ascii="Times New Roman" w:hAnsi="Times New Roman"/>
          <w:sz w:val="24"/>
        </w:rPr>
        <w:t>:</w:t>
      </w:r>
      <w:r>
        <w:tab/>
      </w:r>
      <w:r>
        <w:rPr>
          <w:rFonts w:ascii="Times New Roman" w:hAnsi="Times New Roman"/>
          <w:color w:val="000000"/>
          <w:sz w:val="24"/>
        </w:rPr>
        <w:t>Termes de référence pour une vérification des dépenses dans le cadre d’un contrat de subvention de jumelage</w:t>
      </w:r>
      <w:r>
        <w:tab/>
      </w:r>
    </w:p>
    <w:p w14:paraId="723FDA10"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b/>
          <w:sz w:val="24"/>
          <w:szCs w:val="24"/>
        </w:rPr>
      </w:pPr>
    </w:p>
    <w:p w14:paraId="169D9578"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sz w:val="24"/>
          <w:szCs w:val="24"/>
        </w:rPr>
      </w:pPr>
      <w:r>
        <w:rPr>
          <w:rFonts w:ascii="Times New Roman" w:hAnsi="Times New Roman"/>
          <w:b/>
          <w:sz w:val="24"/>
        </w:rPr>
        <w:t>ANNEXE A7</w:t>
      </w:r>
      <w:r>
        <w:rPr>
          <w:rFonts w:ascii="Times New Roman" w:hAnsi="Times New Roman"/>
          <w:sz w:val="24"/>
        </w:rPr>
        <w:t>:</w:t>
      </w:r>
      <w:r>
        <w:tab/>
      </w:r>
      <w:r>
        <w:rPr>
          <w:rFonts w:ascii="Times New Roman" w:hAnsi="Times New Roman"/>
          <w:sz w:val="24"/>
        </w:rPr>
        <w:t>Annexe financière</w:t>
      </w:r>
      <w:r>
        <w:tab/>
      </w:r>
    </w:p>
    <w:p w14:paraId="367BE799"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b/>
          <w:sz w:val="24"/>
          <w:szCs w:val="24"/>
        </w:rPr>
      </w:pPr>
    </w:p>
    <w:p w14:paraId="4A70AB9A"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b/>
          <w:sz w:val="24"/>
          <w:szCs w:val="24"/>
        </w:rPr>
      </w:pPr>
      <w:r>
        <w:rPr>
          <w:rFonts w:ascii="Times New Roman" w:hAnsi="Times New Roman"/>
          <w:b/>
          <w:sz w:val="24"/>
        </w:rPr>
        <w:t>ANNEXE A8</w:t>
      </w:r>
      <w:r>
        <w:rPr>
          <w:rFonts w:ascii="Times New Roman" w:hAnsi="Times New Roman"/>
          <w:sz w:val="24"/>
        </w:rPr>
        <w:t>:</w:t>
      </w:r>
      <w:r>
        <w:tab/>
      </w:r>
      <w:r>
        <w:rPr>
          <w:rFonts w:ascii="Times New Roman" w:hAnsi="Times New Roman"/>
          <w:sz w:val="24"/>
        </w:rPr>
        <w:t>Mandat (en cas de constitution d’un consortium d’États membres partenaires)</w:t>
      </w:r>
      <w:r>
        <w:tab/>
      </w:r>
    </w:p>
    <w:p w14:paraId="5F7416AC"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b/>
          <w:sz w:val="24"/>
          <w:szCs w:val="24"/>
        </w:rPr>
      </w:pPr>
    </w:p>
    <w:p w14:paraId="0396BBA0"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color w:val="000000"/>
          <w:sz w:val="24"/>
          <w:szCs w:val="24"/>
        </w:rPr>
      </w:pPr>
      <w:r>
        <w:rPr>
          <w:rFonts w:ascii="Times New Roman" w:hAnsi="Times New Roman"/>
          <w:b/>
          <w:sz w:val="24"/>
        </w:rPr>
        <w:t>ANNEXE A9</w:t>
      </w:r>
      <w:r>
        <w:rPr>
          <w:rFonts w:ascii="Times New Roman" w:hAnsi="Times New Roman"/>
          <w:sz w:val="24"/>
        </w:rPr>
        <w:t>:</w:t>
      </w:r>
      <w:r>
        <w:tab/>
      </w:r>
      <w:r>
        <w:rPr>
          <w:rFonts w:ascii="Times New Roman" w:hAnsi="Times New Roman"/>
          <w:color w:val="000000"/>
          <w:sz w:val="24"/>
        </w:rPr>
        <w:t xml:space="preserve">Curriculum vitæ et déclaration de disponibilité du CRJ  </w:t>
      </w:r>
    </w:p>
    <w:p w14:paraId="48A89542" w14:textId="77777777" w:rsidR="00832F98" w:rsidRPr="005107DF" w:rsidRDefault="00832F98">
      <w:pPr>
        <w:rPr>
          <w:rFonts w:ascii="Times New Roman" w:eastAsia="Times New Roman" w:hAnsi="Times New Roman" w:cs="Times New Roman"/>
          <w:b/>
          <w:caps/>
          <w:color w:val="000000"/>
          <w:sz w:val="36"/>
          <w:szCs w:val="36"/>
        </w:rPr>
      </w:pPr>
    </w:p>
    <w:p w14:paraId="0672DE4C" w14:textId="77777777" w:rsidR="00832F98" w:rsidRPr="005107DF" w:rsidRDefault="00832F98">
      <w:pPr>
        <w:rPr>
          <w:rFonts w:ascii="Times New Roman" w:eastAsia="Times New Roman" w:hAnsi="Times New Roman" w:cs="Times New Roman"/>
          <w:b/>
          <w:caps/>
          <w:color w:val="000000"/>
          <w:sz w:val="36"/>
          <w:szCs w:val="36"/>
        </w:rPr>
      </w:pPr>
      <w:r>
        <w:br w:type="page"/>
      </w:r>
    </w:p>
    <w:p w14:paraId="7FC6AA80"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spacing w:before="0"/>
        <w:ind w:left="1077" w:hanging="1077"/>
        <w:rPr>
          <w:rFonts w:eastAsia="Times New Roman"/>
          <w:b/>
          <w:snapToGrid w:val="0"/>
          <w:spacing w:val="-2"/>
          <w:sz w:val="28"/>
          <w:szCs w:val="28"/>
          <w:u w:val="single"/>
        </w:rPr>
      </w:pPr>
      <w:bookmarkStart w:id="865" w:name="_Toc517434460"/>
      <w:bookmarkStart w:id="866" w:name="_Toc2861023"/>
      <w:r>
        <w:rPr>
          <w:sz w:val="32"/>
        </w:rPr>
        <w:lastRenderedPageBreak/>
        <w:t>ANNEXE A: Contrat de subvention de jumelage - Conditions particulières</w:t>
      </w:r>
      <w:bookmarkEnd w:id="865"/>
      <w:bookmarkEnd w:id="866"/>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tblGrid>
      <w:tr w:rsidR="00832F98" w:rsidRPr="005107DF" w14:paraId="0FABAC6A" w14:textId="77777777" w:rsidTr="00866A0B">
        <w:trPr>
          <w:cantSplit/>
        </w:trPr>
        <w:tc>
          <w:tcPr>
            <w:tcW w:w="3544" w:type="dxa"/>
            <w:tcBorders>
              <w:left w:val="nil"/>
              <w:bottom w:val="nil"/>
              <w:right w:val="nil"/>
            </w:tcBorders>
          </w:tcPr>
          <w:p w14:paraId="0387E6BE" w14:textId="77777777" w:rsidR="00832F98" w:rsidRPr="005107DF" w:rsidRDefault="00832F98" w:rsidP="00866A0B">
            <w:pPr>
              <w:widowControl w:val="0"/>
              <w:tabs>
                <w:tab w:val="left" w:pos="-720"/>
              </w:tabs>
              <w:suppressAutoHyphens/>
              <w:spacing w:after="0" w:line="240" w:lineRule="auto"/>
              <w:rPr>
                <w:rFonts w:ascii="Times New Roman" w:eastAsia="Times New Roman" w:hAnsi="Times New Roman" w:cs="Times New Roman"/>
                <w:snapToGrid w:val="0"/>
                <w:color w:val="000000"/>
                <w:sz w:val="20"/>
                <w:szCs w:val="20"/>
              </w:rPr>
            </w:pPr>
            <w:r>
              <w:rPr>
                <w:rFonts w:ascii="Times New Roman" w:hAnsi="Times New Roman"/>
                <w:snapToGrid w:val="0"/>
                <w:color w:val="000000"/>
                <w:sz w:val="20"/>
              </w:rPr>
              <w:t>(réservé à l’administration)</w:t>
            </w:r>
          </w:p>
        </w:tc>
      </w:tr>
    </w:tbl>
    <w:p w14:paraId="48022A7C" w14:textId="77777777" w:rsidR="00832F98" w:rsidRPr="005107DF" w:rsidRDefault="00832F98" w:rsidP="00866A0B">
      <w:pPr>
        <w:widowControl w:val="0"/>
        <w:suppressAutoHyphens/>
        <w:spacing w:before="120" w:after="120" w:line="240" w:lineRule="auto"/>
        <w:rPr>
          <w:rFonts w:ascii="Times New Roman" w:eastAsia="Times New Roman" w:hAnsi="Times New Roman" w:cs="Times New Roman"/>
          <w:b/>
          <w:snapToGrid w:val="0"/>
          <w:spacing w:val="-2"/>
          <w:sz w:val="28"/>
          <w:szCs w:val="28"/>
          <w:u w:val="single"/>
        </w:rPr>
      </w:pPr>
    </w:p>
    <w:p w14:paraId="1624B7EF" w14:textId="77777777" w:rsidR="00832F98" w:rsidRPr="005107DF" w:rsidRDefault="00832F98" w:rsidP="00866A0B">
      <w:pPr>
        <w:spacing w:after="0" w:line="240" w:lineRule="auto"/>
        <w:jc w:val="center"/>
        <w:rPr>
          <w:rFonts w:ascii="Times New Roman" w:eastAsia="Times New Roman" w:hAnsi="Times New Roman" w:cs="Times New Roman"/>
          <w:color w:val="000000"/>
          <w:sz w:val="24"/>
          <w:szCs w:val="24"/>
        </w:rPr>
      </w:pPr>
      <w:r>
        <w:rPr>
          <w:rFonts w:ascii="Times New Roman" w:hAnsi="Times New Roman"/>
          <w:b/>
          <w:color w:val="000000"/>
          <w:sz w:val="24"/>
        </w:rPr>
        <w:t>CONTRAT DE SUBVENTION DE JUMELAGE</w:t>
      </w:r>
    </w:p>
    <w:p w14:paraId="19B0F9FC" w14:textId="77777777" w:rsidR="00832F98" w:rsidRPr="005107DF" w:rsidRDefault="00832F98" w:rsidP="00866A0B">
      <w:pPr>
        <w:spacing w:after="0" w:line="240" w:lineRule="auto"/>
        <w:jc w:val="center"/>
        <w:rPr>
          <w:rFonts w:ascii="Times New Roman" w:eastAsia="Times New Roman" w:hAnsi="Times New Roman" w:cs="Times New Roman"/>
          <w:color w:val="000000"/>
          <w:sz w:val="24"/>
          <w:szCs w:val="24"/>
        </w:rPr>
      </w:pPr>
      <w:r>
        <w:rPr>
          <w:rFonts w:ascii="Times New Roman" w:hAnsi="Times New Roman"/>
          <w:b/>
          <w:color w:val="000000"/>
          <w:sz w:val="24"/>
        </w:rPr>
        <w:t> [</w:t>
      </w:r>
      <w:r>
        <w:rPr>
          <w:rFonts w:ascii="Times New Roman" w:hAnsi="Times New Roman"/>
          <w:color w:val="000000"/>
          <w:sz w:val="24"/>
        </w:rPr>
        <w:t>Numéro d’identification du contrat de subvention de jumelage</w:t>
      </w:r>
      <w:r>
        <w:rPr>
          <w:rFonts w:ascii="Times New Roman" w:hAnsi="Times New Roman"/>
          <w:b/>
          <w:color w:val="000000"/>
          <w:sz w:val="24"/>
        </w:rPr>
        <w:t>]</w:t>
      </w:r>
    </w:p>
    <w:p w14:paraId="3572E7D4"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r>
        <w:rPr>
          <w:rFonts w:ascii="Times New Roman" w:hAnsi="Times New Roman"/>
          <w:color w:val="000000"/>
        </w:rPr>
        <w:t> </w:t>
      </w:r>
    </w:p>
    <w:p w14:paraId="14347B19" w14:textId="77777777" w:rsidR="00832F98" w:rsidRPr="005107DF" w:rsidRDefault="00832F98" w:rsidP="00866A0B">
      <w:pPr>
        <w:spacing w:after="0" w:line="240" w:lineRule="auto"/>
        <w:rPr>
          <w:rFonts w:ascii="Times New Roman" w:eastAsia="Times New Roman" w:hAnsi="Times New Roman" w:cs="Times New Roman"/>
          <w:color w:val="000000"/>
          <w:szCs w:val="24"/>
        </w:rPr>
      </w:pPr>
      <w:r>
        <w:rPr>
          <w:rFonts w:ascii="Times New Roman" w:hAnsi="Times New Roman"/>
          <w:color w:val="000000"/>
        </w:rPr>
        <w:t> </w:t>
      </w:r>
    </w:p>
    <w:p w14:paraId="3C6321B5" w14:textId="77777777" w:rsidR="00832F98" w:rsidRPr="005107DF" w:rsidRDefault="00832F98" w:rsidP="00651BA4">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rPr>
        <w:t>[L’Union européenne, représentée par la Commission européenne], ou [dénomination complète et adresse de l’administration contractante] du pays bénéficiaire</w:t>
      </w:r>
      <w:r>
        <w:rPr>
          <w:rFonts w:ascii="Times New Roman" w:hAnsi="Times New Roman"/>
          <w:color w:val="000000"/>
          <w:vertAlign w:val="superscript"/>
        </w:rPr>
        <w:footnoteReference w:id="20"/>
      </w:r>
      <w:r>
        <w:rPr>
          <w:rFonts w:ascii="Times New Roman" w:hAnsi="Times New Roman"/>
          <w:color w:val="000000"/>
        </w:rPr>
        <w:t xml:space="preserve"> (ci-après l’«administration contractante»)</w:t>
      </w:r>
    </w:p>
    <w:p w14:paraId="4210FC5D" w14:textId="77777777" w:rsidR="00832F98" w:rsidRPr="005107DF" w:rsidRDefault="00832F98" w:rsidP="00866A0B">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rPr>
        <w:t>d’une part,</w:t>
      </w:r>
    </w:p>
    <w:p w14:paraId="20AE4CEF"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r>
        <w:rPr>
          <w:rFonts w:ascii="Times New Roman" w:hAnsi="Times New Roman"/>
          <w:color w:val="000000"/>
        </w:rPr>
        <w:t> </w:t>
      </w:r>
    </w:p>
    <w:p w14:paraId="59CA3BCC"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r>
        <w:rPr>
          <w:rFonts w:ascii="Times New Roman" w:hAnsi="Times New Roman"/>
          <w:color w:val="000000"/>
        </w:rPr>
        <w:t>et</w:t>
      </w:r>
    </w:p>
    <w:p w14:paraId="3E64EC2F" w14:textId="77777777" w:rsidR="00832F98" w:rsidRPr="005107DF" w:rsidRDefault="00832F98" w:rsidP="00651BA4">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rPr>
        <w:t> </w:t>
      </w:r>
    </w:p>
    <w:p w14:paraId="40C59034" w14:textId="77777777" w:rsidR="00832F98" w:rsidRPr="005107DF" w:rsidRDefault="00832F98" w:rsidP="00651BA4">
      <w:pPr>
        <w:spacing w:after="0" w:line="240" w:lineRule="auto"/>
        <w:jc w:val="both"/>
        <w:rPr>
          <w:rFonts w:ascii="Times New Roman" w:eastAsia="Times New Roman" w:hAnsi="Times New Roman" w:cs="Times New Roman"/>
          <w:i/>
          <w:color w:val="000000"/>
          <w:szCs w:val="24"/>
        </w:rPr>
      </w:pPr>
      <w:r>
        <w:rPr>
          <w:rFonts w:ascii="Times New Roman" w:hAnsi="Times New Roman"/>
          <w:i/>
          <w:color w:val="000000"/>
        </w:rPr>
        <w:t>[Dénomination complète officielle de l’État membre [principal]</w:t>
      </w:r>
      <w:r>
        <w:rPr>
          <w:rFonts w:ascii="Times New Roman" w:hAnsi="Times New Roman"/>
          <w:i/>
          <w:color w:val="000000"/>
          <w:vertAlign w:val="superscript"/>
        </w:rPr>
        <w:footnoteReference w:id="21"/>
      </w:r>
      <w:r>
        <w:rPr>
          <w:rFonts w:ascii="Times New Roman" w:hAnsi="Times New Roman"/>
          <w:i/>
          <w:color w:val="000000"/>
        </w:rPr>
        <w:t xml:space="preserve"> + acronyme, s’il y a lieu]</w:t>
      </w:r>
      <w:r>
        <w:t xml:space="preserve"> </w:t>
      </w:r>
      <w:r>
        <w:rPr>
          <w:rFonts w:ascii="Times New Roman" w:hAnsi="Times New Roman"/>
          <w:color w:val="000000"/>
        </w:rPr>
        <w:t>ayant son siège à</w:t>
      </w:r>
      <w:r>
        <w:rPr>
          <w:rFonts w:ascii="Times New Roman" w:hAnsi="Times New Roman"/>
          <w:i/>
          <w:color w:val="000000"/>
        </w:rPr>
        <w:t xml:space="preserve"> [adresse officielle complète]</w:t>
      </w:r>
      <w:r>
        <w:rPr>
          <w:rFonts w:ascii="Times New Roman" w:hAnsi="Times New Roman"/>
          <w:i/>
          <w:color w:val="000000"/>
          <w:vertAlign w:val="superscript"/>
        </w:rPr>
        <w:footnoteReference w:id="22"/>
      </w:r>
    </w:p>
    <w:p w14:paraId="7639FF84" w14:textId="77777777" w:rsidR="00832F98" w:rsidRPr="005107DF" w:rsidRDefault="00832F98" w:rsidP="00651BA4">
      <w:pPr>
        <w:spacing w:after="0" w:line="240" w:lineRule="auto"/>
        <w:jc w:val="both"/>
        <w:rPr>
          <w:rFonts w:ascii="Times New Roman" w:eastAsia="Times New Roman" w:hAnsi="Times New Roman" w:cs="Times New Roman"/>
          <w:i/>
          <w:color w:val="000000"/>
          <w:szCs w:val="24"/>
        </w:rPr>
      </w:pPr>
      <w:r>
        <w:rPr>
          <w:rFonts w:ascii="Times New Roman" w:hAnsi="Times New Roman"/>
          <w:color w:val="000000"/>
        </w:rPr>
        <w:t xml:space="preserve"> </w:t>
      </w:r>
      <w:r>
        <w:rPr>
          <w:rFonts w:ascii="Times New Roman" w:hAnsi="Times New Roman"/>
          <w:i/>
          <w:color w:val="000000"/>
        </w:rPr>
        <w:t>[s’il y a lieu, statut juridique, dénomination d’enregistrement officielle et numéro de TVA]</w:t>
      </w:r>
    </w:p>
    <w:p w14:paraId="2A0C68FC" w14:textId="77777777" w:rsidR="00832F98" w:rsidRPr="005107DF" w:rsidRDefault="00832F98" w:rsidP="00651BA4">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rPr>
        <w:t>(ci-après l’«État membre partenaire»),</w:t>
      </w:r>
    </w:p>
    <w:p w14:paraId="3924531B" w14:textId="77777777" w:rsidR="00832F98" w:rsidRPr="005107DF" w:rsidRDefault="00832F98" w:rsidP="00866A0B">
      <w:pPr>
        <w:spacing w:after="0" w:line="240" w:lineRule="auto"/>
        <w:rPr>
          <w:rFonts w:ascii="Times New Roman" w:eastAsia="Times New Roman" w:hAnsi="Times New Roman" w:cs="Times New Roman"/>
          <w:color w:val="000000"/>
          <w:szCs w:val="24"/>
        </w:rPr>
      </w:pPr>
      <w:r>
        <w:rPr>
          <w:rFonts w:ascii="Times New Roman" w:hAnsi="Times New Roman"/>
          <w:color w:val="000000"/>
        </w:rPr>
        <w:t> </w:t>
      </w:r>
    </w:p>
    <w:p w14:paraId="4194F831" w14:textId="77777777" w:rsidR="00832F98" w:rsidRPr="005107DF" w:rsidRDefault="00832F98" w:rsidP="00866A0B">
      <w:pPr>
        <w:spacing w:after="0" w:line="240" w:lineRule="auto"/>
        <w:rPr>
          <w:rFonts w:ascii="Times New Roman" w:eastAsia="Times New Roman" w:hAnsi="Times New Roman" w:cs="Times New Roman"/>
          <w:color w:val="000000"/>
          <w:szCs w:val="24"/>
        </w:rPr>
      </w:pPr>
    </w:p>
    <w:p w14:paraId="0B025149" w14:textId="77777777" w:rsidR="00832F98" w:rsidRPr="005107DF" w:rsidRDefault="00832F98" w:rsidP="00651BA4">
      <w:pPr>
        <w:spacing w:after="0" w:line="240" w:lineRule="auto"/>
        <w:jc w:val="both"/>
        <w:rPr>
          <w:rFonts w:ascii="Times New Roman" w:eastAsia="Times New Roman" w:hAnsi="Times New Roman" w:cs="Times New Roman"/>
          <w:color w:val="000000"/>
          <w:szCs w:val="24"/>
        </w:rPr>
      </w:pPr>
      <w:r>
        <w:rPr>
          <w:rFonts w:ascii="Times New Roman" w:hAnsi="Times New Roman"/>
          <w:color w:val="000000"/>
        </w:rPr>
        <w:t>[</w:t>
      </w:r>
      <w:r>
        <w:rPr>
          <w:rFonts w:ascii="Times New Roman" w:hAnsi="Times New Roman"/>
          <w:i/>
          <w:color w:val="000000"/>
        </w:rPr>
        <w:t>En cas de contrat de subvention de jumelage avec plusieurs États membres partenaires:</w:t>
      </w:r>
      <w:r>
        <w:rPr>
          <w:rFonts w:ascii="Times New Roman" w:hAnsi="Times New Roman"/>
          <w:color w:val="000000"/>
        </w:rPr>
        <w:t>] (ci-après l’«État membre partenaire principal»</w:t>
      </w:r>
      <w:r>
        <w:rPr>
          <w:rFonts w:ascii="Times New Roman" w:hAnsi="Times New Roman"/>
          <w:i/>
          <w:color w:val="000000"/>
          <w:vertAlign w:val="superscript"/>
        </w:rPr>
        <w:t xml:space="preserve"> </w:t>
      </w:r>
      <w:r>
        <w:rPr>
          <w:rFonts w:ascii="Times New Roman" w:hAnsi="Times New Roman"/>
          <w:color w:val="000000"/>
          <w:vertAlign w:val="superscript"/>
        </w:rPr>
        <w:footnoteReference w:id="23"/>
      </w:r>
      <w:r>
        <w:rPr>
          <w:rFonts w:ascii="Times New Roman" w:hAnsi="Times New Roman"/>
          <w:color w:val="000000"/>
        </w:rPr>
        <w:t>)</w:t>
      </w:r>
    </w:p>
    <w:p w14:paraId="72F51D0E" w14:textId="77777777" w:rsidR="00832F98" w:rsidRPr="005107DF" w:rsidRDefault="00832F98" w:rsidP="00866A0B">
      <w:pPr>
        <w:spacing w:after="0" w:line="240" w:lineRule="auto"/>
        <w:rPr>
          <w:rFonts w:ascii="Times New Roman" w:eastAsia="Times New Roman" w:hAnsi="Times New Roman" w:cs="Times New Roman"/>
          <w:color w:val="000000"/>
          <w:szCs w:val="24"/>
        </w:rPr>
      </w:pPr>
    </w:p>
    <w:p w14:paraId="4068A37D" w14:textId="77777777" w:rsidR="00832F98" w:rsidRPr="005107DF" w:rsidRDefault="00832F98"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rPr>
          <w:rFonts w:ascii="Times New Roman" w:eastAsia="Times New Roman" w:hAnsi="Times New Roman" w:cs="Times New Roman"/>
        </w:rPr>
      </w:pPr>
      <w:r>
        <w:rPr>
          <w:rFonts w:ascii="Times New Roman" w:hAnsi="Times New Roman"/>
        </w:rPr>
        <w:t xml:space="preserve">et </w:t>
      </w:r>
    </w:p>
    <w:p w14:paraId="0954C090" w14:textId="77777777" w:rsidR="00832F98" w:rsidRPr="005107DF" w:rsidRDefault="00832F98" w:rsidP="00866A0B">
      <w:pPr>
        <w:spacing w:after="0" w:line="240" w:lineRule="auto"/>
        <w:rPr>
          <w:rFonts w:ascii="Times New Roman" w:eastAsia="Times New Roman" w:hAnsi="Times New Roman" w:cs="Times New Roman"/>
          <w:color w:val="000000"/>
          <w:szCs w:val="24"/>
        </w:rPr>
      </w:pPr>
    </w:p>
    <w:p w14:paraId="136C191A" w14:textId="77777777" w:rsidR="00832F98" w:rsidRPr="005107DF" w:rsidRDefault="00832F98" w:rsidP="00651BA4">
      <w:pPr>
        <w:spacing w:after="0" w:line="240" w:lineRule="auto"/>
        <w:jc w:val="both"/>
        <w:rPr>
          <w:rFonts w:ascii="Times New Roman" w:eastAsia="Times New Roman" w:hAnsi="Times New Roman" w:cs="Times New Roman"/>
          <w:color w:val="000000"/>
          <w:szCs w:val="24"/>
        </w:rPr>
      </w:pPr>
      <w:r>
        <w:rPr>
          <w:rFonts w:ascii="Times New Roman" w:hAnsi="Times New Roman"/>
          <w:i/>
          <w:color w:val="000000"/>
        </w:rPr>
        <w:t>[Dénomination complète officielle de l’État membre junior + acronyme, s’il y a lieu]</w:t>
      </w:r>
      <w:r>
        <w:rPr>
          <w:rFonts w:ascii="Times New Roman" w:hAnsi="Times New Roman"/>
          <w:color w:val="000000"/>
        </w:rPr>
        <w:t xml:space="preserve"> ayant son siège à </w:t>
      </w:r>
      <w:r>
        <w:rPr>
          <w:rFonts w:ascii="Times New Roman" w:hAnsi="Times New Roman"/>
          <w:i/>
          <w:color w:val="000000"/>
        </w:rPr>
        <w:t>[adresse officielle complète],</w:t>
      </w:r>
    </w:p>
    <w:p w14:paraId="350BA42E" w14:textId="77777777" w:rsidR="00832F98" w:rsidRPr="005107DF" w:rsidRDefault="00832F98" w:rsidP="00651BA4">
      <w:pPr>
        <w:spacing w:after="0" w:line="240" w:lineRule="auto"/>
        <w:jc w:val="both"/>
        <w:rPr>
          <w:rFonts w:ascii="Times New Roman" w:eastAsia="Times New Roman" w:hAnsi="Times New Roman" w:cs="Times New Roman"/>
          <w:i/>
          <w:color w:val="000000"/>
          <w:szCs w:val="24"/>
        </w:rPr>
      </w:pPr>
      <w:r>
        <w:rPr>
          <w:rFonts w:ascii="Times New Roman" w:hAnsi="Times New Roman"/>
          <w:i/>
          <w:color w:val="000000"/>
        </w:rPr>
        <w:t>[s’il y a lieu, statut juridique, dénomination d’enregistrement officielle et numéro de TVA]</w:t>
      </w:r>
    </w:p>
    <w:p w14:paraId="1AA65939" w14:textId="77777777" w:rsidR="00832F98" w:rsidRPr="005107DF" w:rsidRDefault="00832F98" w:rsidP="00651BA4">
      <w:pPr>
        <w:spacing w:after="0" w:line="240" w:lineRule="auto"/>
        <w:jc w:val="both"/>
        <w:rPr>
          <w:rFonts w:ascii="Times New Roman" w:eastAsia="Times New Roman" w:hAnsi="Times New Roman" w:cs="Times New Roman"/>
          <w:color w:val="000000"/>
          <w:szCs w:val="24"/>
        </w:rPr>
      </w:pPr>
    </w:p>
    <w:p w14:paraId="7AB99162" w14:textId="77777777" w:rsidR="00832F98" w:rsidRPr="005107DF" w:rsidRDefault="00832F98" w:rsidP="00651BA4">
      <w:pPr>
        <w:tabs>
          <w:tab w:val="left" w:pos="-1440"/>
          <w:tab w:val="left" w:pos="-720"/>
          <w:tab w:val="left" w:pos="828"/>
          <w:tab w:val="left" w:pos="1044"/>
          <w:tab w:val="left" w:pos="1260"/>
          <w:tab w:val="left" w:pos="1476"/>
          <w:tab w:val="left" w:pos="1692"/>
          <w:tab w:val="left" w:pos="1860"/>
          <w:tab w:val="left" w:pos="2160"/>
        </w:tabs>
        <w:spacing w:before="120" w:after="0" w:line="240" w:lineRule="auto"/>
        <w:jc w:val="both"/>
        <w:rPr>
          <w:rFonts w:ascii="Times New Roman" w:eastAsia="Times New Roman" w:hAnsi="Times New Roman" w:cs="Times New Roman"/>
        </w:rPr>
      </w:pPr>
      <w:r>
        <w:rPr>
          <w:rFonts w:ascii="Times New Roman" w:hAnsi="Times New Roman"/>
        </w:rPr>
        <w:t>ayant donné procuration, aux fins de la signature de l’accord, à l’État membre partenaire principal</w:t>
      </w:r>
      <w:r>
        <w:rPr>
          <w:rFonts w:ascii="Times New Roman" w:hAnsi="Times New Roman"/>
          <w:vertAlign w:val="superscript"/>
        </w:rPr>
        <w:footnoteReference w:id="24"/>
      </w:r>
    </w:p>
    <w:p w14:paraId="3C0B46DA" w14:textId="77777777" w:rsidR="00832F98" w:rsidRPr="005107DF" w:rsidRDefault="00832F98" w:rsidP="00651BA4">
      <w:pPr>
        <w:spacing w:after="0" w:line="240" w:lineRule="auto"/>
        <w:jc w:val="both"/>
        <w:rPr>
          <w:rFonts w:ascii="Times New Roman" w:eastAsia="Times New Roman" w:hAnsi="Times New Roman" w:cs="Times New Roman"/>
          <w:color w:val="000000"/>
          <w:szCs w:val="24"/>
        </w:rPr>
      </w:pPr>
    </w:p>
    <w:p w14:paraId="17A9E28E" w14:textId="77777777" w:rsidR="00832F98" w:rsidRPr="005107DF" w:rsidRDefault="00832F98" w:rsidP="00651BA4">
      <w:pPr>
        <w:tabs>
          <w:tab w:val="left" w:pos="-1440"/>
          <w:tab w:val="left" w:pos="-720"/>
          <w:tab w:val="left" w:pos="828"/>
          <w:tab w:val="left" w:pos="1044"/>
          <w:tab w:val="left" w:pos="1260"/>
          <w:tab w:val="left" w:pos="1476"/>
          <w:tab w:val="left" w:pos="1692"/>
          <w:tab w:val="left" w:pos="1860"/>
          <w:tab w:val="left" w:pos="2160"/>
        </w:tabs>
        <w:spacing w:before="120" w:after="0" w:line="240" w:lineRule="auto"/>
        <w:jc w:val="both"/>
        <w:rPr>
          <w:rFonts w:ascii="Times New Roman" w:eastAsia="Times New Roman" w:hAnsi="Times New Roman" w:cs="Times New Roman"/>
        </w:rPr>
      </w:pPr>
      <w:r>
        <w:rPr>
          <w:rFonts w:ascii="Times New Roman" w:hAnsi="Times New Roman"/>
        </w:rPr>
        <w:t>désignés collectivement par «États membres partenaires» lorsqu’une disposition s’applique sans distinction à l’État membre partenaire principal et à l’État membre ou aux États membres partenaires juniors</w:t>
      </w:r>
    </w:p>
    <w:p w14:paraId="6B650E64" w14:textId="77777777" w:rsidR="00832F98" w:rsidRPr="005107DF" w:rsidRDefault="00832F98" w:rsidP="00866A0B">
      <w:pPr>
        <w:spacing w:after="0" w:line="240" w:lineRule="auto"/>
        <w:rPr>
          <w:rFonts w:ascii="Times New Roman" w:eastAsia="Times New Roman" w:hAnsi="Times New Roman" w:cs="Times New Roman"/>
          <w:color w:val="000000"/>
          <w:szCs w:val="24"/>
        </w:rPr>
      </w:pPr>
    </w:p>
    <w:p w14:paraId="1EE603FF" w14:textId="77777777" w:rsidR="00832F98" w:rsidRPr="005107DF" w:rsidRDefault="00832F98" w:rsidP="00866A0B">
      <w:pPr>
        <w:spacing w:after="0" w:line="240" w:lineRule="auto"/>
        <w:rPr>
          <w:rFonts w:ascii="Times New Roman" w:eastAsia="Times New Roman" w:hAnsi="Times New Roman" w:cs="Times New Roman"/>
          <w:color w:val="000000"/>
          <w:szCs w:val="24"/>
        </w:rPr>
      </w:pPr>
    </w:p>
    <w:p w14:paraId="7934163D" w14:textId="77777777" w:rsidR="00832F98" w:rsidRPr="005107DF" w:rsidRDefault="00832F98" w:rsidP="00866A0B">
      <w:pPr>
        <w:spacing w:after="0" w:line="240" w:lineRule="auto"/>
        <w:rPr>
          <w:rFonts w:ascii="Times New Roman" w:eastAsia="Times New Roman" w:hAnsi="Times New Roman" w:cs="Times New Roman"/>
          <w:color w:val="000000"/>
          <w:szCs w:val="24"/>
        </w:rPr>
      </w:pPr>
    </w:p>
    <w:p w14:paraId="5E4622BC"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p>
    <w:p w14:paraId="43AF7ACF" w14:textId="77777777" w:rsidR="00832F98" w:rsidRPr="005107DF" w:rsidRDefault="00832F98" w:rsidP="00866A0B">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rPr>
        <w:t>d’autre part,</w:t>
      </w:r>
    </w:p>
    <w:p w14:paraId="3E074259"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r>
        <w:rPr>
          <w:rFonts w:ascii="Times New Roman" w:hAnsi="Times New Roman"/>
          <w:color w:val="000000"/>
        </w:rPr>
        <w:t> </w:t>
      </w:r>
    </w:p>
    <w:p w14:paraId="3789206E" w14:textId="77777777" w:rsidR="00832F98" w:rsidRPr="005107DF" w:rsidRDefault="00832F98" w:rsidP="00866A0B">
      <w:pPr>
        <w:spacing w:after="0" w:line="240" w:lineRule="auto"/>
        <w:rPr>
          <w:rFonts w:ascii="Times New Roman" w:eastAsia="Times New Roman" w:hAnsi="Times New Roman" w:cs="Times New Roman"/>
          <w:szCs w:val="24"/>
        </w:rPr>
      </w:pPr>
      <w:r>
        <w:rPr>
          <w:rFonts w:ascii="Times New Roman" w:hAnsi="Times New Roman"/>
        </w:rPr>
        <w:t>(ci-après les «parties»)</w:t>
      </w:r>
    </w:p>
    <w:p w14:paraId="22ADFC78" w14:textId="77777777" w:rsidR="00832F98" w:rsidRPr="005107DF" w:rsidRDefault="00832F98" w:rsidP="00866A0B">
      <w:pPr>
        <w:spacing w:after="0" w:line="240" w:lineRule="auto"/>
        <w:rPr>
          <w:rFonts w:ascii="Times New Roman" w:eastAsia="Times New Roman" w:hAnsi="Times New Roman" w:cs="Times New Roman"/>
          <w:color w:val="000000"/>
          <w:szCs w:val="24"/>
        </w:rPr>
      </w:pPr>
    </w:p>
    <w:p w14:paraId="07BB5FA3"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r>
        <w:rPr>
          <w:rFonts w:ascii="Times New Roman" w:hAnsi="Times New Roman"/>
          <w:color w:val="000000"/>
        </w:rPr>
        <w:t>sont convenues de ce qui suit:</w:t>
      </w:r>
    </w:p>
    <w:p w14:paraId="3A50B41A"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r>
        <w:rPr>
          <w:rFonts w:ascii="Times New Roman" w:hAnsi="Times New Roman"/>
          <w:color w:val="000000"/>
        </w:rPr>
        <w:t xml:space="preserve">   </w:t>
      </w:r>
    </w:p>
    <w:p w14:paraId="0ACCB2EF" w14:textId="329D93D0" w:rsidR="00832F98" w:rsidRPr="005107DF" w:rsidRDefault="00832F98" w:rsidP="00651BA4">
      <w:pPr>
        <w:spacing w:after="0" w:line="240" w:lineRule="auto"/>
        <w:rPr>
          <w:rFonts w:ascii="Times New Roman" w:eastAsia="Times New Roman" w:hAnsi="Times New Roman" w:cs="Times New Roman"/>
          <w:color w:val="000000"/>
          <w:sz w:val="24"/>
          <w:szCs w:val="24"/>
        </w:rPr>
      </w:pPr>
      <w:r>
        <w:rPr>
          <w:rFonts w:ascii="Times New Roman" w:hAnsi="Times New Roman"/>
          <w:color w:val="000000"/>
        </w:rPr>
        <w:lastRenderedPageBreak/>
        <w:t> </w:t>
      </w:r>
      <w:r>
        <w:rPr>
          <w:rFonts w:ascii="Times New Roman" w:hAnsi="Times New Roman"/>
          <w:b/>
          <w:color w:val="000000"/>
          <w:sz w:val="28"/>
        </w:rPr>
        <w:t>Conditions particulières</w:t>
      </w:r>
    </w:p>
    <w:p w14:paraId="02CE5278"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p>
    <w:p w14:paraId="403E6703"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p>
    <w:p w14:paraId="3502B862" w14:textId="77777777" w:rsidR="00832F98" w:rsidRPr="005107DF" w:rsidRDefault="00832F98" w:rsidP="00651BA4">
      <w:pPr>
        <w:spacing w:after="0" w:line="240" w:lineRule="auto"/>
        <w:ind w:left="567" w:hanging="567"/>
        <w:jc w:val="both"/>
        <w:rPr>
          <w:rFonts w:ascii="Times New Roman" w:eastAsia="Times New Roman" w:hAnsi="Times New Roman" w:cs="Times New Roman"/>
          <w:b/>
          <w:color w:val="000000"/>
          <w:sz w:val="24"/>
          <w:szCs w:val="24"/>
        </w:rPr>
      </w:pPr>
      <w:r>
        <w:rPr>
          <w:rFonts w:ascii="Times New Roman" w:hAnsi="Times New Roman"/>
          <w:b/>
          <w:color w:val="000000"/>
          <w:sz w:val="24"/>
        </w:rPr>
        <w:t>Article 1 – Objet</w:t>
      </w:r>
    </w:p>
    <w:p w14:paraId="44684D5C" w14:textId="77777777" w:rsidR="00832F98" w:rsidRPr="005107DF" w:rsidRDefault="00832F98" w:rsidP="00651BA4">
      <w:pPr>
        <w:spacing w:after="0" w:line="240" w:lineRule="auto"/>
        <w:jc w:val="both"/>
        <w:rPr>
          <w:rFonts w:ascii="Times New Roman" w:eastAsia="Times New Roman" w:hAnsi="Times New Roman" w:cs="Times New Roman"/>
          <w:color w:val="000000"/>
          <w:sz w:val="24"/>
          <w:szCs w:val="24"/>
        </w:rPr>
      </w:pPr>
    </w:p>
    <w:p w14:paraId="706CA061"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1.1</w:t>
      </w:r>
      <w:r>
        <w:tab/>
      </w:r>
      <w:r>
        <w:rPr>
          <w:rFonts w:ascii="Times New Roman" w:hAnsi="Times New Roman"/>
          <w:color w:val="000000"/>
        </w:rPr>
        <w:t>Le présent contrat a pour objet l’octroi, par l’administration contractante, d’une subvention, au titre d’un jumelage, sous forme de remboursement des frais en vue de la mise en œuvre de l’action intitulée: [</w:t>
      </w:r>
      <w:r>
        <w:rPr>
          <w:rFonts w:ascii="Times New Roman" w:hAnsi="Times New Roman"/>
          <w:i/>
          <w:color w:val="000000"/>
        </w:rPr>
        <w:t>intitulé du projet de jumelage</w:t>
      </w:r>
      <w:r>
        <w:rPr>
          <w:rFonts w:ascii="Times New Roman" w:hAnsi="Times New Roman"/>
          <w:color w:val="000000"/>
        </w:rPr>
        <w:t>] (l’«action»), décrite à l’annexe A1.</w:t>
      </w:r>
    </w:p>
    <w:p w14:paraId="1251A0E7"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p>
    <w:p w14:paraId="6096748A"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r>
        <w:rPr>
          <w:rFonts w:ascii="Times New Roman" w:hAnsi="Times New Roman"/>
          <w:color w:val="000000"/>
        </w:rPr>
        <w:t>1.2</w:t>
      </w:r>
      <w:r>
        <w:tab/>
      </w:r>
      <w:r>
        <w:rPr>
          <w:rFonts w:ascii="Times New Roman" w:hAnsi="Times New Roman"/>
          <w:color w:val="000000"/>
        </w:rPr>
        <w:t>La subvention est octroyée au titre du jumelage à l’État membre ou aux États membres aux conditions stipulées dans le présent contrat, constitué des présentes conditions particulières (les «conditions particulières») et de leurs annexes, que le ou les États membres déclarent connaître, comprendre et accepter.</w:t>
      </w:r>
    </w:p>
    <w:p w14:paraId="0701BBEF"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p>
    <w:p w14:paraId="68938595"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1.3</w:t>
      </w:r>
      <w:r>
        <w:tab/>
      </w:r>
      <w:r>
        <w:rPr>
          <w:rFonts w:ascii="Times New Roman" w:hAnsi="Times New Roman"/>
          <w:color w:val="000000"/>
        </w:rPr>
        <w:t>Le ou les États membres acceptent la subvention de jumelage et s’engagent à assumer la mise en œuvre de l’action, l’obtention des résultats et le remboursement des dépenses non éligibles.</w:t>
      </w:r>
    </w:p>
    <w:p w14:paraId="7E788316"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p>
    <w:p w14:paraId="7049DAA6"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r>
        <w:rPr>
          <w:rFonts w:ascii="Times New Roman" w:hAnsi="Times New Roman"/>
          <w:color w:val="000000"/>
        </w:rPr>
        <w:t>1.4</w:t>
      </w:r>
      <w:r>
        <w:tab/>
      </w:r>
      <w:r>
        <w:rPr>
          <w:rFonts w:ascii="Times New Roman" w:hAnsi="Times New Roman"/>
          <w:color w:val="000000"/>
        </w:rPr>
        <w:t xml:space="preserve">Le bénéficiaire final de l’action est: </w:t>
      </w:r>
      <w:r>
        <w:rPr>
          <w:rFonts w:ascii="Times New Roman" w:eastAsia="Times New Roman" w:hAnsi="Times New Roman" w:cs="Times New Roman"/>
          <w:color w:val="000000"/>
          <w:szCs w:val="24"/>
        </w:rPr>
        <w:sym w:font="Symbol" w:char="F05B"/>
      </w:r>
      <w:r>
        <w:rPr>
          <w:rFonts w:ascii="Times New Roman" w:hAnsi="Times New Roman"/>
          <w:color w:val="000000"/>
        </w:rPr>
        <w:t>……..]</w:t>
      </w:r>
      <w:r>
        <w:rPr>
          <w:rFonts w:ascii="Times New Roman" w:hAnsi="Times New Roman"/>
          <w:color w:val="000000"/>
          <w:vertAlign w:val="superscript"/>
        </w:rPr>
        <w:footnoteReference w:id="25"/>
      </w:r>
    </w:p>
    <w:p w14:paraId="5C5615A7"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r>
        <w:rPr>
          <w:rFonts w:ascii="Times New Roman" w:hAnsi="Times New Roman"/>
          <w:color w:val="000000"/>
        </w:rPr>
        <w:t> </w:t>
      </w:r>
    </w:p>
    <w:p w14:paraId="6D89918A" w14:textId="77777777" w:rsidR="00832F98" w:rsidRPr="005107DF" w:rsidRDefault="00832F98" w:rsidP="00651BA4">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rPr>
        <w:t> </w:t>
      </w:r>
    </w:p>
    <w:p w14:paraId="51A14E39"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r>
        <w:rPr>
          <w:rFonts w:ascii="Times New Roman" w:hAnsi="Times New Roman"/>
          <w:b/>
          <w:color w:val="000000"/>
          <w:sz w:val="24"/>
        </w:rPr>
        <w:t>Article 2 – Période de mise en œuvre et d’exécution de l’action</w:t>
      </w:r>
    </w:p>
    <w:p w14:paraId="3442BA8C"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p>
    <w:p w14:paraId="7EFB5E87" w14:textId="77777777" w:rsidR="00832F98" w:rsidRPr="005107DF" w:rsidRDefault="00832F98" w:rsidP="00651BA4">
      <w:pPr>
        <w:spacing w:after="0" w:line="240" w:lineRule="auto"/>
        <w:ind w:left="567" w:hanging="567"/>
        <w:jc w:val="both"/>
        <w:rPr>
          <w:rFonts w:ascii="Times New Roman" w:eastAsia="Times New Roman" w:hAnsi="Times New Roman" w:cs="Times New Roman"/>
          <w:snapToGrid w:val="0"/>
          <w:color w:val="000000"/>
          <w:szCs w:val="24"/>
        </w:rPr>
      </w:pPr>
      <w:r>
        <w:rPr>
          <w:rFonts w:ascii="Times New Roman" w:hAnsi="Times New Roman"/>
          <w:color w:val="000000"/>
        </w:rPr>
        <w:t>2.1</w:t>
      </w:r>
      <w:r>
        <w:tab/>
      </w:r>
      <w:r>
        <w:rPr>
          <w:rFonts w:ascii="Times New Roman" w:hAnsi="Times New Roman"/>
          <w:snapToGrid w:val="0"/>
          <w:color w:val="000000"/>
        </w:rPr>
        <w:t>La période d’exécution (durée légale) commence à la date à laquelle l’administration contractante notifie l’achèvement de la procédure de signature par toutes les parties. La période d’exécution du présent contrat se termine trois mois après la période de mise en œuvre de l’action, comme le prévoit le paragraphe 2.2.</w:t>
      </w:r>
    </w:p>
    <w:p w14:paraId="0C6660CD"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p>
    <w:p w14:paraId="4E9C4069"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2.2</w:t>
      </w:r>
      <w:r>
        <w:tab/>
      </w:r>
      <w:r>
        <w:rPr>
          <w:rFonts w:ascii="Times New Roman" w:hAnsi="Times New Roman"/>
          <w:color w:val="000000"/>
        </w:rPr>
        <w:t>La période de mise en œuvre de l’action dure .......... mois et débute le ............., date d’arrivée du conseiller résident de jumelage (CRJ).</w:t>
      </w:r>
    </w:p>
    <w:p w14:paraId="5B5FCEDD"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p>
    <w:p w14:paraId="058FE282"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u w:val="single"/>
        </w:rPr>
      </w:pPr>
      <w:r>
        <w:tab/>
      </w:r>
      <w:r>
        <w:rPr>
          <w:rFonts w:ascii="Times New Roman" w:hAnsi="Times New Roman"/>
          <w:color w:val="000000"/>
          <w:u w:val="single"/>
        </w:rPr>
        <w:t>Jumelage léger:</w:t>
      </w:r>
    </w:p>
    <w:p w14:paraId="7BF1501E" w14:textId="77777777" w:rsidR="00832F98" w:rsidRPr="005107DF" w:rsidRDefault="00832F98" w:rsidP="00651BA4">
      <w:pPr>
        <w:spacing w:after="0" w:line="240" w:lineRule="auto"/>
        <w:ind w:left="567"/>
        <w:jc w:val="both"/>
        <w:rPr>
          <w:rFonts w:ascii="Times New Roman" w:eastAsia="Times New Roman" w:hAnsi="Times New Roman" w:cs="Times New Roman"/>
          <w:color w:val="000000"/>
          <w:szCs w:val="24"/>
        </w:rPr>
      </w:pPr>
      <w:r>
        <w:rPr>
          <w:rFonts w:ascii="Times New Roman" w:hAnsi="Times New Roman"/>
          <w:color w:val="000000"/>
        </w:rPr>
        <w:t>La période de mise en œuvre de l’action dure ….. mois et correspond à la date de mise en œuvre de la première activité après la signature du contrat.</w:t>
      </w:r>
    </w:p>
    <w:p w14:paraId="4C2813D1" w14:textId="77777777" w:rsidR="00EB5D31" w:rsidRDefault="00EB5D31" w:rsidP="00651BA4">
      <w:pPr>
        <w:spacing w:after="0" w:line="240" w:lineRule="auto"/>
        <w:ind w:left="567" w:hanging="567"/>
        <w:jc w:val="both"/>
        <w:rPr>
          <w:rFonts w:ascii="Times New Roman" w:hAnsi="Times New Roman"/>
          <w:b/>
          <w:color w:val="000000"/>
          <w:sz w:val="24"/>
        </w:rPr>
      </w:pPr>
    </w:p>
    <w:p w14:paraId="739B8642" w14:textId="0CAFB7BA"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0"/>
        </w:rPr>
      </w:pPr>
      <w:r>
        <w:rPr>
          <w:rFonts w:ascii="Times New Roman" w:hAnsi="Times New Roman"/>
          <w:b/>
          <w:color w:val="000000"/>
          <w:sz w:val="24"/>
        </w:rPr>
        <w:t>Article 3 - Financement de l’action</w:t>
      </w:r>
    </w:p>
    <w:p w14:paraId="307A7974"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r>
        <w:rPr>
          <w:rFonts w:ascii="Times New Roman" w:hAnsi="Times New Roman"/>
          <w:color w:val="000000"/>
        </w:rPr>
        <w:t> </w:t>
      </w:r>
    </w:p>
    <w:p w14:paraId="65922B22"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3.1</w:t>
      </w:r>
      <w:r>
        <w:tab/>
      </w:r>
      <w:r>
        <w:rPr>
          <w:rFonts w:ascii="Times New Roman" w:hAnsi="Times New Roman"/>
          <w:color w:val="000000"/>
        </w:rPr>
        <w:t>Le coût total de l’action admissible au financement par l’administration contractante est estimé à [............] EUR, tel que détaillé à l’annexe A3.</w:t>
      </w:r>
    </w:p>
    <w:p w14:paraId="338DA8F2"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p>
    <w:p w14:paraId="5C970D7A"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3.2</w:t>
      </w:r>
      <w:r>
        <w:tab/>
      </w:r>
      <w:r>
        <w:rPr>
          <w:rFonts w:ascii="Times New Roman" w:hAnsi="Times New Roman"/>
          <w:color w:val="000000"/>
        </w:rPr>
        <w:t xml:space="preserve">L’administration contractante s’engage à financer un montant maximal de [...........] EUR. Le montant final sera fixé en conformité avec l’article 17 de l’annexe A2, sauf lorsque l’annexe A7 est applicable. L’action est cofinancée par le bénéficiaire final selon les dispositions de l’annexe A3. </w:t>
      </w:r>
    </w:p>
    <w:p w14:paraId="29ECD8B0"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p>
    <w:p w14:paraId="7E41A9D5"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3.3</w:t>
      </w:r>
      <w:r>
        <w:tab/>
      </w:r>
      <w:r>
        <w:rPr>
          <w:rFonts w:ascii="Times New Roman" w:hAnsi="Times New Roman"/>
        </w:rPr>
        <w:t xml:space="preserve">Conformément à l’article 14.8 de l’annexe A2, 6 % du montant final des coûts directs éligibles de l’action fixé conformément aux articles 14 et 17 de l’annexe A2 peuvent être déclarés comme étant des coûts indirects. </w:t>
      </w:r>
    </w:p>
    <w:p w14:paraId="381D3EAD"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p>
    <w:p w14:paraId="54FA34B5" w14:textId="77777777" w:rsidR="00832F98" w:rsidRPr="005107DF" w:rsidRDefault="00832F98" w:rsidP="00651BA4">
      <w:pPr>
        <w:spacing w:after="0" w:line="240" w:lineRule="auto"/>
        <w:jc w:val="both"/>
        <w:rPr>
          <w:rFonts w:ascii="Times New Roman" w:eastAsia="Times New Roman" w:hAnsi="Times New Roman" w:cs="Times New Roman"/>
          <w:b/>
          <w:color w:val="000000"/>
          <w:sz w:val="24"/>
          <w:szCs w:val="24"/>
        </w:rPr>
      </w:pPr>
    </w:p>
    <w:p w14:paraId="1DC4F6FF" w14:textId="77777777" w:rsidR="00832F98" w:rsidRPr="005107DF" w:rsidRDefault="00832F98" w:rsidP="00651BA4">
      <w:pPr>
        <w:spacing w:after="0" w:line="240" w:lineRule="auto"/>
        <w:jc w:val="both"/>
        <w:rPr>
          <w:rFonts w:ascii="Times New Roman" w:eastAsia="Times New Roman" w:hAnsi="Times New Roman" w:cs="Times New Roman"/>
          <w:color w:val="000000"/>
          <w:sz w:val="24"/>
          <w:szCs w:val="24"/>
        </w:rPr>
      </w:pPr>
      <w:r>
        <w:rPr>
          <w:rFonts w:ascii="Times New Roman" w:hAnsi="Times New Roman"/>
          <w:b/>
          <w:color w:val="000000"/>
          <w:sz w:val="24"/>
        </w:rPr>
        <w:t>Article 4 – Rapports et modalités de paiement</w:t>
      </w:r>
    </w:p>
    <w:p w14:paraId="2844560D" w14:textId="77777777" w:rsidR="00832F98" w:rsidRPr="005107DF" w:rsidRDefault="00832F98" w:rsidP="00651BA4">
      <w:pPr>
        <w:spacing w:after="0" w:line="240" w:lineRule="auto"/>
        <w:jc w:val="both"/>
        <w:rPr>
          <w:rFonts w:ascii="Times New Roman" w:eastAsia="Times New Roman" w:hAnsi="Times New Roman" w:cs="Times New Roman"/>
          <w:color w:val="000000"/>
          <w:sz w:val="24"/>
          <w:szCs w:val="24"/>
        </w:rPr>
      </w:pPr>
    </w:p>
    <w:p w14:paraId="60A5FA27"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r>
        <w:rPr>
          <w:rFonts w:ascii="Times New Roman" w:hAnsi="Times New Roman"/>
          <w:color w:val="000000"/>
        </w:rPr>
        <w:t>4.1</w:t>
      </w:r>
      <w:r>
        <w:tab/>
      </w:r>
      <w:r>
        <w:rPr>
          <w:rFonts w:ascii="Times New Roman" w:hAnsi="Times New Roman"/>
          <w:color w:val="000000"/>
        </w:rPr>
        <w:t>Les paiements sont effectués conformément à l’article 15 de l’annexe A2, option n° 2, ainsi que précisé à l’article 15.1.</w:t>
      </w:r>
    </w:p>
    <w:p w14:paraId="5A7A844E"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0"/>
        </w:rPr>
      </w:pPr>
    </w:p>
    <w:p w14:paraId="293291E2" w14:textId="77777777" w:rsidR="00832F98" w:rsidRPr="005107DF" w:rsidRDefault="00832F98" w:rsidP="00866A0B">
      <w:pPr>
        <w:spacing w:after="0" w:line="240" w:lineRule="auto"/>
        <w:ind w:left="567"/>
        <w:jc w:val="both"/>
        <w:rPr>
          <w:rFonts w:ascii="Times New Roman" w:eastAsia="Times New Roman" w:hAnsi="Times New Roman" w:cs="Times New Roman"/>
          <w:color w:val="000000"/>
          <w:sz w:val="24"/>
          <w:szCs w:val="24"/>
        </w:rPr>
      </w:pPr>
      <w:r>
        <w:rPr>
          <w:rFonts w:ascii="Times New Roman" w:hAnsi="Times New Roman"/>
          <w:color w:val="000000"/>
        </w:rPr>
        <w:t>Préfinancement initial:</w:t>
      </w:r>
      <w:r>
        <w:tab/>
      </w:r>
      <w:r>
        <w:tab/>
      </w:r>
      <w:r>
        <w:tab/>
      </w:r>
      <w:r>
        <w:tab/>
      </w:r>
      <w:r>
        <w:tab/>
      </w:r>
      <w:r>
        <w:tab/>
      </w:r>
      <w:r>
        <w:tab/>
      </w:r>
      <w:r>
        <w:rPr>
          <w:rFonts w:ascii="Times New Roman" w:hAnsi="Times New Roman"/>
          <w:color w:val="000000"/>
        </w:rPr>
        <w:t xml:space="preserve">[…….] EUR </w:t>
      </w:r>
    </w:p>
    <w:p w14:paraId="14135403"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 w:val="24"/>
          <w:szCs w:val="24"/>
        </w:rPr>
      </w:pPr>
    </w:p>
    <w:p w14:paraId="448AA073" w14:textId="77777777" w:rsidR="00832F98" w:rsidRPr="005107DF" w:rsidRDefault="00832F98" w:rsidP="00866A0B">
      <w:pPr>
        <w:spacing w:after="0" w:line="240" w:lineRule="auto"/>
        <w:ind w:left="567"/>
        <w:jc w:val="both"/>
        <w:rPr>
          <w:rFonts w:ascii="Times New Roman" w:eastAsia="Times New Roman" w:hAnsi="Times New Roman" w:cs="Times New Roman"/>
          <w:color w:val="000000"/>
          <w:szCs w:val="24"/>
        </w:rPr>
      </w:pPr>
      <w:r>
        <w:rPr>
          <w:rFonts w:ascii="Times New Roman" w:hAnsi="Times New Roman"/>
          <w:color w:val="000000"/>
        </w:rPr>
        <w:t>Préfinancement(s) supplémentaire(s):</w:t>
      </w:r>
      <w:r>
        <w:tab/>
      </w:r>
      <w:r>
        <w:tab/>
      </w:r>
      <w:r>
        <w:tab/>
      </w:r>
      <w:r>
        <w:tab/>
      </w:r>
      <w:r>
        <w:tab/>
      </w:r>
      <w:r>
        <w:tab/>
      </w:r>
      <w:r>
        <w:tab/>
      </w:r>
      <w:r>
        <w:rPr>
          <w:rFonts w:ascii="Times New Roman" w:hAnsi="Times New Roman"/>
          <w:color w:val="000000"/>
        </w:rPr>
        <w:t>[…….] EUR</w:t>
      </w:r>
    </w:p>
    <w:p w14:paraId="153A3FCF" w14:textId="77777777" w:rsidR="00832F98" w:rsidRPr="005107DF" w:rsidRDefault="00832F98" w:rsidP="00866A0B">
      <w:pPr>
        <w:spacing w:after="0" w:line="240" w:lineRule="auto"/>
        <w:ind w:left="567"/>
        <w:jc w:val="both"/>
        <w:rPr>
          <w:rFonts w:ascii="Times New Roman" w:eastAsia="Times New Roman" w:hAnsi="Times New Roman" w:cs="Times New Roman"/>
          <w:color w:val="000000"/>
          <w:sz w:val="24"/>
          <w:szCs w:val="24"/>
        </w:rPr>
      </w:pPr>
      <w:r>
        <w:rPr>
          <w:rFonts w:ascii="Times New Roman" w:hAnsi="Times New Roman"/>
          <w:color w:val="000000"/>
        </w:rPr>
        <w:t>(sous réserve des dispositions de l’annexe A2):</w:t>
      </w:r>
      <w:r>
        <w:tab/>
      </w:r>
    </w:p>
    <w:p w14:paraId="76AEAE7B" w14:textId="77777777" w:rsidR="00832F98" w:rsidRPr="005107DF" w:rsidRDefault="00832F98" w:rsidP="00866A0B">
      <w:pPr>
        <w:spacing w:after="0" w:line="240" w:lineRule="auto"/>
        <w:ind w:left="567"/>
        <w:jc w:val="both"/>
        <w:rPr>
          <w:rFonts w:ascii="Times New Roman" w:eastAsia="Times New Roman" w:hAnsi="Times New Roman" w:cs="Times New Roman"/>
          <w:color w:val="000000"/>
          <w:sz w:val="24"/>
          <w:szCs w:val="24"/>
        </w:rPr>
      </w:pPr>
    </w:p>
    <w:p w14:paraId="26688D10" w14:textId="77777777" w:rsidR="00832F98" w:rsidRPr="005107DF" w:rsidRDefault="00832F98" w:rsidP="00866A0B">
      <w:pPr>
        <w:spacing w:after="0" w:line="240" w:lineRule="auto"/>
        <w:ind w:left="567"/>
        <w:jc w:val="both"/>
        <w:rPr>
          <w:rFonts w:ascii="Times New Roman" w:eastAsia="Times New Roman" w:hAnsi="Times New Roman" w:cs="Times New Roman"/>
          <w:color w:val="000000"/>
          <w:sz w:val="24"/>
          <w:szCs w:val="20"/>
        </w:rPr>
      </w:pPr>
      <w:r>
        <w:rPr>
          <w:rFonts w:ascii="Times New Roman" w:hAnsi="Times New Roman"/>
          <w:color w:val="000000"/>
        </w:rPr>
        <w:t xml:space="preserve">Solde du montant final du </w:t>
      </w:r>
    </w:p>
    <w:p w14:paraId="13F85357" w14:textId="77777777" w:rsidR="00832F98" w:rsidRPr="005107DF" w:rsidRDefault="00832F98" w:rsidP="00866A0B">
      <w:pPr>
        <w:spacing w:after="0" w:line="240" w:lineRule="auto"/>
        <w:ind w:left="567"/>
        <w:jc w:val="both"/>
        <w:rPr>
          <w:rFonts w:ascii="Times New Roman" w:eastAsia="Times New Roman" w:hAnsi="Times New Roman" w:cs="Times New Roman"/>
          <w:color w:val="000000"/>
          <w:sz w:val="24"/>
          <w:szCs w:val="20"/>
        </w:rPr>
      </w:pPr>
      <w:r>
        <w:rPr>
          <w:rFonts w:ascii="Times New Roman" w:hAnsi="Times New Roman"/>
          <w:color w:val="000000"/>
        </w:rPr>
        <w:t>(sous réserve des dispositions de l’annexe A2):</w:t>
      </w:r>
      <w:r>
        <w:tab/>
      </w:r>
      <w:r>
        <w:tab/>
      </w:r>
      <w:r>
        <w:tab/>
      </w:r>
      <w:r>
        <w:tab/>
      </w:r>
      <w:r>
        <w:tab/>
      </w:r>
      <w:r>
        <w:tab/>
      </w:r>
      <w:r>
        <w:rPr>
          <w:rFonts w:ascii="Times New Roman" w:hAnsi="Times New Roman"/>
          <w:color w:val="000000"/>
        </w:rPr>
        <w:t>[…….] EUR</w:t>
      </w:r>
    </w:p>
    <w:p w14:paraId="38A1F0BF" w14:textId="77777777" w:rsidR="00832F98" w:rsidRPr="0019382C" w:rsidRDefault="00832F98" w:rsidP="00866A0B">
      <w:pPr>
        <w:spacing w:after="0" w:line="240" w:lineRule="auto"/>
        <w:jc w:val="both"/>
        <w:rPr>
          <w:rFonts w:ascii="Times New Roman" w:eastAsia="Times New Roman" w:hAnsi="Times New Roman" w:cs="Times New Roman"/>
          <w:color w:val="000000"/>
          <w:szCs w:val="24"/>
        </w:rPr>
      </w:pPr>
    </w:p>
    <w:p w14:paraId="337B09E3" w14:textId="070A2DB8" w:rsidR="00832F98" w:rsidRPr="00651BA4" w:rsidRDefault="00832F98" w:rsidP="00651BA4">
      <w:pPr>
        <w:jc w:val="both"/>
        <w:rPr>
          <w:rFonts w:ascii="Times New Roman" w:eastAsia="Times New Roman" w:hAnsi="Times New Roman" w:cs="Times New Roman"/>
          <w:color w:val="000000"/>
          <w:szCs w:val="24"/>
        </w:rPr>
      </w:pPr>
      <w:r>
        <w:rPr>
          <w:rFonts w:ascii="Times New Roman" w:hAnsi="Times New Roman"/>
          <w:color w:val="000000"/>
        </w:rPr>
        <w:t>Les paiements sont effectués sur le compte bancaire mentionné sur le signalétique financier inclus à l’annexe A5, détenu par &lt;nom de l’entité qui fournira les services de gestion financière&gt;.</w:t>
      </w:r>
    </w:p>
    <w:p w14:paraId="12370A48"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4.2</w:t>
      </w:r>
      <w:r>
        <w:tab/>
      </w:r>
      <w:r>
        <w:rPr>
          <w:rFonts w:ascii="Times New Roman" w:hAnsi="Times New Roman"/>
          <w:color w:val="000000"/>
        </w:rPr>
        <w:t>Des rapports narratifs et financiers sont élaborés conformément aux articles 2, 15.1 et 15.3 de l’annexe A2, en utilisant les modèles de jumelage correspondants.</w:t>
      </w:r>
    </w:p>
    <w:p w14:paraId="64922433"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p>
    <w:p w14:paraId="5583B3A2"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r>
        <w:tab/>
      </w:r>
      <w:r>
        <w:rPr>
          <w:rFonts w:ascii="Times New Roman" w:hAnsi="Times New Roman"/>
          <w:color w:val="000000"/>
        </w:rPr>
        <w:t>Le volet financier de ces rapports respecte les exigences établies aux paragraphes 4, 5 et 6 de l’article 15.7 de l’annexe A2 (exigences relatives à une ventilation détaillée des dépenses).</w:t>
      </w:r>
    </w:p>
    <w:p w14:paraId="388F3866"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br/>
      </w:r>
      <w:r>
        <w:rPr>
          <w:rFonts w:ascii="Times New Roman" w:hAnsi="Times New Roman"/>
          <w:color w:val="000000"/>
        </w:rPr>
        <w:t>En plus de ces rapports, l’État membre [principal]</w:t>
      </w:r>
      <w:r>
        <w:rPr>
          <w:rFonts w:ascii="Times New Roman" w:hAnsi="Times New Roman"/>
          <w:color w:val="000000"/>
          <w:vertAlign w:val="superscript"/>
        </w:rPr>
        <w:footnoteReference w:id="26"/>
      </w:r>
      <w:r>
        <w:rPr>
          <w:rFonts w:ascii="Times New Roman" w:hAnsi="Times New Roman"/>
          <w:color w:val="000000"/>
        </w:rPr>
        <w:t xml:space="preserve"> soumet, tous les trimestres, des rapports intermédiaires, conformément à l’article 2.1 de l’annexe A2. Les rapports spécifiques seront établis conformément aux dispositions de l’annexe A7 du présent contrat.</w:t>
      </w:r>
    </w:p>
    <w:p w14:paraId="69738621" w14:textId="77777777" w:rsidR="00832F98" w:rsidRPr="005107DF" w:rsidRDefault="00832F98" w:rsidP="00866A0B">
      <w:pPr>
        <w:spacing w:after="0" w:line="240" w:lineRule="auto"/>
        <w:jc w:val="both"/>
        <w:rPr>
          <w:rFonts w:ascii="Times New Roman" w:eastAsia="Times New Roman" w:hAnsi="Times New Roman" w:cs="Times New Roman"/>
          <w:color w:val="000000"/>
          <w:sz w:val="24"/>
          <w:szCs w:val="24"/>
        </w:rPr>
      </w:pPr>
    </w:p>
    <w:p w14:paraId="0FEDA178"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 w:val="24"/>
          <w:szCs w:val="20"/>
        </w:rPr>
      </w:pPr>
      <w:r>
        <w:rPr>
          <w:rFonts w:ascii="Times New Roman" w:hAnsi="Times New Roman"/>
          <w:b/>
          <w:color w:val="000000"/>
          <w:sz w:val="24"/>
        </w:rPr>
        <w:t>Article 5 – Adresses de contact</w:t>
      </w:r>
    </w:p>
    <w:p w14:paraId="2A582747" w14:textId="77777777" w:rsidR="00832F98" w:rsidRPr="005107DF" w:rsidRDefault="00832F98" w:rsidP="00866A0B">
      <w:pPr>
        <w:spacing w:after="0" w:line="240" w:lineRule="auto"/>
        <w:jc w:val="both"/>
        <w:rPr>
          <w:rFonts w:ascii="Times New Roman" w:eastAsia="Times New Roman" w:hAnsi="Times New Roman" w:cs="Times New Roman"/>
          <w:color w:val="000000"/>
          <w:sz w:val="24"/>
          <w:szCs w:val="24"/>
        </w:rPr>
      </w:pPr>
    </w:p>
    <w:p w14:paraId="12E7887E"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5.1</w:t>
      </w:r>
      <w:r>
        <w:tab/>
      </w:r>
      <w:r>
        <w:rPr>
          <w:rFonts w:ascii="Times New Roman" w:hAnsi="Times New Roman"/>
          <w:color w:val="000000"/>
        </w:rPr>
        <w:t>Toute communication relative au présent contrat doit être faite par écrit, comporter le numéro et l’intitulé de l’action et être envoyée aux adresses suivantes:</w:t>
      </w:r>
    </w:p>
    <w:p w14:paraId="576BF801"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Cs w:val="24"/>
        </w:rPr>
      </w:pPr>
    </w:p>
    <w:p w14:paraId="64161AF9" w14:textId="77777777" w:rsidR="00832F98" w:rsidRPr="005107DF" w:rsidRDefault="00832F98" w:rsidP="00866A0B">
      <w:pPr>
        <w:spacing w:after="0" w:line="240" w:lineRule="auto"/>
        <w:ind w:left="852" w:hanging="426"/>
        <w:jc w:val="both"/>
        <w:rPr>
          <w:rFonts w:ascii="Times New Roman" w:eastAsia="Times New Roman" w:hAnsi="Times New Roman" w:cs="Times New Roman"/>
          <w:color w:val="000000"/>
          <w:sz w:val="24"/>
          <w:szCs w:val="24"/>
        </w:rPr>
      </w:pPr>
      <w:r>
        <w:rPr>
          <w:rFonts w:ascii="Times New Roman" w:hAnsi="Times New Roman"/>
          <w:color w:val="000000"/>
          <w:u w:val="single"/>
        </w:rPr>
        <w:t>Pour l’administration contractante</w:t>
      </w:r>
    </w:p>
    <w:p w14:paraId="3F15AFC7" w14:textId="77777777" w:rsidR="00832F98" w:rsidRPr="005107DF" w:rsidRDefault="00832F98" w:rsidP="00866A0B">
      <w:pPr>
        <w:spacing w:after="0" w:line="240" w:lineRule="auto"/>
        <w:ind w:left="852" w:hanging="426"/>
        <w:jc w:val="both"/>
        <w:rPr>
          <w:rFonts w:ascii="Times New Roman" w:eastAsia="Times New Roman" w:hAnsi="Times New Roman" w:cs="Times New Roman"/>
          <w:color w:val="000000"/>
          <w:sz w:val="24"/>
          <w:szCs w:val="24"/>
        </w:rPr>
      </w:pPr>
    </w:p>
    <w:p w14:paraId="3E053FA8" w14:textId="77777777" w:rsidR="00832F98" w:rsidRPr="005107DF" w:rsidRDefault="00832F98" w:rsidP="00866A0B">
      <w:pPr>
        <w:spacing w:after="0" w:line="240" w:lineRule="auto"/>
        <w:ind w:left="426"/>
        <w:jc w:val="both"/>
        <w:rPr>
          <w:rFonts w:ascii="Times New Roman" w:eastAsia="Times New Roman" w:hAnsi="Times New Roman" w:cs="Times New Roman"/>
          <w:i/>
          <w:color w:val="000000"/>
          <w:szCs w:val="24"/>
        </w:rPr>
      </w:pPr>
      <w:r>
        <w:rPr>
          <w:rFonts w:ascii="Times New Roman" w:hAnsi="Times New Roman"/>
          <w:i/>
          <w:color w:val="000000"/>
        </w:rPr>
        <w:t>[Option nº 1: lorsque l’administration contractante n’est pas la Commission européenne (gestion déléguée avec ou sans contrôle ex post):]</w:t>
      </w:r>
    </w:p>
    <w:p w14:paraId="6A67EC1E"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p>
    <w:p w14:paraId="2FDA1DCE"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r>
        <w:rPr>
          <w:rFonts w:ascii="Times New Roman" w:hAnsi="Times New Roman"/>
          <w:color w:val="000000"/>
        </w:rPr>
        <w:t>Les demandes de paiement et rapports joints, y compris les demandes de changement de compte bancaire, doivent être adressées à:</w:t>
      </w:r>
    </w:p>
    <w:p w14:paraId="5DB638AF"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p>
    <w:p w14:paraId="32A96B0A"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r>
        <w:rPr>
          <w:rFonts w:ascii="Times New Roman" w:hAnsi="Times New Roman"/>
          <w:color w:val="000000"/>
        </w:rPr>
        <w:t>[</w:t>
      </w:r>
      <w:r>
        <w:rPr>
          <w:rFonts w:ascii="Times New Roman" w:hAnsi="Times New Roman"/>
          <w:i/>
          <w:color w:val="000000"/>
        </w:rPr>
        <w:t>adresse du service gestionnaire de l’administration contractante</w:t>
      </w:r>
      <w:r>
        <w:rPr>
          <w:rFonts w:ascii="Times New Roman" w:hAnsi="Times New Roman"/>
          <w:color w:val="000000"/>
        </w:rPr>
        <w:t>]</w:t>
      </w:r>
    </w:p>
    <w:p w14:paraId="287C33D4"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 w:val="24"/>
          <w:szCs w:val="24"/>
        </w:rPr>
      </w:pPr>
    </w:p>
    <w:p w14:paraId="3FDD13A6" w14:textId="77777777" w:rsidR="00832F98" w:rsidRPr="005107DF" w:rsidRDefault="00832F98" w:rsidP="00866A0B">
      <w:pPr>
        <w:spacing w:after="0" w:line="240" w:lineRule="auto"/>
        <w:ind w:left="426"/>
        <w:jc w:val="both"/>
        <w:rPr>
          <w:rFonts w:ascii="Times New Roman" w:eastAsia="Times New Roman" w:hAnsi="Times New Roman" w:cs="Times New Roman"/>
          <w:i/>
          <w:color w:val="000000"/>
          <w:szCs w:val="24"/>
        </w:rPr>
      </w:pPr>
      <w:r>
        <w:rPr>
          <w:rFonts w:ascii="Times New Roman" w:hAnsi="Times New Roman"/>
          <w:color w:val="000000"/>
        </w:rPr>
        <w:t>Une copie des rapports mentionnés à l’article 4.2 est adressée au service concerné de la Commission européenne, à l’adresse suivante:</w:t>
      </w:r>
    </w:p>
    <w:p w14:paraId="1F4793A9" w14:textId="77777777" w:rsidR="00832F98" w:rsidRPr="005107DF" w:rsidRDefault="00832F98" w:rsidP="00866A0B">
      <w:pPr>
        <w:spacing w:after="0" w:line="240" w:lineRule="auto"/>
        <w:ind w:left="426"/>
        <w:jc w:val="both"/>
        <w:rPr>
          <w:rFonts w:ascii="Times New Roman" w:eastAsia="Times New Roman" w:hAnsi="Times New Roman" w:cs="Times New Roman"/>
          <w:i/>
          <w:color w:val="000000"/>
          <w:szCs w:val="24"/>
        </w:rPr>
      </w:pPr>
    </w:p>
    <w:p w14:paraId="17F87165"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r>
        <w:rPr>
          <w:rFonts w:ascii="Times New Roman" w:hAnsi="Times New Roman"/>
          <w:color w:val="000000"/>
        </w:rPr>
        <w:t>[</w:t>
      </w:r>
      <w:r>
        <w:rPr>
          <w:rFonts w:ascii="Times New Roman" w:hAnsi="Times New Roman"/>
          <w:i/>
          <w:color w:val="000000"/>
        </w:rPr>
        <w:t>adresse de la délégation ou du bureau de l’UE et direction générale du voisinage et des négociations d’élargissement à Bruxelles</w:t>
      </w:r>
      <w:r>
        <w:rPr>
          <w:rFonts w:ascii="Times New Roman" w:hAnsi="Times New Roman"/>
          <w:color w:val="000000"/>
        </w:rPr>
        <w:t>]</w:t>
      </w:r>
    </w:p>
    <w:p w14:paraId="3122EF9B"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p>
    <w:p w14:paraId="244EE4D4"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u w:val="single"/>
        </w:rPr>
      </w:pPr>
    </w:p>
    <w:p w14:paraId="01AD527D" w14:textId="77777777" w:rsidR="00832F98" w:rsidRPr="005107DF" w:rsidRDefault="00832F98" w:rsidP="00866A0B">
      <w:pPr>
        <w:spacing w:after="0" w:line="240" w:lineRule="auto"/>
        <w:ind w:left="426"/>
        <w:jc w:val="both"/>
        <w:rPr>
          <w:rFonts w:ascii="Times New Roman" w:eastAsia="Times New Roman" w:hAnsi="Times New Roman" w:cs="Times New Roman"/>
          <w:i/>
          <w:color w:val="000000"/>
          <w:szCs w:val="24"/>
        </w:rPr>
      </w:pPr>
      <w:r>
        <w:rPr>
          <w:rFonts w:ascii="Times New Roman" w:hAnsi="Times New Roman"/>
          <w:i/>
          <w:color w:val="000000"/>
        </w:rPr>
        <w:t>[Option nº 2: lorsque l’administration contractante est une délégation ou un bureau de l’UE:]</w:t>
      </w:r>
    </w:p>
    <w:p w14:paraId="71424519"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p>
    <w:p w14:paraId="1661B910"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r>
        <w:rPr>
          <w:rFonts w:ascii="Times New Roman" w:hAnsi="Times New Roman"/>
          <w:color w:val="000000"/>
        </w:rPr>
        <w:t>Les demandes de paiement et rapports joints, y compris les demandes de changement de compte bancaire, doivent être adressées à:</w:t>
      </w:r>
    </w:p>
    <w:p w14:paraId="3E055149"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p>
    <w:p w14:paraId="6D0C3961"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r>
        <w:rPr>
          <w:rFonts w:ascii="Times New Roman" w:hAnsi="Times New Roman"/>
          <w:color w:val="000000"/>
        </w:rPr>
        <w:t>[</w:t>
      </w:r>
      <w:r>
        <w:rPr>
          <w:rFonts w:ascii="Times New Roman" w:hAnsi="Times New Roman"/>
          <w:i/>
          <w:color w:val="000000"/>
        </w:rPr>
        <w:t>adresse de l’unité financière de la délégation ou du bureau de l’UE</w:t>
      </w:r>
      <w:r>
        <w:rPr>
          <w:rFonts w:ascii="Times New Roman" w:hAnsi="Times New Roman"/>
          <w:color w:val="000000"/>
        </w:rPr>
        <w:t>]</w:t>
      </w:r>
    </w:p>
    <w:p w14:paraId="0902329B"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p>
    <w:p w14:paraId="345C1B3B"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r>
        <w:rPr>
          <w:rFonts w:ascii="Times New Roman" w:hAnsi="Times New Roman"/>
          <w:color w:val="000000"/>
        </w:rPr>
        <w:lastRenderedPageBreak/>
        <w:t>Une copie des documents mentionnés ci-dessus ainsi que de toute autre correspondance doit être adressée à:</w:t>
      </w:r>
    </w:p>
    <w:p w14:paraId="4C8D85BE"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p>
    <w:p w14:paraId="6C50A5A9"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r>
        <w:rPr>
          <w:rFonts w:ascii="Times New Roman" w:hAnsi="Times New Roman"/>
          <w:color w:val="000000"/>
        </w:rPr>
        <w:t>[</w:t>
      </w:r>
      <w:r>
        <w:rPr>
          <w:rFonts w:ascii="Times New Roman" w:hAnsi="Times New Roman"/>
          <w:i/>
          <w:color w:val="000000"/>
        </w:rPr>
        <w:t>adresse de l’unité gestionnaire de la délégation ou du bureau de l’UE</w:t>
      </w:r>
      <w:r>
        <w:rPr>
          <w:rFonts w:ascii="Times New Roman" w:hAnsi="Times New Roman"/>
          <w:color w:val="000000"/>
        </w:rPr>
        <w:t>]</w:t>
      </w:r>
    </w:p>
    <w:p w14:paraId="6CF023DA"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p>
    <w:p w14:paraId="539C4BEB"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p>
    <w:p w14:paraId="2E195B9A" w14:textId="77777777" w:rsidR="00832F98" w:rsidRPr="005107DF" w:rsidRDefault="00832F98" w:rsidP="00866A0B">
      <w:pPr>
        <w:spacing w:after="0" w:line="240" w:lineRule="auto"/>
        <w:ind w:left="426"/>
        <w:jc w:val="both"/>
        <w:rPr>
          <w:rFonts w:ascii="Times New Roman" w:eastAsia="Times New Roman" w:hAnsi="Times New Roman" w:cs="Times New Roman"/>
          <w:i/>
          <w:color w:val="000000"/>
          <w:szCs w:val="24"/>
        </w:rPr>
      </w:pPr>
      <w:r>
        <w:rPr>
          <w:rFonts w:ascii="Times New Roman" w:hAnsi="Times New Roman"/>
          <w:i/>
          <w:color w:val="000000"/>
        </w:rPr>
        <w:t>[Pour les deux options:]</w:t>
      </w:r>
    </w:p>
    <w:p w14:paraId="1DDBE5A2"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p>
    <w:p w14:paraId="180544A8"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r>
        <w:rPr>
          <w:rFonts w:ascii="Times New Roman" w:hAnsi="Times New Roman"/>
          <w:color w:val="000000"/>
          <w:u w:val="single"/>
        </w:rPr>
        <w:t>Pour l’État membre partenaire [principal]</w:t>
      </w:r>
    </w:p>
    <w:p w14:paraId="1D279B7A"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p>
    <w:p w14:paraId="138464E0"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r>
        <w:rPr>
          <w:rFonts w:ascii="Times New Roman" w:hAnsi="Times New Roman"/>
          <w:color w:val="000000"/>
        </w:rPr>
        <w:t>[</w:t>
      </w:r>
      <w:r>
        <w:rPr>
          <w:rFonts w:ascii="Times New Roman" w:hAnsi="Times New Roman"/>
          <w:i/>
          <w:color w:val="000000"/>
        </w:rPr>
        <w:t>adresse de correspondance de l’État membre partenaire [principal]</w:t>
      </w:r>
      <w:r>
        <w:rPr>
          <w:rFonts w:ascii="Times New Roman" w:hAnsi="Times New Roman"/>
          <w:color w:val="000000"/>
        </w:rPr>
        <w:t>]</w:t>
      </w:r>
    </w:p>
    <w:p w14:paraId="591E98C6"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p>
    <w:p w14:paraId="05D7D500"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p>
    <w:p w14:paraId="44131826"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r>
        <w:rPr>
          <w:rFonts w:ascii="Times New Roman" w:hAnsi="Times New Roman"/>
          <w:color w:val="000000"/>
          <w:u w:val="single"/>
        </w:rPr>
        <w:t>Pour le bénéficiaire final de l’action</w:t>
      </w:r>
    </w:p>
    <w:p w14:paraId="2B9237A8"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p>
    <w:p w14:paraId="236DF74F"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r>
        <w:rPr>
          <w:rFonts w:ascii="Times New Roman" w:hAnsi="Times New Roman"/>
          <w:color w:val="000000"/>
        </w:rPr>
        <w:t>[</w:t>
      </w:r>
      <w:r>
        <w:rPr>
          <w:rFonts w:ascii="Times New Roman" w:hAnsi="Times New Roman"/>
          <w:i/>
          <w:color w:val="000000"/>
        </w:rPr>
        <w:t>adresse du bénéficiaire final de l’action</w:t>
      </w:r>
      <w:r>
        <w:rPr>
          <w:rFonts w:ascii="Times New Roman" w:hAnsi="Times New Roman"/>
          <w:color w:val="000000"/>
        </w:rPr>
        <w:t>]</w:t>
      </w:r>
    </w:p>
    <w:p w14:paraId="4CB54BEB"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p>
    <w:p w14:paraId="622E5561" w14:textId="77777777" w:rsidR="00832F98" w:rsidRPr="005107DF" w:rsidRDefault="00832F98" w:rsidP="00866A0B">
      <w:pPr>
        <w:spacing w:after="0" w:line="240" w:lineRule="auto"/>
        <w:ind w:left="426"/>
        <w:jc w:val="both"/>
        <w:rPr>
          <w:rFonts w:ascii="Times New Roman" w:eastAsia="Times New Roman" w:hAnsi="Times New Roman" w:cs="Times New Roman"/>
          <w:i/>
          <w:sz w:val="20"/>
          <w:szCs w:val="20"/>
        </w:rPr>
      </w:pPr>
    </w:p>
    <w:p w14:paraId="268E505E"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r>
        <w:rPr>
          <w:rFonts w:ascii="Times New Roman" w:hAnsi="Times New Roman"/>
          <w:i/>
          <w:color w:val="000000"/>
        </w:rPr>
        <w:t>[adresse de l’unité de gestion du programme et/ou de l’administration bénéficiaire]</w:t>
      </w:r>
    </w:p>
    <w:p w14:paraId="3CADEFBB"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p>
    <w:p w14:paraId="77D29AA5" w14:textId="77777777" w:rsidR="00832F98" w:rsidRPr="005107DF" w:rsidRDefault="00832F98" w:rsidP="00866A0B">
      <w:pPr>
        <w:spacing w:after="0" w:line="240" w:lineRule="auto"/>
        <w:jc w:val="both"/>
        <w:rPr>
          <w:rFonts w:ascii="Times New Roman" w:eastAsia="Times New Roman" w:hAnsi="Times New Roman" w:cs="Times New Roman"/>
          <w:color w:val="000000"/>
        </w:rPr>
      </w:pPr>
    </w:p>
    <w:p w14:paraId="6583913E"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5.2</w:t>
      </w:r>
      <w:r>
        <w:tab/>
      </w:r>
      <w:r>
        <w:rPr>
          <w:rFonts w:ascii="Times New Roman" w:hAnsi="Times New Roman"/>
          <w:color w:val="000000"/>
        </w:rPr>
        <w:t>La vérification des dépenses visée à l’article 15.7 de l’annexe A2 sera effectuée par [</w:t>
      </w:r>
      <w:r>
        <w:rPr>
          <w:rFonts w:ascii="Times New Roman" w:hAnsi="Times New Roman"/>
          <w:i/>
          <w:color w:val="000000"/>
        </w:rPr>
        <w:t>nom, adresse, et numéros de téléphone et de télécopieur de l’auditeur sélectionné</w:t>
      </w:r>
      <w:r>
        <w:rPr>
          <w:rFonts w:ascii="Times New Roman" w:hAnsi="Times New Roman"/>
          <w:color w:val="000000"/>
        </w:rPr>
        <w:t>]</w:t>
      </w:r>
      <w:r>
        <w:rPr>
          <w:rStyle w:val="EndnoteReference"/>
          <w:rFonts w:ascii="Times New Roman" w:hAnsi="Times New Roman"/>
          <w:color w:val="000000"/>
        </w:rPr>
        <w:endnoteReference w:id="1"/>
      </w:r>
      <w:r>
        <w:rPr>
          <w:rStyle w:val="FootnoteReference"/>
          <w:rFonts w:ascii="Times New Roman" w:hAnsi="Times New Roman"/>
          <w:color w:val="000000"/>
        </w:rPr>
        <w:footnoteReference w:id="27"/>
      </w:r>
    </w:p>
    <w:p w14:paraId="0367E78C"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Cs w:val="24"/>
        </w:rPr>
      </w:pPr>
    </w:p>
    <w:p w14:paraId="442A882D"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 w:val="24"/>
          <w:szCs w:val="20"/>
        </w:rPr>
      </w:pPr>
      <w:r>
        <w:rPr>
          <w:rFonts w:ascii="Times New Roman" w:hAnsi="Times New Roman"/>
          <w:b/>
          <w:color w:val="000000"/>
          <w:sz w:val="24"/>
        </w:rPr>
        <w:t>Article 6 - Annexes</w:t>
      </w:r>
    </w:p>
    <w:p w14:paraId="2EB70788" w14:textId="77777777" w:rsidR="00832F98" w:rsidRPr="005107DF" w:rsidRDefault="00832F98" w:rsidP="00866A0B">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rPr>
        <w:t> </w:t>
      </w:r>
    </w:p>
    <w:p w14:paraId="3EA8B670"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 w:val="24"/>
          <w:szCs w:val="24"/>
        </w:rPr>
      </w:pPr>
      <w:r>
        <w:rPr>
          <w:rFonts w:ascii="Times New Roman" w:hAnsi="Times New Roman"/>
          <w:color w:val="000000"/>
        </w:rPr>
        <w:t>6.1</w:t>
      </w:r>
      <w:r>
        <w:tab/>
      </w:r>
      <w:r>
        <w:rPr>
          <w:rFonts w:ascii="Times New Roman" w:hAnsi="Times New Roman"/>
          <w:color w:val="000000"/>
        </w:rPr>
        <w:t>Les documents suivants sont annexés aux présentes conditions particulières et font partie intégrante du contrat:</w:t>
      </w:r>
    </w:p>
    <w:p w14:paraId="696BABD8" w14:textId="77777777" w:rsidR="00832F98" w:rsidRPr="005107DF" w:rsidRDefault="00832F98" w:rsidP="00866A0B">
      <w:pPr>
        <w:spacing w:after="0" w:line="240" w:lineRule="auto"/>
        <w:jc w:val="both"/>
        <w:rPr>
          <w:rFonts w:ascii="Times New Roman" w:eastAsia="Times New Roman" w:hAnsi="Times New Roman" w:cs="Times New Roman"/>
          <w:color w:val="000000"/>
          <w:sz w:val="24"/>
          <w:szCs w:val="24"/>
        </w:rPr>
      </w:pPr>
    </w:p>
    <w:p w14:paraId="62AC7068" w14:textId="77777777" w:rsidR="00832F98" w:rsidRPr="005107DF" w:rsidRDefault="00832F98" w:rsidP="00521495">
      <w:pPr>
        <w:spacing w:after="0" w:line="240" w:lineRule="auto"/>
        <w:ind w:left="2157" w:hanging="1590"/>
        <w:jc w:val="both"/>
        <w:rPr>
          <w:rFonts w:ascii="Times New Roman" w:eastAsia="Times New Roman" w:hAnsi="Times New Roman" w:cs="Times New Roman"/>
          <w:color w:val="000000"/>
          <w:sz w:val="24"/>
          <w:szCs w:val="24"/>
        </w:rPr>
      </w:pPr>
      <w:r>
        <w:rPr>
          <w:rFonts w:ascii="Times New Roman" w:hAnsi="Times New Roman"/>
          <w:color w:val="000000"/>
        </w:rPr>
        <w:t>Annexe A1:</w:t>
      </w:r>
      <w:r>
        <w:tab/>
      </w:r>
      <w:r>
        <w:tab/>
      </w:r>
      <w:r>
        <w:rPr>
          <w:rFonts w:ascii="Times New Roman" w:hAnsi="Times New Roman"/>
          <w:color w:val="000000"/>
        </w:rPr>
        <w:t xml:space="preserve">Description de l’action </w:t>
      </w:r>
      <w:r>
        <w:rPr>
          <w:rFonts w:ascii="Times New Roman" w:hAnsi="Times New Roman"/>
        </w:rPr>
        <w:t>(fiche de projet, proposition de l’État membre et, ultérieurement, pour le jumelage standard, plan de travail évolutif et CV des experts de courte durée)</w:t>
      </w:r>
    </w:p>
    <w:p w14:paraId="0C61380D" w14:textId="77777777" w:rsidR="00832F98" w:rsidRPr="005107DF" w:rsidRDefault="00832F98" w:rsidP="00271A2B">
      <w:pPr>
        <w:spacing w:after="0" w:line="240" w:lineRule="auto"/>
        <w:ind w:left="2157" w:hanging="1590"/>
        <w:jc w:val="both"/>
        <w:rPr>
          <w:rFonts w:ascii="Times New Roman" w:eastAsia="Times New Roman" w:hAnsi="Times New Roman" w:cs="Times New Roman"/>
          <w:color w:val="000000"/>
          <w:sz w:val="24"/>
          <w:szCs w:val="24"/>
        </w:rPr>
      </w:pPr>
      <w:r>
        <w:rPr>
          <w:rFonts w:ascii="Times New Roman" w:hAnsi="Times New Roman"/>
          <w:color w:val="000000"/>
        </w:rPr>
        <w:t>Annexe A2</w:t>
      </w:r>
      <w:r>
        <w:rPr>
          <w:rFonts w:ascii="Times New Roman" w:hAnsi="Times New Roman"/>
          <w:color w:val="000000"/>
          <w:sz w:val="24"/>
        </w:rPr>
        <w:t>:</w:t>
      </w:r>
      <w:r>
        <w:tab/>
      </w:r>
      <w:r>
        <w:tab/>
      </w:r>
      <w:r>
        <w:rPr>
          <w:rFonts w:ascii="Times New Roman" w:hAnsi="Times New Roman"/>
          <w:color w:val="000000"/>
        </w:rPr>
        <w:t>Conditions générales applicables aux contrats de subvention conclus dans le cadre des actions extérieures de l’Union européenne</w:t>
      </w:r>
      <w:r>
        <w:tab/>
      </w:r>
    </w:p>
    <w:p w14:paraId="08AFFE47" w14:textId="77777777" w:rsidR="00832F98" w:rsidRPr="005107DF" w:rsidRDefault="00832F98" w:rsidP="00521495">
      <w:pPr>
        <w:spacing w:after="0" w:line="240" w:lineRule="auto"/>
        <w:ind w:left="2157" w:hanging="1590"/>
        <w:jc w:val="both"/>
        <w:rPr>
          <w:rFonts w:ascii="Times New Roman" w:eastAsia="Times New Roman" w:hAnsi="Times New Roman" w:cs="Times New Roman"/>
          <w:color w:val="000000"/>
          <w:szCs w:val="24"/>
        </w:rPr>
      </w:pPr>
      <w:r>
        <w:rPr>
          <w:rFonts w:ascii="Times New Roman" w:hAnsi="Times New Roman"/>
          <w:color w:val="000000"/>
        </w:rPr>
        <w:t xml:space="preserve">Annexe A3: </w:t>
      </w:r>
      <w:r>
        <w:tab/>
      </w:r>
      <w:r>
        <w:rPr>
          <w:rFonts w:ascii="Times New Roman" w:hAnsi="Times New Roman"/>
          <w:color w:val="000000"/>
        </w:rPr>
        <w:t xml:space="preserve">Budget de l’action </w:t>
      </w:r>
      <w:r>
        <w:rPr>
          <w:rFonts w:ascii="Times New Roman" w:hAnsi="Times New Roman"/>
        </w:rPr>
        <w:t>(et, ultérieurement, pour le jumelage standard, les budgets détaillés correspondant aux plans de travail évolutifs)</w:t>
      </w:r>
    </w:p>
    <w:p w14:paraId="62BA9C11" w14:textId="77777777" w:rsidR="00832F98" w:rsidRPr="005107DF" w:rsidRDefault="00832F98" w:rsidP="00866A0B">
      <w:pPr>
        <w:spacing w:after="0" w:line="240" w:lineRule="auto"/>
        <w:ind w:left="2157" w:hanging="1590"/>
        <w:jc w:val="both"/>
        <w:rPr>
          <w:rFonts w:ascii="Times New Roman" w:eastAsia="Times New Roman" w:hAnsi="Times New Roman" w:cs="Times New Roman"/>
          <w:color w:val="000000"/>
          <w:szCs w:val="24"/>
        </w:rPr>
      </w:pPr>
      <w:r>
        <w:rPr>
          <w:rFonts w:ascii="Times New Roman" w:hAnsi="Times New Roman"/>
          <w:color w:val="000000"/>
        </w:rPr>
        <w:t xml:space="preserve">Annexe A4: </w:t>
      </w:r>
      <w:r>
        <w:tab/>
      </w:r>
      <w:r>
        <w:rPr>
          <w:rFonts w:ascii="Times New Roman" w:hAnsi="Times New Roman"/>
          <w:color w:val="000000"/>
        </w:rPr>
        <w:t>Passation de marchés par les bénéficiaires de subventions</w:t>
      </w:r>
    </w:p>
    <w:p w14:paraId="2C0233CF" w14:textId="77777777" w:rsidR="00832F98" w:rsidRPr="005107DF" w:rsidRDefault="00832F98" w:rsidP="00866A0B">
      <w:pPr>
        <w:spacing w:after="0" w:line="240" w:lineRule="auto"/>
        <w:ind w:left="2157" w:hanging="1590"/>
        <w:jc w:val="both"/>
        <w:rPr>
          <w:rFonts w:ascii="Times New Roman" w:eastAsia="Times New Roman" w:hAnsi="Times New Roman" w:cs="Times New Roman"/>
          <w:color w:val="000000"/>
          <w:szCs w:val="24"/>
        </w:rPr>
      </w:pPr>
      <w:r>
        <w:rPr>
          <w:rFonts w:ascii="Times New Roman" w:hAnsi="Times New Roman"/>
          <w:color w:val="000000"/>
        </w:rPr>
        <w:t xml:space="preserve">Annexe A5: </w:t>
      </w:r>
      <w:r>
        <w:tab/>
      </w:r>
      <w:r>
        <w:rPr>
          <w:rFonts w:ascii="Times New Roman" w:hAnsi="Times New Roman"/>
          <w:color w:val="000000"/>
        </w:rPr>
        <w:t>Demande de paiement pour le contrat de subvention de jumelage, y compris le signalétique financier et la fiche «signalétique entité légale»</w:t>
      </w:r>
    </w:p>
    <w:p w14:paraId="6B8A5ACC" w14:textId="77777777" w:rsidR="00832F98" w:rsidRPr="005107DF" w:rsidRDefault="00832F98" w:rsidP="00866A0B">
      <w:pPr>
        <w:spacing w:after="0" w:line="240" w:lineRule="auto"/>
        <w:ind w:left="2157" w:hanging="1590"/>
        <w:jc w:val="both"/>
        <w:rPr>
          <w:rFonts w:ascii="Times New Roman" w:eastAsia="Times New Roman" w:hAnsi="Times New Roman" w:cs="Times New Roman"/>
          <w:color w:val="000000"/>
          <w:szCs w:val="24"/>
        </w:rPr>
      </w:pPr>
      <w:r>
        <w:rPr>
          <w:rFonts w:ascii="Times New Roman" w:hAnsi="Times New Roman"/>
          <w:color w:val="000000"/>
        </w:rPr>
        <w:t xml:space="preserve">Annexe A6: </w:t>
      </w:r>
      <w:r>
        <w:tab/>
      </w:r>
      <w:r>
        <w:rPr>
          <w:rFonts w:ascii="Times New Roman" w:hAnsi="Times New Roman"/>
          <w:color w:val="000000"/>
        </w:rPr>
        <w:t>Termes de référence pour une vérification des dépenses dans le cadre d’un contrat de subvention de jumelage</w:t>
      </w:r>
    </w:p>
    <w:p w14:paraId="35CA32B4" w14:textId="77777777" w:rsidR="00832F98" w:rsidRPr="005107DF" w:rsidRDefault="00832F98" w:rsidP="00866A0B">
      <w:pPr>
        <w:spacing w:after="0" w:line="240" w:lineRule="auto"/>
        <w:ind w:left="2157" w:hanging="1590"/>
        <w:jc w:val="both"/>
        <w:rPr>
          <w:rFonts w:ascii="Times New Roman" w:eastAsia="Times New Roman" w:hAnsi="Times New Roman" w:cs="Times New Roman"/>
          <w:color w:val="000000"/>
          <w:szCs w:val="24"/>
        </w:rPr>
      </w:pPr>
      <w:r>
        <w:rPr>
          <w:rFonts w:ascii="Times New Roman" w:hAnsi="Times New Roman"/>
          <w:color w:val="000000"/>
        </w:rPr>
        <w:t xml:space="preserve">Annexe A7: </w:t>
      </w:r>
      <w:r>
        <w:tab/>
      </w:r>
      <w:r>
        <w:rPr>
          <w:rFonts w:ascii="Times New Roman" w:hAnsi="Times New Roman"/>
          <w:color w:val="000000"/>
        </w:rPr>
        <w:t>Annexe financière</w:t>
      </w:r>
    </w:p>
    <w:p w14:paraId="29080121" w14:textId="77777777" w:rsidR="00832F98" w:rsidRPr="005107DF" w:rsidRDefault="00832F98" w:rsidP="00866A0B">
      <w:pPr>
        <w:spacing w:after="0" w:line="240" w:lineRule="auto"/>
        <w:ind w:left="2157" w:hanging="1590"/>
        <w:jc w:val="both"/>
        <w:rPr>
          <w:rFonts w:ascii="Times New Roman" w:eastAsia="Times New Roman" w:hAnsi="Times New Roman" w:cs="Times New Roman"/>
          <w:color w:val="000000"/>
          <w:szCs w:val="24"/>
        </w:rPr>
      </w:pPr>
      <w:r>
        <w:rPr>
          <w:rFonts w:ascii="Times New Roman" w:hAnsi="Times New Roman"/>
          <w:color w:val="000000"/>
        </w:rPr>
        <w:t xml:space="preserve">Annexe A8: </w:t>
      </w:r>
      <w:r>
        <w:tab/>
      </w:r>
      <w:r>
        <w:rPr>
          <w:rFonts w:ascii="Times New Roman" w:hAnsi="Times New Roman"/>
          <w:color w:val="000000"/>
        </w:rPr>
        <w:t>Mandat (en cas de constitution d’un consortium d’États membres partenaires)</w:t>
      </w:r>
    </w:p>
    <w:p w14:paraId="33200B62" w14:textId="77777777" w:rsidR="00832F98" w:rsidRPr="005107DF" w:rsidRDefault="00832F98" w:rsidP="00866A0B">
      <w:pPr>
        <w:spacing w:after="0" w:line="240" w:lineRule="auto"/>
        <w:ind w:left="2157" w:hanging="1590"/>
        <w:jc w:val="both"/>
        <w:rPr>
          <w:rFonts w:ascii="Times New Roman" w:eastAsia="Times New Roman" w:hAnsi="Times New Roman" w:cs="Times New Roman"/>
          <w:color w:val="000000"/>
          <w:szCs w:val="24"/>
        </w:rPr>
      </w:pPr>
      <w:r>
        <w:rPr>
          <w:rFonts w:ascii="Times New Roman" w:hAnsi="Times New Roman"/>
          <w:color w:val="000000"/>
        </w:rPr>
        <w:t>Annexe A9:</w:t>
      </w:r>
      <w:r>
        <w:tab/>
      </w:r>
      <w:r>
        <w:rPr>
          <w:rFonts w:ascii="Times New Roman" w:hAnsi="Times New Roman"/>
          <w:color w:val="000000"/>
        </w:rPr>
        <w:t>Curriculum vitæ et déclaration de disponibilité du CRJ</w:t>
      </w:r>
    </w:p>
    <w:p w14:paraId="7C48880D" w14:textId="3BEAFE5C" w:rsidR="00832F98" w:rsidRPr="005107DF" w:rsidRDefault="00832F98" w:rsidP="00651BA4">
      <w:pPr>
        <w:spacing w:after="0" w:line="240" w:lineRule="auto"/>
        <w:jc w:val="both"/>
        <w:rPr>
          <w:rFonts w:ascii="Times New Roman" w:eastAsia="Times New Roman" w:hAnsi="Times New Roman" w:cs="Times New Roman"/>
          <w:color w:val="000000"/>
          <w:szCs w:val="24"/>
        </w:rPr>
      </w:pPr>
    </w:p>
    <w:p w14:paraId="05984FC4" w14:textId="77777777" w:rsidR="00832F98" w:rsidRPr="005107DF" w:rsidRDefault="00832F98" w:rsidP="00866A0B">
      <w:pPr>
        <w:spacing w:after="0" w:line="240" w:lineRule="auto"/>
        <w:ind w:left="600" w:hanging="600"/>
        <w:jc w:val="both"/>
        <w:rPr>
          <w:rFonts w:ascii="Times New Roman" w:eastAsia="Times New Roman" w:hAnsi="Times New Roman" w:cs="Times New Roman"/>
          <w:szCs w:val="24"/>
        </w:rPr>
      </w:pPr>
      <w:r>
        <w:rPr>
          <w:rFonts w:ascii="Times New Roman" w:hAnsi="Times New Roman"/>
          <w:color w:val="000000"/>
        </w:rPr>
        <w:t>6.2</w:t>
      </w:r>
      <w:r>
        <w:tab/>
      </w:r>
      <w:r>
        <w:rPr>
          <w:rFonts w:ascii="Times New Roman" w:hAnsi="Times New Roman"/>
        </w:rPr>
        <w:t>En cas de conflit entre les dispositions des présentes conditions particulières et celles des annexes jointes, les premières prévalent. En cas de conflit entre les dispositions de l’annexe A2 et celles des autres annexes, les premières prévalent.</w:t>
      </w:r>
    </w:p>
    <w:p w14:paraId="3F38BB30" w14:textId="77777777" w:rsidR="00832F98" w:rsidRPr="005107DF" w:rsidRDefault="00832F98" w:rsidP="00866A0B">
      <w:pPr>
        <w:spacing w:after="0" w:line="240" w:lineRule="auto"/>
        <w:ind w:left="600" w:hanging="600"/>
        <w:jc w:val="both"/>
        <w:rPr>
          <w:rFonts w:ascii="Times New Roman" w:eastAsia="Times New Roman" w:hAnsi="Times New Roman" w:cs="Times New Roman"/>
          <w:szCs w:val="24"/>
        </w:rPr>
      </w:pPr>
    </w:p>
    <w:p w14:paraId="7E7207FC" w14:textId="77777777" w:rsidR="00832F98" w:rsidRPr="005107DF" w:rsidRDefault="00832F98" w:rsidP="00866A0B">
      <w:pPr>
        <w:spacing w:after="0" w:line="240" w:lineRule="auto"/>
        <w:ind w:left="600" w:hanging="600"/>
        <w:jc w:val="both"/>
        <w:rPr>
          <w:rFonts w:ascii="Times New Roman" w:eastAsia="Times New Roman" w:hAnsi="Times New Roman" w:cs="Times New Roman"/>
          <w:color w:val="000000"/>
          <w:sz w:val="24"/>
          <w:szCs w:val="24"/>
        </w:rPr>
      </w:pPr>
      <w:r>
        <w:tab/>
      </w:r>
      <w:r>
        <w:rPr>
          <w:rFonts w:ascii="Times New Roman" w:hAnsi="Times New Roman"/>
          <w:color w:val="000000"/>
        </w:rPr>
        <w:t>En cas de divergence entre l’article 14 de l’annexe A2 et l’annexe A7, cette dernière prévaut.</w:t>
      </w:r>
    </w:p>
    <w:p w14:paraId="77A94FCC"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 </w:t>
      </w:r>
    </w:p>
    <w:p w14:paraId="35672BB0" w14:textId="77777777" w:rsidR="00832F98" w:rsidRPr="005107DF" w:rsidRDefault="00832F98" w:rsidP="00866A0B">
      <w:pPr>
        <w:spacing w:after="0" w:line="240" w:lineRule="auto"/>
        <w:jc w:val="both"/>
        <w:rPr>
          <w:rFonts w:ascii="Times New Roman" w:eastAsia="Times New Roman" w:hAnsi="Times New Roman" w:cs="Times New Roman"/>
          <w:color w:val="000000"/>
          <w:sz w:val="24"/>
          <w:szCs w:val="24"/>
        </w:rPr>
      </w:pPr>
      <w:r>
        <w:rPr>
          <w:rFonts w:ascii="Times New Roman" w:hAnsi="Times New Roman"/>
          <w:b/>
          <w:color w:val="000000"/>
          <w:sz w:val="24"/>
        </w:rPr>
        <w:t>Article 7 – Autres conditions spécifiques applicables à l’action</w:t>
      </w:r>
    </w:p>
    <w:p w14:paraId="5203CC0A" w14:textId="77777777" w:rsidR="00832F98" w:rsidRPr="005107DF" w:rsidRDefault="00832F98" w:rsidP="00866A0B">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rPr>
        <w:t> </w:t>
      </w:r>
    </w:p>
    <w:p w14:paraId="76B771F2"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 w:val="24"/>
          <w:szCs w:val="24"/>
        </w:rPr>
      </w:pPr>
      <w:r>
        <w:rPr>
          <w:rFonts w:ascii="Times New Roman" w:hAnsi="Times New Roman"/>
          <w:color w:val="000000"/>
        </w:rPr>
        <w:t>7.1</w:t>
      </w:r>
      <w:r>
        <w:tab/>
      </w:r>
      <w:r>
        <w:rPr>
          <w:rFonts w:ascii="Times New Roman" w:hAnsi="Times New Roman"/>
          <w:color w:val="000000"/>
        </w:rPr>
        <w:t>Les conditions générales sont complétées par les dispositions suivantes:</w:t>
      </w:r>
    </w:p>
    <w:p w14:paraId="769B5AB4"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 w:val="24"/>
          <w:szCs w:val="24"/>
        </w:rPr>
      </w:pPr>
    </w:p>
    <w:p w14:paraId="40F3AD17"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7.1.1.</w:t>
      </w:r>
      <w:r>
        <w:tab/>
      </w:r>
      <w:r>
        <w:rPr>
          <w:rFonts w:ascii="Times New Roman" w:hAnsi="Times New Roman"/>
          <w:color w:val="000000"/>
        </w:rPr>
        <w:t>Aux annexes A2 à A7:</w:t>
      </w:r>
    </w:p>
    <w:p w14:paraId="5F443561" w14:textId="77777777" w:rsidR="00832F98" w:rsidRPr="005107DF" w:rsidRDefault="00832F98" w:rsidP="00866A0B">
      <w:pPr>
        <w:spacing w:after="0" w:line="240" w:lineRule="auto"/>
        <w:ind w:left="1134"/>
        <w:jc w:val="both"/>
        <w:rPr>
          <w:rFonts w:ascii="Times New Roman" w:eastAsia="Times New Roman" w:hAnsi="Times New Roman" w:cs="Times New Roman"/>
          <w:color w:val="000000"/>
          <w:szCs w:val="24"/>
        </w:rPr>
      </w:pPr>
      <w:r>
        <w:rPr>
          <w:rFonts w:ascii="Times New Roman" w:hAnsi="Times New Roman"/>
          <w:color w:val="000000"/>
        </w:rPr>
        <w:t>en cas de consortium d’États membres, l’État membre signataire du contrat de subvention de jumelage et chef de file du consortium est désigné par le terme «État membre principal».</w:t>
      </w:r>
    </w:p>
    <w:p w14:paraId="56C0A4E7" w14:textId="77777777" w:rsidR="00832F98" w:rsidRPr="005107DF" w:rsidRDefault="00832F98" w:rsidP="00866A0B">
      <w:pPr>
        <w:spacing w:after="0" w:line="240" w:lineRule="auto"/>
        <w:ind w:left="1134"/>
        <w:jc w:val="both"/>
        <w:rPr>
          <w:rFonts w:ascii="Times New Roman" w:eastAsia="Times New Roman" w:hAnsi="Times New Roman" w:cs="Times New Roman"/>
          <w:color w:val="000000"/>
          <w:szCs w:val="24"/>
        </w:rPr>
      </w:pPr>
    </w:p>
    <w:p w14:paraId="37830384" w14:textId="77777777" w:rsidR="00832F98" w:rsidRPr="005107DF" w:rsidRDefault="00832F98" w:rsidP="00866A0B">
      <w:pPr>
        <w:spacing w:after="0" w:line="240" w:lineRule="auto"/>
        <w:ind w:left="1134"/>
        <w:jc w:val="both"/>
        <w:rPr>
          <w:rFonts w:ascii="Times New Roman" w:eastAsia="Times New Roman" w:hAnsi="Times New Roman" w:cs="Times New Roman"/>
          <w:color w:val="000000"/>
          <w:szCs w:val="24"/>
        </w:rPr>
      </w:pPr>
      <w:r>
        <w:rPr>
          <w:rFonts w:ascii="Times New Roman" w:hAnsi="Times New Roman"/>
          <w:color w:val="000000"/>
        </w:rPr>
        <w:t xml:space="preserve">Le terme «bénéficiaire(s)» désigne collectivement tous les États membres, y compris l’État membre principal. </w:t>
      </w:r>
    </w:p>
    <w:p w14:paraId="382AB160" w14:textId="77777777" w:rsidR="00832F98" w:rsidRPr="005107DF" w:rsidRDefault="00832F98" w:rsidP="00866A0B">
      <w:pPr>
        <w:spacing w:after="0" w:line="240" w:lineRule="auto"/>
        <w:ind w:left="1134"/>
        <w:jc w:val="both"/>
        <w:rPr>
          <w:rFonts w:ascii="Times New Roman" w:eastAsia="Times New Roman" w:hAnsi="Times New Roman" w:cs="Times New Roman"/>
          <w:color w:val="000000"/>
          <w:szCs w:val="24"/>
        </w:rPr>
      </w:pPr>
    </w:p>
    <w:p w14:paraId="58E38238" w14:textId="77777777" w:rsidR="00832F98" w:rsidRPr="005107DF" w:rsidRDefault="00832F98" w:rsidP="00866A0B">
      <w:pPr>
        <w:spacing w:after="0" w:line="240" w:lineRule="auto"/>
        <w:ind w:left="1134"/>
        <w:jc w:val="both"/>
        <w:rPr>
          <w:rFonts w:ascii="Times New Roman" w:eastAsia="Times New Roman" w:hAnsi="Times New Roman" w:cs="Times New Roman"/>
          <w:color w:val="000000"/>
          <w:szCs w:val="24"/>
        </w:rPr>
      </w:pPr>
      <w:r>
        <w:rPr>
          <w:rFonts w:ascii="Times New Roman" w:hAnsi="Times New Roman"/>
          <w:color w:val="000000"/>
        </w:rPr>
        <w:t>Le terme «coordinateur» fait référence à l’État membre principal ou à une entité indiquée dans le contrat désignée par instruction écrite du coordinateur.</w:t>
      </w:r>
    </w:p>
    <w:p w14:paraId="2B079016" w14:textId="77777777" w:rsidR="00832F98" w:rsidRPr="005107DF" w:rsidRDefault="00832F98" w:rsidP="00866A0B">
      <w:pPr>
        <w:spacing w:after="0" w:line="240" w:lineRule="auto"/>
        <w:ind w:left="1134"/>
        <w:jc w:val="both"/>
        <w:rPr>
          <w:rFonts w:ascii="Times New Roman" w:eastAsia="Times New Roman" w:hAnsi="Times New Roman" w:cs="Times New Roman"/>
          <w:color w:val="000000"/>
          <w:szCs w:val="24"/>
        </w:rPr>
      </w:pPr>
      <w:r>
        <w:rPr>
          <w:rFonts w:ascii="Times New Roman" w:hAnsi="Times New Roman"/>
          <w:color w:val="000000"/>
        </w:rPr>
        <w:t>Si l’action ne compte qu’un seul État membre, les termes «bénéficiaire(s)» et «coordinateur» sont réputés désigner cet unique État membre.</w:t>
      </w:r>
    </w:p>
    <w:p w14:paraId="5C2F6B7D" w14:textId="77777777" w:rsidR="00832F98" w:rsidRPr="005107DF" w:rsidRDefault="00832F98" w:rsidP="00866A0B">
      <w:pPr>
        <w:spacing w:after="0" w:line="240" w:lineRule="auto"/>
        <w:ind w:left="1440" w:hanging="731"/>
        <w:jc w:val="both"/>
        <w:rPr>
          <w:rFonts w:ascii="Times New Roman" w:eastAsia="Times New Roman" w:hAnsi="Times New Roman" w:cs="Times New Roman"/>
          <w:color w:val="000000"/>
          <w:szCs w:val="24"/>
        </w:rPr>
      </w:pPr>
    </w:p>
    <w:p w14:paraId="223B8FE6"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7.1.2.</w:t>
      </w:r>
      <w:r>
        <w:tab/>
      </w:r>
      <w:r>
        <w:rPr>
          <w:rFonts w:ascii="Times New Roman" w:hAnsi="Times New Roman"/>
          <w:color w:val="000000"/>
        </w:rPr>
        <w:t>Aux articles 7.1 et 7.2 de l’annexe A2, le terme «bénéficiaire(s)» est remplacé par celui de «bénéficiaire final de l’action». L’article 7.2 de l’annexe A2 s’applique aussi à tout travail effectué par le ou les conseillers résidents de jumelage (CRJ) et autres experts mobilisés par le ou les EMP dans l’exercice de leurs fonctions liées à la mise en œuvre de l’action.</w:t>
      </w:r>
    </w:p>
    <w:p w14:paraId="620C3D33" w14:textId="77777777" w:rsidR="00832F98" w:rsidRPr="005107DF" w:rsidRDefault="00832F98" w:rsidP="00866A0B">
      <w:pPr>
        <w:spacing w:after="0" w:line="240" w:lineRule="auto"/>
        <w:ind w:left="1440" w:hanging="731"/>
        <w:jc w:val="both"/>
        <w:rPr>
          <w:rFonts w:ascii="Times New Roman" w:eastAsia="Times New Roman" w:hAnsi="Times New Roman" w:cs="Times New Roman"/>
          <w:color w:val="000000"/>
          <w:szCs w:val="24"/>
        </w:rPr>
      </w:pPr>
    </w:p>
    <w:p w14:paraId="0A94B4C8"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7.1.3</w:t>
      </w:r>
      <w:r>
        <w:rPr>
          <w:rFonts w:ascii="Times New Roman" w:hAnsi="Times New Roman"/>
          <w:color w:val="000000"/>
          <w:vertAlign w:val="superscript"/>
        </w:rPr>
        <w:footnoteReference w:id="28"/>
      </w:r>
      <w:r>
        <w:rPr>
          <w:rFonts w:ascii="Times New Roman" w:hAnsi="Times New Roman"/>
          <w:color w:val="000000"/>
        </w:rPr>
        <w:t>Les taxes, y compris la TVA, les droits et les charges et tous les autres coûts ne sont en principe pas éligibles pour les activités décrites à l’annexe A1 conformément à l’article 5 du règlement (UE) n° 236/2014 énonçant des règles et de modalités communes pour la mise en œuvre des instruments de l’Union pour le financement de l’action extérieure.</w:t>
      </w:r>
    </w:p>
    <w:p w14:paraId="05E81BAD"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347A661C" w14:textId="77777777" w:rsidR="00832F98" w:rsidRPr="005107DF" w:rsidRDefault="00832F98" w:rsidP="00955027">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7.1.4.</w:t>
      </w:r>
      <w:r>
        <w:tab/>
      </w:r>
      <w:r>
        <w:rPr>
          <w:rFonts w:ascii="Times New Roman" w:hAnsi="Times New Roman"/>
          <w:color w:val="000000"/>
        </w:rPr>
        <w:t>En complément à l’article 11 de l’annexe A2, le bénéficiaire final peut également demander la suspension de la mise en œuvre. La demande de suspension doit être adressée à l’administration contractante. Cette dernière prend une décision conformément aux articles 11.4 à 11.7 de l’annexe A2.</w:t>
      </w:r>
    </w:p>
    <w:p w14:paraId="203E5B7E" w14:textId="397E8851" w:rsidR="00832F98" w:rsidRPr="005107DF" w:rsidRDefault="00832F98" w:rsidP="00651BA4">
      <w:pPr>
        <w:spacing w:after="0" w:line="240" w:lineRule="auto"/>
        <w:jc w:val="both"/>
        <w:rPr>
          <w:rFonts w:ascii="Times New Roman" w:eastAsia="Times New Roman" w:hAnsi="Times New Roman" w:cs="Times New Roman"/>
          <w:color w:val="000000"/>
          <w:szCs w:val="24"/>
        </w:rPr>
      </w:pPr>
    </w:p>
    <w:p w14:paraId="1348B749"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7.1.5 L’article 12 de l’annexe A2 est complété par les dispositions suivantes:</w:t>
      </w:r>
    </w:p>
    <w:p w14:paraId="67AC1C12"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r>
        <w:tab/>
      </w:r>
    </w:p>
    <w:p w14:paraId="50BDD35A" w14:textId="77777777" w:rsidR="00832F98" w:rsidRPr="005107DF" w:rsidRDefault="00832F98" w:rsidP="00866A0B">
      <w:pPr>
        <w:spacing w:after="0" w:line="240" w:lineRule="auto"/>
        <w:ind w:left="1134" w:hanging="567"/>
        <w:jc w:val="both"/>
        <w:rPr>
          <w:rFonts w:ascii="Times New Roman" w:eastAsia="Times New Roman" w:hAnsi="Times New Roman" w:cs="Times New Roman"/>
          <w:b/>
          <w:bCs/>
          <w:u w:val="single"/>
        </w:rPr>
      </w:pPr>
      <w:r>
        <w:tab/>
      </w:r>
      <w:r>
        <w:rPr>
          <w:rFonts w:ascii="Times New Roman" w:hAnsi="Times New Roman"/>
          <w:b/>
          <w:u w:val="single"/>
        </w:rPr>
        <w:t>Résiliation par l’État membre</w:t>
      </w:r>
    </w:p>
    <w:p w14:paraId="1D62045B" w14:textId="77777777" w:rsidR="00832F98" w:rsidRPr="005107DF" w:rsidRDefault="00832F98" w:rsidP="006E4F7D">
      <w:pPr>
        <w:spacing w:after="0" w:line="240" w:lineRule="auto"/>
        <w:jc w:val="both"/>
        <w:rPr>
          <w:rFonts w:ascii="Times New Roman" w:eastAsia="Times New Roman" w:hAnsi="Times New Roman" w:cs="Times New Roman"/>
          <w:color w:val="000000"/>
          <w:szCs w:val="24"/>
        </w:rPr>
      </w:pPr>
    </w:p>
    <w:p w14:paraId="544DD6AC" w14:textId="77777777" w:rsidR="00832F98" w:rsidRPr="005107DF" w:rsidRDefault="00832F98" w:rsidP="00866A0B">
      <w:pPr>
        <w:spacing w:after="0" w:line="240" w:lineRule="auto"/>
        <w:ind w:left="1134"/>
        <w:jc w:val="both"/>
        <w:rPr>
          <w:rFonts w:ascii="Times New Roman" w:eastAsia="Times New Roman" w:hAnsi="Times New Roman" w:cs="Times New Roman"/>
          <w:color w:val="000000"/>
          <w:szCs w:val="24"/>
        </w:rPr>
      </w:pPr>
      <w:r>
        <w:rPr>
          <w:rFonts w:ascii="Times New Roman" w:hAnsi="Times New Roman"/>
          <w:color w:val="000000"/>
        </w:rPr>
        <w:t>En cas de non-respect par le bénéficiaire final de l’action de l’une des obligations découlant du contrat de subvention de jumelage, ou pour tout autre motif externe dûment justifié, le ou les États membres peuvent résilier le contrat de subvention de jumelage moyennant un préavis écrit de trois mois adressé à l’administration contractante, après en avoir informé le bénéficiaire final de l’action, la délégation de l’UE responsable du pays auquel le bénéficiaire final est rattaché (lorsque la délégation de l’UE n’est pas l’administration contractante) ainsi que l’équipe de coordination de jumelage de la direction générale du voisinage et des négociations d’élargissement (DG NEAR) de la Commission.</w:t>
      </w:r>
    </w:p>
    <w:p w14:paraId="4931667E" w14:textId="77777777" w:rsidR="00832F98" w:rsidRPr="005107DF" w:rsidRDefault="00832F98" w:rsidP="00866A0B">
      <w:pPr>
        <w:spacing w:after="0" w:line="240" w:lineRule="auto"/>
        <w:ind w:left="1134"/>
        <w:jc w:val="both"/>
        <w:rPr>
          <w:rFonts w:ascii="Times New Roman" w:eastAsia="Times New Roman" w:hAnsi="Times New Roman" w:cs="Times New Roman"/>
          <w:color w:val="000000"/>
          <w:szCs w:val="24"/>
        </w:rPr>
      </w:pPr>
    </w:p>
    <w:p w14:paraId="0735B9BB" w14:textId="77777777" w:rsidR="00832F98" w:rsidRPr="005107DF" w:rsidRDefault="00832F98" w:rsidP="00866A0B">
      <w:pPr>
        <w:spacing w:after="0" w:line="240" w:lineRule="auto"/>
        <w:ind w:left="1134"/>
        <w:jc w:val="both"/>
        <w:rPr>
          <w:rFonts w:ascii="Times New Roman" w:eastAsia="Times New Roman" w:hAnsi="Times New Roman" w:cs="Times New Roman"/>
          <w:b/>
          <w:color w:val="000000"/>
          <w:szCs w:val="24"/>
          <w:u w:val="single"/>
        </w:rPr>
      </w:pPr>
      <w:r>
        <w:rPr>
          <w:rFonts w:ascii="Times New Roman" w:hAnsi="Times New Roman"/>
          <w:b/>
          <w:color w:val="000000"/>
          <w:u w:val="single"/>
        </w:rPr>
        <w:t>Résiliation par le bénéficiaire final (administration bénéficiaire)</w:t>
      </w:r>
    </w:p>
    <w:p w14:paraId="3322F920" w14:textId="77777777" w:rsidR="00832F98" w:rsidRPr="005107DF" w:rsidRDefault="00832F98" w:rsidP="00866A0B">
      <w:pPr>
        <w:spacing w:after="0" w:line="240" w:lineRule="auto"/>
        <w:ind w:left="1134"/>
        <w:jc w:val="both"/>
        <w:rPr>
          <w:rFonts w:ascii="Times New Roman" w:eastAsia="Times New Roman" w:hAnsi="Times New Roman" w:cs="Times New Roman"/>
          <w:b/>
          <w:color w:val="000000"/>
          <w:szCs w:val="24"/>
          <w:u w:val="single"/>
        </w:rPr>
      </w:pPr>
    </w:p>
    <w:p w14:paraId="5FBC1152" w14:textId="77777777" w:rsidR="00832F98" w:rsidRPr="005107DF" w:rsidRDefault="00832F98" w:rsidP="00866A0B">
      <w:pPr>
        <w:spacing w:after="0" w:line="240" w:lineRule="auto"/>
        <w:ind w:left="1134"/>
        <w:jc w:val="both"/>
        <w:rPr>
          <w:rFonts w:ascii="Times New Roman" w:eastAsia="Times New Roman" w:hAnsi="Times New Roman" w:cs="Times New Roman"/>
          <w:color w:val="000000"/>
          <w:szCs w:val="24"/>
        </w:rPr>
      </w:pPr>
      <w:r>
        <w:rPr>
          <w:rFonts w:ascii="Times New Roman" w:hAnsi="Times New Roman"/>
          <w:color w:val="000000"/>
        </w:rPr>
        <w:t xml:space="preserve">En cas de non-respect par le ou les États membres de l’une des obligations découlant du contrat de subvention de jumelage, ou pour tout autre motif externe dûment justifié, le bénéficiaire final de l’action peut résilier le contrat de subvention de jumelage moyennant un préavis écrit de trois mois adressé à l’État membre ou aux États membres et à l’administration contractante, après en avoir informé la délégation de l’UE responsable du pays auquel le bénéficiaire final est rattaché (lorsque la délégation de l’UE n’est pas </w:t>
      </w:r>
      <w:r>
        <w:rPr>
          <w:rFonts w:ascii="Times New Roman" w:hAnsi="Times New Roman"/>
          <w:color w:val="000000"/>
        </w:rPr>
        <w:lastRenderedPageBreak/>
        <w:t>l’administration contractante) ainsi que l’équipe de coordination de jumelage de la direction générale du voisinage et des négociations d’élargissement (DG NEAR) de la Commission.</w:t>
      </w:r>
    </w:p>
    <w:p w14:paraId="4CF168AE" w14:textId="77777777" w:rsidR="00832F98" w:rsidRPr="005107DF" w:rsidRDefault="00832F98" w:rsidP="00866A0B">
      <w:pPr>
        <w:spacing w:after="0" w:line="240" w:lineRule="auto"/>
        <w:ind w:left="1134"/>
        <w:jc w:val="both"/>
        <w:rPr>
          <w:rFonts w:ascii="Times New Roman" w:eastAsia="Times New Roman" w:hAnsi="Times New Roman" w:cs="Times New Roman"/>
          <w:color w:val="000000"/>
          <w:szCs w:val="24"/>
        </w:rPr>
      </w:pPr>
    </w:p>
    <w:p w14:paraId="6449B8A5"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7.1.6 L’article 12.2 de l’annexe A2 est complété par la disposition suivante:</w:t>
      </w:r>
    </w:p>
    <w:p w14:paraId="7B3D7F2F" w14:textId="77777777" w:rsidR="00832F98" w:rsidRPr="005107DF" w:rsidRDefault="00832F98" w:rsidP="00866A0B">
      <w:pPr>
        <w:spacing w:after="0" w:line="240" w:lineRule="auto"/>
        <w:ind w:left="1440" w:hanging="731"/>
        <w:jc w:val="both"/>
        <w:rPr>
          <w:rFonts w:ascii="Times New Roman" w:eastAsia="Times New Roman" w:hAnsi="Times New Roman" w:cs="Times New Roman"/>
          <w:color w:val="000000"/>
          <w:szCs w:val="24"/>
        </w:rPr>
      </w:pPr>
    </w:p>
    <w:p w14:paraId="014527D6" w14:textId="77777777" w:rsidR="00832F98" w:rsidRPr="005107DF" w:rsidRDefault="00832F98" w:rsidP="00CE34F9">
      <w:pPr>
        <w:spacing w:after="0" w:line="240" w:lineRule="auto"/>
        <w:ind w:left="1134"/>
        <w:jc w:val="both"/>
        <w:rPr>
          <w:rFonts w:ascii="Times New Roman" w:eastAsia="Times New Roman" w:hAnsi="Times New Roman" w:cs="Times New Roman"/>
          <w:color w:val="000000"/>
          <w:szCs w:val="24"/>
        </w:rPr>
      </w:pPr>
      <w:r>
        <w:rPr>
          <w:rFonts w:ascii="Times New Roman" w:hAnsi="Times New Roman"/>
          <w:color w:val="000000"/>
        </w:rPr>
        <w:t>En cas de non-respect par le ou les États membres ou par le bénéficiaire final (administration bénéficiaire) de l’action de l’une des obligations découlant du contrat de subvention de jumelage, ou pour tout autre motif externe dûment justifié, l’administration contractante, avec l’accord de la délégation de l’UE responsable du pays auquel le bénéficiaire final est rattaché (lorsque la délégation de l’UE n’est pas l’administration contractante), peut mettre fin au financement de l’action ou mettre un terme à l’action, moyennant un préavis écrit de trois mois adressé à l’État membre ou aux États membres et au bénéficiaire final.</w:t>
      </w:r>
    </w:p>
    <w:p w14:paraId="5515F6A9"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Cs w:val="24"/>
        </w:rPr>
      </w:pPr>
    </w:p>
    <w:p w14:paraId="46A49AE5"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Cs w:val="24"/>
        </w:rPr>
      </w:pPr>
    </w:p>
    <w:p w14:paraId="33D71EE8" w14:textId="77777777" w:rsidR="00832F98" w:rsidRDefault="00832F98" w:rsidP="00866A0B">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7.2</w:t>
      </w:r>
      <w:r>
        <w:tab/>
      </w:r>
      <w:r>
        <w:rPr>
          <w:rFonts w:ascii="Times New Roman" w:hAnsi="Times New Roman"/>
          <w:color w:val="000000"/>
        </w:rPr>
        <w:t>Il est dérogé aux conditions générales par les dispositions suivantes:</w:t>
      </w:r>
    </w:p>
    <w:p w14:paraId="5EC96A58" w14:textId="77777777" w:rsidR="00832F98" w:rsidRDefault="00832F98" w:rsidP="0019382C">
      <w:pPr>
        <w:spacing w:after="0" w:line="240" w:lineRule="auto"/>
        <w:ind w:left="981" w:firstLine="153"/>
        <w:jc w:val="both"/>
        <w:rPr>
          <w:rFonts w:ascii="Times New Roman" w:eastAsia="Times New Roman" w:hAnsi="Times New Roman" w:cs="Times New Roman"/>
          <w:color w:val="000000"/>
          <w:szCs w:val="24"/>
        </w:rPr>
      </w:pPr>
    </w:p>
    <w:p w14:paraId="081AE1D4" w14:textId="00DE1EE5" w:rsidR="00832F98" w:rsidRPr="005107DF" w:rsidRDefault="00832F98" w:rsidP="00651BA4">
      <w:pPr>
        <w:spacing w:after="0" w:line="240" w:lineRule="auto"/>
        <w:ind w:left="567"/>
        <w:jc w:val="both"/>
        <w:rPr>
          <w:rFonts w:ascii="Times New Roman" w:eastAsia="Times New Roman" w:hAnsi="Times New Roman" w:cs="Times New Roman"/>
          <w:color w:val="000000"/>
          <w:szCs w:val="24"/>
        </w:rPr>
      </w:pPr>
      <w:r>
        <w:rPr>
          <w:rFonts w:ascii="Times New Roman" w:hAnsi="Times New Roman"/>
          <w:color w:val="000000"/>
        </w:rPr>
        <w:t>7.2.1 En gestion indirecte: Les articles 1.3 et 1.4 de l’annexe II ne s’appliquent pas.</w:t>
      </w:r>
    </w:p>
    <w:p w14:paraId="0A564288"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Cs w:val="24"/>
        </w:rPr>
      </w:pPr>
    </w:p>
    <w:p w14:paraId="2A431DF2" w14:textId="77777777" w:rsidR="00832F98" w:rsidRPr="005107DF" w:rsidRDefault="00832F98" w:rsidP="00A07661">
      <w:pPr>
        <w:ind w:left="1134" w:hanging="567"/>
        <w:rPr>
          <w:rFonts w:ascii="Times New Roman" w:eastAsia="Times New Roman" w:hAnsi="Times New Roman" w:cs="Times New Roman"/>
          <w:color w:val="000000"/>
          <w:szCs w:val="24"/>
        </w:rPr>
      </w:pPr>
      <w:r>
        <w:rPr>
          <w:rFonts w:ascii="Times New Roman" w:hAnsi="Times New Roman"/>
          <w:color w:val="000000"/>
        </w:rPr>
        <w:t>7.2.2.</w:t>
      </w:r>
      <w:r>
        <w:tab/>
      </w:r>
      <w:r>
        <w:rPr>
          <w:rFonts w:ascii="Times New Roman" w:hAnsi="Times New Roman"/>
          <w:color w:val="000000"/>
        </w:rPr>
        <w:t>Dérogation à l’article 1.6.j de l’annexe A2 - uniquement applicable si le coordinateur ne gère pas lui-même les services de gestion financière, y compris les paiements:</w:t>
      </w:r>
    </w:p>
    <w:p w14:paraId="6BE08BC7" w14:textId="77777777" w:rsidR="00832F98" w:rsidRPr="005107DF" w:rsidRDefault="00832F98" w:rsidP="0019382C">
      <w:pPr>
        <w:spacing w:after="0" w:line="240" w:lineRule="auto"/>
        <w:ind w:left="1134"/>
        <w:jc w:val="both"/>
        <w:rPr>
          <w:rFonts w:ascii="Times New Roman" w:eastAsia="Times New Roman" w:hAnsi="Times New Roman" w:cs="Times New Roman"/>
          <w:color w:val="000000"/>
          <w:szCs w:val="24"/>
        </w:rPr>
      </w:pPr>
      <w:r>
        <w:rPr>
          <w:rFonts w:ascii="Times New Roman" w:hAnsi="Times New Roman"/>
          <w:color w:val="000000"/>
        </w:rPr>
        <w:t>l’administration publique/l’organisme mandaté chargé des services de gestion financière et du traitement des paiements dans le cadre de ce projet sera &lt;... nom de l’administration publique/de l’organisme mandaté&gt;</w:t>
      </w:r>
    </w:p>
    <w:p w14:paraId="205F3A58" w14:textId="30403707" w:rsidR="00832F98" w:rsidRPr="005107DF" w:rsidRDefault="00C903AB"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7.2.</w:t>
      </w:r>
      <w:r w:rsidR="00832F98">
        <w:rPr>
          <w:rFonts w:ascii="Times New Roman" w:hAnsi="Times New Roman"/>
          <w:color w:val="000000"/>
        </w:rPr>
        <w:t>3 Par dérogation à l’article 14.5 de l’annexe A2, le premier paragraphe indique: «[l]es méthodes utilisées pour déterminer les coûts unitaires, les montants forfaitaires et les taux forfaitaires sont celles décrites à l’annexe B du manuel de jumelage.»</w:t>
      </w:r>
    </w:p>
    <w:p w14:paraId="004E0EED"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4D9F3C1D" w14:textId="77777777" w:rsidR="00832F98" w:rsidRPr="005107DF" w:rsidRDefault="00832F98" w:rsidP="00866A0B">
      <w:pPr>
        <w:spacing w:after="0" w:line="240" w:lineRule="auto"/>
        <w:ind w:left="1134" w:hanging="567"/>
        <w:jc w:val="both"/>
        <w:rPr>
          <w:rFonts w:ascii="Times New Roman" w:eastAsia="Times New Roman" w:hAnsi="Times New Roman" w:cs="Times New Roman"/>
          <w:strike/>
          <w:color w:val="000000"/>
          <w:szCs w:val="24"/>
        </w:rPr>
      </w:pPr>
      <w:r>
        <w:rPr>
          <w:rFonts w:ascii="Times New Roman" w:hAnsi="Times New Roman"/>
          <w:color w:val="000000"/>
        </w:rPr>
        <w:t>7.2.4 Par dérogation à l’article 14.7, la réserve/provision pour imprévus mentionnée audit article ne peut dépasser 2,5 % des coûts directs éligibles.</w:t>
      </w:r>
      <w:r>
        <w:rPr>
          <w:rFonts w:ascii="Times New Roman" w:hAnsi="Times New Roman"/>
          <w:strike/>
          <w:color w:val="000000"/>
        </w:rPr>
        <w:t xml:space="preserve"> </w:t>
      </w:r>
    </w:p>
    <w:p w14:paraId="70D21035" w14:textId="77777777" w:rsidR="00832F98" w:rsidRPr="005107DF" w:rsidRDefault="00832F98" w:rsidP="00866A0B">
      <w:pPr>
        <w:spacing w:after="0" w:line="240" w:lineRule="auto"/>
        <w:ind w:left="1134" w:hanging="567"/>
        <w:jc w:val="both"/>
        <w:rPr>
          <w:rFonts w:ascii="Times New Roman" w:eastAsia="Times New Roman" w:hAnsi="Times New Roman" w:cs="Times New Roman"/>
          <w:strike/>
          <w:color w:val="000000"/>
          <w:szCs w:val="24"/>
        </w:rPr>
      </w:pPr>
    </w:p>
    <w:p w14:paraId="45C4AA27" w14:textId="77777777" w:rsidR="00832F98" w:rsidRPr="005107DF" w:rsidRDefault="00832F98" w:rsidP="00866A0B">
      <w:pPr>
        <w:spacing w:after="0" w:line="240" w:lineRule="auto"/>
        <w:ind w:left="1134" w:hanging="567"/>
        <w:jc w:val="both"/>
        <w:rPr>
          <w:rFonts w:ascii="Times New Roman" w:eastAsia="Times New Roman" w:hAnsi="Times New Roman" w:cs="Times New Roman"/>
          <w:bCs/>
          <w:iCs/>
          <w:color w:val="000000"/>
          <w:szCs w:val="24"/>
        </w:rPr>
      </w:pPr>
      <w:r>
        <w:rPr>
          <w:rFonts w:ascii="Times New Roman" w:hAnsi="Times New Roman"/>
          <w:color w:val="000000"/>
        </w:rPr>
        <w:t xml:space="preserve">7.2.5 Par dérogation à l’article 14.11 h) de l’annexe A2, les indemnités relatives aux coûts salariaux du personnel des administrations nationales sont éligibles dans la mesure où elles correspondent au coût d’activités que l’autorité publique concernée ne réaliserait pas si l’action n’était pas entreprise. </w:t>
      </w:r>
    </w:p>
    <w:p w14:paraId="24C07F66"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57E1FBD3" w14:textId="6F04586D" w:rsidR="00832F98" w:rsidRPr="005107DF" w:rsidRDefault="00832F98" w:rsidP="00651BA4">
      <w:pPr>
        <w:spacing w:after="24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7.2.6.</w:t>
      </w:r>
      <w:r>
        <w:tab/>
      </w:r>
      <w:r>
        <w:rPr>
          <w:rFonts w:ascii="Times New Roman" w:hAnsi="Times New Roman"/>
          <w:color w:val="000000"/>
        </w:rPr>
        <w:t>Par dérogation à l’article 15.1 de l’annexe A2, le préfinancement sera calculé sur la base de la formule suivante: budget total (à l’exclusion des provisions pour imprévus/réserves et services fournis par le secteur privé et sous-traités par l’administration contractante) divisé par le nombre de mois de mise en œuvre, puis multiplié par douze.</w:t>
      </w:r>
    </w:p>
    <w:p w14:paraId="1386AE76"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 xml:space="preserve">7.2.7 La dernière phrase de l’article 15.2 de l’annexe A2 (prorogation du délai de soumission du rapport final) ne s’applique pas. </w:t>
      </w:r>
    </w:p>
    <w:p w14:paraId="30DFB26B"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10CC8CA3"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7.2.8.</w:t>
      </w:r>
      <w:r>
        <w:tab/>
      </w:r>
      <w:r>
        <w:rPr>
          <w:rFonts w:ascii="Times New Roman" w:hAnsi="Times New Roman"/>
          <w:color w:val="000000"/>
        </w:rPr>
        <w:t>Par dérogation à l’article 15.4 de l’annexe A2, le paiement initial de préfinancement est effectué dans un délai de 30 jours à compter de la date de notification par l’administration contractante de la conclusion de la procédure de signature par toutes les parties.</w:t>
      </w:r>
    </w:p>
    <w:p w14:paraId="123C13EC"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25D4FBE2"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7.2.9.</w:t>
      </w:r>
      <w:r>
        <w:tab/>
      </w:r>
      <w:r>
        <w:rPr>
          <w:rFonts w:ascii="Times New Roman" w:hAnsi="Times New Roman"/>
          <w:color w:val="000000"/>
        </w:rPr>
        <w:t>Par dérogation à l’article 15.7 de l’annexe A2, le rapport de vérification des dépenses n’est requis que pour le paiement final et l’auditeur est désigné conformément à la réglementation en vigueur pour les États membres.</w:t>
      </w:r>
    </w:p>
    <w:p w14:paraId="76CFDAF3"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1F0F91EB"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7.2.10</w:t>
      </w:r>
      <w:r>
        <w:tab/>
      </w:r>
      <w:r>
        <w:rPr>
          <w:rFonts w:ascii="Times New Roman" w:hAnsi="Times New Roman"/>
          <w:color w:val="000000"/>
        </w:rPr>
        <w:t xml:space="preserve"> Par dérogation à l’article 15.7 de l’annexe A2, une ventilation détaillée des dépenses est soumise à l’appui de chaque demande de nouveau versement de préfinancement. Cette ventilation détaillée des dépenses correspond au volet financier des rapports établis en </w:t>
      </w:r>
      <w:r>
        <w:rPr>
          <w:rFonts w:ascii="Times New Roman" w:hAnsi="Times New Roman"/>
          <w:color w:val="000000"/>
        </w:rPr>
        <w:lastRenderedPageBreak/>
        <w:t>conformité avec les articles 2 et 15 de l’annexe A2, pour autant que celui-ci satisfasse aux exigences relatives à une ventilation détaillée des dépenses énoncées aux paragraphes 4, 5 et 6 de l’article 15.7.</w:t>
      </w:r>
    </w:p>
    <w:p w14:paraId="335D9EBE"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299FA59C"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rPr>
      </w:pPr>
    </w:p>
    <w:p w14:paraId="6CA10931"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7.3</w:t>
      </w:r>
      <w:r>
        <w:tab/>
      </w:r>
      <w:r>
        <w:rPr>
          <w:rFonts w:ascii="Times New Roman" w:hAnsi="Times New Roman"/>
          <w:color w:val="000000"/>
        </w:rPr>
        <w:t>Autres dispositions:</w:t>
      </w:r>
    </w:p>
    <w:p w14:paraId="5942FBCE" w14:textId="25837F6F" w:rsidR="00832F98" w:rsidRPr="005107DF" w:rsidRDefault="00832F98" w:rsidP="00651BA4">
      <w:pPr>
        <w:spacing w:after="0" w:line="240" w:lineRule="auto"/>
        <w:jc w:val="both"/>
        <w:rPr>
          <w:rFonts w:ascii="Times New Roman" w:eastAsia="Times New Roman" w:hAnsi="Times New Roman" w:cs="Times New Roman"/>
          <w:color w:val="000000"/>
          <w:szCs w:val="24"/>
        </w:rPr>
      </w:pPr>
    </w:p>
    <w:p w14:paraId="79C2F05D" w14:textId="0658E2F0" w:rsidR="00832F98" w:rsidRPr="005107DF" w:rsidRDefault="00651BA4"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7.3.1</w:t>
      </w:r>
      <w:r w:rsidR="00832F98">
        <w:rPr>
          <w:rFonts w:ascii="Times New Roman" w:hAnsi="Times New Roman"/>
          <w:color w:val="000000"/>
        </w:rPr>
        <w:t>.</w:t>
      </w:r>
      <w:r w:rsidR="00832F98">
        <w:tab/>
      </w:r>
      <w:r w:rsidR="00832F98">
        <w:rPr>
          <w:rFonts w:ascii="Times New Roman" w:hAnsi="Times New Roman"/>
          <w:color w:val="000000"/>
        </w:rPr>
        <w:t>Tous les partenaires de jumelage s’engagent à faciliter l’organisation et la réalisation des missions d’évaluation du jumelage décrites dans le manuel de jumelage.</w:t>
      </w:r>
    </w:p>
    <w:p w14:paraId="468C1A85"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07E2282D" w14:textId="2BD0D0F5" w:rsidR="00832F98" w:rsidRPr="005107DF" w:rsidRDefault="00651BA4" w:rsidP="00EB5D31">
      <w:pPr>
        <w:spacing w:after="0" w:line="240" w:lineRule="auto"/>
        <w:ind w:left="1134" w:hanging="567"/>
        <w:jc w:val="both"/>
        <w:rPr>
          <w:rFonts w:ascii="Times New Roman" w:eastAsia="Times New Roman" w:hAnsi="Times New Roman" w:cs="Times New Roman"/>
          <w:color w:val="000000"/>
        </w:rPr>
      </w:pPr>
      <w:r>
        <w:rPr>
          <w:rFonts w:ascii="Times New Roman" w:hAnsi="Times New Roman"/>
          <w:color w:val="000000"/>
        </w:rPr>
        <w:t>7.3.2</w:t>
      </w:r>
      <w:r w:rsidR="00832F98">
        <w:rPr>
          <w:rFonts w:ascii="Times New Roman" w:hAnsi="Times New Roman"/>
          <w:color w:val="000000"/>
        </w:rPr>
        <w:t>.</w:t>
      </w:r>
      <w:r w:rsidR="00832F98">
        <w:tab/>
      </w:r>
      <w:r w:rsidR="00832F98">
        <w:rPr>
          <w:rFonts w:ascii="Times New Roman" w:hAnsi="Times New Roman"/>
          <w:color w:val="000000"/>
        </w:rPr>
        <w:t xml:space="preserve">Toutes les activités de visibilité et de communication respectent les </w:t>
      </w:r>
      <w:r w:rsidR="00832F98">
        <w:rPr>
          <w:rFonts w:ascii="Times New Roman" w:hAnsi="Times New Roman"/>
          <w:spacing w:val="-1"/>
        </w:rPr>
        <w:t xml:space="preserve">«exigences de communication et de visibilité applicables aux actions extérieures de l’UE» </w:t>
      </w:r>
      <w:r w:rsidR="00832F98">
        <w:rPr>
          <w:rFonts w:ascii="Times New Roman" w:hAnsi="Times New Roman"/>
        </w:rPr>
        <w:t>(</w:t>
      </w:r>
      <w:hyperlink r:id="rId34">
        <w:r w:rsidR="00832F98">
          <w:rPr>
            <w:rStyle w:val="Hyperlink"/>
            <w:rFonts w:ascii="Times New Roman" w:hAnsi="Times New Roman"/>
          </w:rPr>
          <w:t>https://ec.europa.eu/europeaid/funding/communication-and-visibility-manual-eu-external-actions_en</w:t>
        </w:r>
      </w:hyperlink>
      <w:r w:rsidR="00832F98">
        <w:rPr>
          <w:rFonts w:ascii="Times New Roman" w:hAnsi="Times New Roman"/>
          <w:color w:val="0000FF"/>
          <w:spacing w:val="-1"/>
          <w:u w:val="single" w:color="0000FF"/>
        </w:rPr>
        <w:t>.</w:t>
      </w:r>
      <w:r w:rsidR="00832F98">
        <w:rPr>
          <w:rFonts w:ascii="Times New Roman" w:hAnsi="Times New Roman"/>
          <w:color w:val="000000"/>
        </w:rPr>
        <w:t xml:space="preserve">) </w:t>
      </w:r>
      <w:r w:rsidR="00832F98">
        <w:rPr>
          <w:rFonts w:ascii="Times New Roman" w:hAnsi="Times New Roman"/>
        </w:rPr>
        <w:t>en vigueur au moment de la signature du contrat.</w:t>
      </w:r>
    </w:p>
    <w:p w14:paraId="0A2C013F"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55387885"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72746DB7"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77A1F8CB" w14:textId="77777777" w:rsidR="00832F98" w:rsidRPr="005107DF" w:rsidRDefault="00832F98" w:rsidP="00866A0B">
      <w:pPr>
        <w:spacing w:after="0" w:line="240" w:lineRule="auto"/>
        <w:jc w:val="both"/>
        <w:rPr>
          <w:rFonts w:ascii="Times New Roman" w:eastAsia="Times New Roman" w:hAnsi="Times New Roman" w:cs="Times New Roman"/>
          <w:i/>
          <w:color w:val="000000"/>
          <w:szCs w:val="24"/>
        </w:rPr>
      </w:pPr>
      <w:r>
        <w:rPr>
          <w:rFonts w:ascii="Times New Roman" w:hAnsi="Times New Roman"/>
          <w:i/>
          <w:color w:val="000000"/>
        </w:rPr>
        <w:t xml:space="preserve">Si l’administration contractante est la Commission </w:t>
      </w:r>
    </w:p>
    <w:p w14:paraId="1BD27291" w14:textId="77777777" w:rsidR="00832F98" w:rsidRPr="005107DF" w:rsidRDefault="00832F98" w:rsidP="00866A0B">
      <w:pPr>
        <w:spacing w:after="0" w:line="240" w:lineRule="auto"/>
        <w:jc w:val="both"/>
        <w:rPr>
          <w:rFonts w:ascii="Times New Roman" w:eastAsia="Times New Roman" w:hAnsi="Times New Roman" w:cs="Times New Roman"/>
          <w:color w:val="000000"/>
          <w:szCs w:val="24"/>
        </w:rPr>
      </w:pPr>
      <w:r>
        <w:rPr>
          <w:rFonts w:ascii="Times New Roman" w:hAnsi="Times New Roman"/>
          <w:color w:val="000000"/>
        </w:rPr>
        <w:t>Fait à [.........] en trois exemplaires originaux rédigés dans la langue du contrat, un original remis à la Commission européenne, un à l’État membre partenaire [principal]</w:t>
      </w:r>
      <w:r>
        <w:rPr>
          <w:rFonts w:ascii="Times New Roman" w:hAnsi="Times New Roman"/>
          <w:color w:val="000000"/>
          <w:vertAlign w:val="superscript"/>
        </w:rPr>
        <w:footnoteReference w:id="29"/>
      </w:r>
      <w:r>
        <w:rPr>
          <w:rFonts w:ascii="Times New Roman" w:hAnsi="Times New Roman"/>
          <w:color w:val="000000"/>
        </w:rPr>
        <w:t xml:space="preserve"> et un à l’administration bénéficiaire</w:t>
      </w:r>
    </w:p>
    <w:p w14:paraId="7381F106" w14:textId="77777777" w:rsidR="00832F98" w:rsidRPr="005107DF" w:rsidRDefault="00832F98" w:rsidP="00866A0B">
      <w:pPr>
        <w:spacing w:after="0" w:line="240" w:lineRule="auto"/>
        <w:jc w:val="both"/>
        <w:rPr>
          <w:rFonts w:ascii="Times New Roman" w:eastAsia="Times New Roman" w:hAnsi="Times New Roman" w:cs="Times New Roman"/>
          <w:color w:val="000000"/>
          <w:szCs w:val="24"/>
        </w:rPr>
      </w:pPr>
      <w:r>
        <w:rPr>
          <w:rFonts w:ascii="Times New Roman" w:hAnsi="Times New Roman"/>
          <w:color w:val="000000"/>
        </w:rPr>
        <w:t xml:space="preserve"> </w:t>
      </w:r>
    </w:p>
    <w:p w14:paraId="5B0876E7" w14:textId="77777777" w:rsidR="00832F98" w:rsidRPr="005107DF" w:rsidRDefault="00832F98" w:rsidP="00866A0B">
      <w:pPr>
        <w:spacing w:after="0" w:line="240" w:lineRule="auto"/>
        <w:jc w:val="both"/>
        <w:rPr>
          <w:rFonts w:ascii="Times New Roman" w:eastAsia="Times New Roman" w:hAnsi="Times New Roman" w:cs="Times New Roman"/>
          <w:i/>
          <w:color w:val="000000"/>
          <w:szCs w:val="24"/>
        </w:rPr>
      </w:pPr>
      <w:r>
        <w:rPr>
          <w:rFonts w:ascii="Times New Roman" w:hAnsi="Times New Roman"/>
          <w:i/>
          <w:color w:val="000000"/>
        </w:rPr>
        <w:t xml:space="preserve">Si l’administration contractante n’est pas la Commission </w:t>
      </w:r>
    </w:p>
    <w:p w14:paraId="6EC66258" w14:textId="77777777" w:rsidR="00832F98" w:rsidRPr="005107DF" w:rsidRDefault="00832F98" w:rsidP="00866A0B">
      <w:pPr>
        <w:spacing w:after="0" w:line="240" w:lineRule="auto"/>
        <w:jc w:val="both"/>
        <w:rPr>
          <w:rFonts w:ascii="Times New Roman" w:eastAsia="Times New Roman" w:hAnsi="Times New Roman" w:cs="Times New Roman"/>
          <w:color w:val="000000"/>
          <w:szCs w:val="24"/>
        </w:rPr>
      </w:pPr>
      <w:r>
        <w:rPr>
          <w:rFonts w:ascii="Times New Roman" w:hAnsi="Times New Roman"/>
          <w:color w:val="000000"/>
        </w:rPr>
        <w:t>Fait à [.........] en quatre exemplaires originaux rédigés dans la langue du contrat, un original remis à la Commission européenne, un à l’administration contractante, un à l’État membre partenaire [principal] et un à l’administration bénéficiaire</w:t>
      </w:r>
    </w:p>
    <w:p w14:paraId="4BB7AF6C" w14:textId="77777777" w:rsidR="00832F98" w:rsidRPr="005107DF" w:rsidRDefault="00832F98" w:rsidP="00866A0B">
      <w:pPr>
        <w:spacing w:after="0" w:line="240" w:lineRule="auto"/>
        <w:rPr>
          <w:rFonts w:ascii="Times New Roman" w:eastAsia="Times New Roman" w:hAnsi="Times New Roman" w:cs="Times New Roman"/>
          <w:color w:val="000000"/>
          <w:szCs w:val="24"/>
        </w:rPr>
      </w:pPr>
    </w:p>
    <w:p w14:paraId="60D199F9"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r>
        <w:rPr>
          <w:rFonts w:ascii="Times New Roman" w:hAnsi="Times New Roman"/>
          <w:color w:val="000000"/>
        </w:rPr>
        <w:t> </w:t>
      </w:r>
    </w:p>
    <w:tbl>
      <w:tblPr>
        <w:tblW w:w="0" w:type="auto"/>
        <w:tblLook w:val="04A0" w:firstRow="1" w:lastRow="0" w:firstColumn="1" w:lastColumn="0" w:noHBand="0" w:noVBand="1"/>
      </w:tblPr>
      <w:tblGrid>
        <w:gridCol w:w="2335"/>
        <w:gridCol w:w="2305"/>
        <w:gridCol w:w="2342"/>
        <w:gridCol w:w="2308"/>
      </w:tblGrid>
      <w:tr w:rsidR="00832F98" w:rsidRPr="005107DF" w14:paraId="27845A4C" w14:textId="77777777" w:rsidTr="00866A0B">
        <w:tc>
          <w:tcPr>
            <w:tcW w:w="4757" w:type="dxa"/>
            <w:gridSpan w:val="2"/>
            <w:shd w:val="clear" w:color="auto" w:fill="auto"/>
          </w:tcPr>
          <w:p w14:paraId="640CDA32"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Pour l’État</w:t>
            </w:r>
            <w:r>
              <w:rPr>
                <w:rFonts w:ascii="Times New Roman" w:hAnsi="Times New Roman"/>
                <w:color w:val="000000"/>
                <w:vertAlign w:val="superscript"/>
              </w:rPr>
              <w:t xml:space="preserve"> </w:t>
            </w:r>
            <w:r>
              <w:rPr>
                <w:rFonts w:ascii="Times New Roman" w:hAnsi="Times New Roman"/>
                <w:color w:val="000000"/>
              </w:rPr>
              <w:t>membre partenaire [principal]</w:t>
            </w:r>
          </w:p>
        </w:tc>
        <w:tc>
          <w:tcPr>
            <w:tcW w:w="4758" w:type="dxa"/>
            <w:gridSpan w:val="2"/>
            <w:shd w:val="clear" w:color="auto" w:fill="auto"/>
          </w:tcPr>
          <w:p w14:paraId="5C1B89DA"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Pour l’administration contractante</w:t>
            </w:r>
          </w:p>
        </w:tc>
      </w:tr>
      <w:tr w:rsidR="00832F98" w:rsidRPr="005107DF" w14:paraId="12FFD20A" w14:textId="77777777" w:rsidTr="00866A0B">
        <w:tc>
          <w:tcPr>
            <w:tcW w:w="2378" w:type="dxa"/>
            <w:shd w:val="clear" w:color="auto" w:fill="auto"/>
          </w:tcPr>
          <w:p w14:paraId="1B88D0E1"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6AC21536"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2B4B1C7"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5914EE1E"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31511B37" w14:textId="77777777" w:rsidTr="00866A0B">
        <w:tc>
          <w:tcPr>
            <w:tcW w:w="2378" w:type="dxa"/>
            <w:shd w:val="clear" w:color="auto" w:fill="auto"/>
          </w:tcPr>
          <w:p w14:paraId="7B2974A3"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Nom</w:t>
            </w:r>
            <w:r>
              <w:rPr>
                <w:rFonts w:ascii="Times New Roman" w:hAnsi="Times New Roman"/>
                <w:color w:val="000000"/>
                <w:vertAlign w:val="superscript"/>
              </w:rPr>
              <w:footnoteReference w:id="30"/>
            </w:r>
            <w:r>
              <w:rPr>
                <w:rFonts w:ascii="Times New Roman" w:hAnsi="Times New Roman"/>
                <w:color w:val="000000"/>
              </w:rPr>
              <w:t>:</w:t>
            </w:r>
          </w:p>
        </w:tc>
        <w:tc>
          <w:tcPr>
            <w:tcW w:w="2379" w:type="dxa"/>
            <w:shd w:val="clear" w:color="auto" w:fill="auto"/>
          </w:tcPr>
          <w:p w14:paraId="006C9B76"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6194B649"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Nom</w:t>
            </w:r>
            <w:r>
              <w:rPr>
                <w:rFonts w:ascii="Times New Roman" w:hAnsi="Times New Roman"/>
                <w:color w:val="000000"/>
                <w:vertAlign w:val="superscript"/>
              </w:rPr>
              <w:footnoteReference w:id="31"/>
            </w:r>
            <w:r>
              <w:rPr>
                <w:rFonts w:ascii="Times New Roman" w:hAnsi="Times New Roman"/>
                <w:color w:val="000000"/>
              </w:rPr>
              <w:t>:</w:t>
            </w:r>
          </w:p>
        </w:tc>
        <w:tc>
          <w:tcPr>
            <w:tcW w:w="2379" w:type="dxa"/>
            <w:shd w:val="clear" w:color="auto" w:fill="auto"/>
          </w:tcPr>
          <w:p w14:paraId="2122061C"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2105733D" w14:textId="77777777" w:rsidTr="00866A0B">
        <w:tc>
          <w:tcPr>
            <w:tcW w:w="2378" w:type="dxa"/>
            <w:shd w:val="clear" w:color="auto" w:fill="auto"/>
          </w:tcPr>
          <w:p w14:paraId="0F8DEBEB"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Titre</w:t>
            </w:r>
            <w:r>
              <w:rPr>
                <w:rFonts w:ascii="Times New Roman" w:hAnsi="Times New Roman"/>
                <w:color w:val="000000"/>
                <w:vertAlign w:val="superscript"/>
              </w:rPr>
              <w:footnoteReference w:id="32"/>
            </w:r>
            <w:r>
              <w:rPr>
                <w:rFonts w:ascii="Times New Roman" w:hAnsi="Times New Roman"/>
                <w:color w:val="000000"/>
              </w:rPr>
              <w:t>:</w:t>
            </w:r>
          </w:p>
        </w:tc>
        <w:tc>
          <w:tcPr>
            <w:tcW w:w="2379" w:type="dxa"/>
            <w:shd w:val="clear" w:color="auto" w:fill="auto"/>
          </w:tcPr>
          <w:p w14:paraId="52A04F2A"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6B09F252"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Titre</w:t>
            </w:r>
            <w:r>
              <w:rPr>
                <w:rFonts w:ascii="Times New Roman" w:hAnsi="Times New Roman"/>
                <w:color w:val="000000"/>
                <w:vertAlign w:val="superscript"/>
              </w:rPr>
              <w:footnoteReference w:id="33"/>
            </w:r>
            <w:r>
              <w:rPr>
                <w:rFonts w:ascii="Times New Roman" w:hAnsi="Times New Roman"/>
                <w:color w:val="000000"/>
              </w:rPr>
              <w:t>:</w:t>
            </w:r>
          </w:p>
        </w:tc>
        <w:tc>
          <w:tcPr>
            <w:tcW w:w="2379" w:type="dxa"/>
            <w:shd w:val="clear" w:color="auto" w:fill="auto"/>
          </w:tcPr>
          <w:p w14:paraId="77A21B7D"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5F00C0C8" w14:textId="77777777" w:rsidTr="00866A0B">
        <w:tc>
          <w:tcPr>
            <w:tcW w:w="2378" w:type="dxa"/>
            <w:shd w:val="clear" w:color="auto" w:fill="auto"/>
          </w:tcPr>
          <w:p w14:paraId="6922A321"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Signature:</w:t>
            </w:r>
          </w:p>
        </w:tc>
        <w:tc>
          <w:tcPr>
            <w:tcW w:w="2379" w:type="dxa"/>
            <w:shd w:val="clear" w:color="auto" w:fill="auto"/>
          </w:tcPr>
          <w:p w14:paraId="70D91D20"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543F434B"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Signature:</w:t>
            </w:r>
          </w:p>
        </w:tc>
        <w:tc>
          <w:tcPr>
            <w:tcW w:w="2379" w:type="dxa"/>
            <w:shd w:val="clear" w:color="auto" w:fill="auto"/>
          </w:tcPr>
          <w:p w14:paraId="1A057907"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0B103EF3" w14:textId="77777777" w:rsidTr="00866A0B">
        <w:tc>
          <w:tcPr>
            <w:tcW w:w="2378" w:type="dxa"/>
            <w:shd w:val="clear" w:color="auto" w:fill="auto"/>
          </w:tcPr>
          <w:p w14:paraId="3AF09E2F"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BF14FA2"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388DC89"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24812FB7"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1836DEDB" w14:textId="77777777" w:rsidTr="00866A0B">
        <w:tc>
          <w:tcPr>
            <w:tcW w:w="2378" w:type="dxa"/>
            <w:shd w:val="clear" w:color="auto" w:fill="auto"/>
          </w:tcPr>
          <w:p w14:paraId="094B9DFD"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4F89EBF"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40EEC2D4"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22B516C2"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2B36614F" w14:textId="77777777" w:rsidTr="00866A0B">
        <w:tc>
          <w:tcPr>
            <w:tcW w:w="2378" w:type="dxa"/>
            <w:shd w:val="clear" w:color="auto" w:fill="auto"/>
          </w:tcPr>
          <w:p w14:paraId="0C102AE3"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Date:</w:t>
            </w:r>
          </w:p>
        </w:tc>
        <w:tc>
          <w:tcPr>
            <w:tcW w:w="2379" w:type="dxa"/>
            <w:shd w:val="clear" w:color="auto" w:fill="auto"/>
          </w:tcPr>
          <w:p w14:paraId="634A0A33"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2A762829"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Date:</w:t>
            </w:r>
          </w:p>
        </w:tc>
        <w:tc>
          <w:tcPr>
            <w:tcW w:w="2379" w:type="dxa"/>
            <w:shd w:val="clear" w:color="auto" w:fill="auto"/>
          </w:tcPr>
          <w:p w14:paraId="11EF7A60"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04FC1720" w14:textId="77777777" w:rsidTr="00866A0B">
        <w:tc>
          <w:tcPr>
            <w:tcW w:w="2378" w:type="dxa"/>
            <w:shd w:val="clear" w:color="auto" w:fill="auto"/>
          </w:tcPr>
          <w:p w14:paraId="603FE286"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0DE20BD2"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3EC224D"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04ECA17E"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2196D72D" w14:textId="77777777" w:rsidTr="00866A0B">
        <w:tc>
          <w:tcPr>
            <w:tcW w:w="2378" w:type="dxa"/>
            <w:shd w:val="clear" w:color="auto" w:fill="auto"/>
          </w:tcPr>
          <w:p w14:paraId="560FCA84"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6D90405"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E7BF408"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44DA3EF"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7B3A54A7" w14:textId="77777777" w:rsidTr="00866A0B">
        <w:tc>
          <w:tcPr>
            <w:tcW w:w="9515" w:type="dxa"/>
            <w:gridSpan w:val="4"/>
            <w:shd w:val="clear" w:color="auto" w:fill="auto"/>
          </w:tcPr>
          <w:p w14:paraId="32C99A89" w14:textId="77777777" w:rsidR="00832F98" w:rsidRPr="005107DF" w:rsidRDefault="00832F98">
            <w:pPr>
              <w:spacing w:after="0" w:line="240" w:lineRule="auto"/>
              <w:rPr>
                <w:rFonts w:ascii="Times New Roman" w:eastAsia="Times New Roman" w:hAnsi="Times New Roman" w:cs="Times New Roman"/>
                <w:color w:val="000000"/>
              </w:rPr>
            </w:pPr>
            <w:r>
              <w:rPr>
                <w:rFonts w:ascii="Times New Roman" w:hAnsi="Times New Roman"/>
                <w:i/>
                <w:color w:val="000000"/>
              </w:rPr>
              <w:t>Uniquement dans le cadre d’une gestion décentralisée avec contrôle ex ante</w:t>
            </w:r>
          </w:p>
        </w:tc>
      </w:tr>
      <w:tr w:rsidR="00832F98" w:rsidRPr="005107DF" w14:paraId="2D61951E" w14:textId="77777777" w:rsidTr="00866A0B">
        <w:tc>
          <w:tcPr>
            <w:tcW w:w="2378" w:type="dxa"/>
            <w:shd w:val="clear" w:color="auto" w:fill="auto"/>
          </w:tcPr>
          <w:p w14:paraId="07CE9789"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1B9828D4"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763207D"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70E21C38"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5A61A220" w14:textId="77777777" w:rsidTr="00866A0B">
        <w:tc>
          <w:tcPr>
            <w:tcW w:w="9515" w:type="dxa"/>
            <w:gridSpan w:val="4"/>
            <w:shd w:val="clear" w:color="auto" w:fill="auto"/>
          </w:tcPr>
          <w:p w14:paraId="13A274A5"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Approuvé pour financement par l’Union européenne</w:t>
            </w:r>
          </w:p>
        </w:tc>
      </w:tr>
      <w:tr w:rsidR="00832F98" w:rsidRPr="005107DF" w14:paraId="434B5112" w14:textId="77777777" w:rsidTr="00866A0B">
        <w:tc>
          <w:tcPr>
            <w:tcW w:w="2378" w:type="dxa"/>
            <w:shd w:val="clear" w:color="auto" w:fill="auto"/>
          </w:tcPr>
          <w:p w14:paraId="6E958AB3"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79F6F680"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125B87E9"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5C79AF6A"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0107C940" w14:textId="77777777" w:rsidTr="00866A0B">
        <w:tc>
          <w:tcPr>
            <w:tcW w:w="2378" w:type="dxa"/>
            <w:shd w:val="clear" w:color="auto" w:fill="auto"/>
          </w:tcPr>
          <w:p w14:paraId="3B71F808"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Nom</w:t>
            </w:r>
            <w:r>
              <w:rPr>
                <w:rFonts w:ascii="Times New Roman" w:hAnsi="Times New Roman"/>
                <w:color w:val="000000"/>
                <w:vertAlign w:val="superscript"/>
              </w:rPr>
              <w:t xml:space="preserve"> </w:t>
            </w:r>
            <w:r>
              <w:rPr>
                <w:rFonts w:ascii="Times New Roman" w:hAnsi="Times New Roman"/>
                <w:color w:val="000000"/>
                <w:vertAlign w:val="superscript"/>
              </w:rPr>
              <w:footnoteReference w:id="34"/>
            </w:r>
            <w:r>
              <w:rPr>
                <w:rFonts w:ascii="Times New Roman" w:hAnsi="Times New Roman"/>
                <w:color w:val="000000"/>
              </w:rPr>
              <w:t>:</w:t>
            </w:r>
          </w:p>
        </w:tc>
        <w:tc>
          <w:tcPr>
            <w:tcW w:w="2379" w:type="dxa"/>
            <w:shd w:val="clear" w:color="auto" w:fill="auto"/>
          </w:tcPr>
          <w:p w14:paraId="1E45123E"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5AD98500"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65D03ED8"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53845EC3" w14:textId="77777777" w:rsidTr="00866A0B">
        <w:tc>
          <w:tcPr>
            <w:tcW w:w="2378" w:type="dxa"/>
            <w:shd w:val="clear" w:color="auto" w:fill="auto"/>
          </w:tcPr>
          <w:p w14:paraId="22C05B7E"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Intitulé</w:t>
            </w:r>
            <w:r>
              <w:rPr>
                <w:rFonts w:ascii="Times New Roman" w:hAnsi="Times New Roman"/>
                <w:color w:val="000000"/>
                <w:vertAlign w:val="superscript"/>
              </w:rPr>
              <w:t xml:space="preserve"> </w:t>
            </w:r>
            <w:r>
              <w:rPr>
                <w:rFonts w:ascii="Times New Roman" w:hAnsi="Times New Roman"/>
                <w:color w:val="000000"/>
                <w:vertAlign w:val="superscript"/>
              </w:rPr>
              <w:footnoteReference w:id="35"/>
            </w:r>
            <w:r>
              <w:rPr>
                <w:rFonts w:ascii="Times New Roman" w:hAnsi="Times New Roman"/>
                <w:color w:val="000000"/>
              </w:rPr>
              <w:t>:</w:t>
            </w:r>
          </w:p>
        </w:tc>
        <w:tc>
          <w:tcPr>
            <w:tcW w:w="2379" w:type="dxa"/>
            <w:shd w:val="clear" w:color="auto" w:fill="auto"/>
          </w:tcPr>
          <w:p w14:paraId="4882AFF0"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58A4743F"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80C862E"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7A01E8C0" w14:textId="77777777" w:rsidTr="00866A0B">
        <w:tc>
          <w:tcPr>
            <w:tcW w:w="2378" w:type="dxa"/>
            <w:shd w:val="clear" w:color="auto" w:fill="auto"/>
          </w:tcPr>
          <w:p w14:paraId="183446B1"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Signature:</w:t>
            </w:r>
          </w:p>
        </w:tc>
        <w:tc>
          <w:tcPr>
            <w:tcW w:w="2379" w:type="dxa"/>
            <w:shd w:val="clear" w:color="auto" w:fill="auto"/>
          </w:tcPr>
          <w:p w14:paraId="2888C4B3"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21EEDD0C"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63A2DCEA"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6619FED0" w14:textId="77777777" w:rsidTr="00866A0B">
        <w:tc>
          <w:tcPr>
            <w:tcW w:w="2378" w:type="dxa"/>
            <w:shd w:val="clear" w:color="auto" w:fill="auto"/>
          </w:tcPr>
          <w:p w14:paraId="364B1599"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79884E31"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7D2CB62B"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7557FF1"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4FDFA616" w14:textId="77777777" w:rsidTr="00866A0B">
        <w:tc>
          <w:tcPr>
            <w:tcW w:w="2378" w:type="dxa"/>
            <w:shd w:val="clear" w:color="auto" w:fill="auto"/>
          </w:tcPr>
          <w:p w14:paraId="0E516F98"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6532E1A0"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6C0694EF"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538C7E8C"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1A5B5A93" w14:textId="77777777" w:rsidTr="00866A0B">
        <w:tc>
          <w:tcPr>
            <w:tcW w:w="2378" w:type="dxa"/>
            <w:shd w:val="clear" w:color="auto" w:fill="auto"/>
          </w:tcPr>
          <w:p w14:paraId="51F3830A"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Date:</w:t>
            </w:r>
          </w:p>
        </w:tc>
        <w:tc>
          <w:tcPr>
            <w:tcW w:w="2379" w:type="dxa"/>
            <w:shd w:val="clear" w:color="auto" w:fill="auto"/>
          </w:tcPr>
          <w:p w14:paraId="05F709CD"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713FB7EA"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47F7FEC"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3D5CC318" w14:textId="77777777" w:rsidTr="00866A0B">
        <w:tc>
          <w:tcPr>
            <w:tcW w:w="2378" w:type="dxa"/>
            <w:shd w:val="clear" w:color="auto" w:fill="auto"/>
          </w:tcPr>
          <w:p w14:paraId="3DAE8B13"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6C1A314A"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43E1D879"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4A3A65B6" w14:textId="77777777" w:rsidR="00832F98" w:rsidRPr="005107DF" w:rsidRDefault="00832F98" w:rsidP="00866A0B">
            <w:pPr>
              <w:spacing w:after="0" w:line="240" w:lineRule="auto"/>
              <w:rPr>
                <w:rFonts w:ascii="Times New Roman" w:eastAsia="Times New Roman" w:hAnsi="Times New Roman" w:cs="Times New Roman"/>
                <w:color w:val="000000"/>
              </w:rPr>
            </w:pPr>
          </w:p>
        </w:tc>
      </w:tr>
    </w:tbl>
    <w:p w14:paraId="2AB5509A"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p>
    <w:p w14:paraId="08E1F878" w14:textId="77777777" w:rsidR="00832F98" w:rsidRPr="005107DF" w:rsidRDefault="00832F98" w:rsidP="00866A0B">
      <w:pPr>
        <w:spacing w:after="0" w:line="240" w:lineRule="auto"/>
        <w:ind w:left="5812" w:hanging="5812"/>
        <w:rPr>
          <w:rFonts w:ascii="Times New Roman" w:eastAsia="Times New Roman" w:hAnsi="Times New Roman" w:cs="Times New Roman"/>
          <w:color w:val="000000"/>
          <w:sz w:val="24"/>
          <w:szCs w:val="24"/>
        </w:rPr>
      </w:pPr>
    </w:p>
    <w:p w14:paraId="39A1FEFC" w14:textId="147C42A0" w:rsidR="00C903AB" w:rsidRDefault="00832F98" w:rsidP="00C903AB">
      <w:pPr>
        <w:shd w:val="clear" w:color="auto" w:fill="FFFFFF"/>
        <w:spacing w:after="0" w:line="240" w:lineRule="auto"/>
        <w:jc w:val="both"/>
        <w:rPr>
          <w:rFonts w:ascii="Times New Roman" w:hAnsi="Times New Roman"/>
          <w:b/>
          <w:color w:val="000000"/>
          <w:sz w:val="24"/>
        </w:rPr>
      </w:pPr>
      <w:r>
        <w:rPr>
          <w:rFonts w:ascii="Times New Roman" w:hAnsi="Times New Roman"/>
          <w:b/>
          <w:color w:val="000000"/>
          <w:sz w:val="24"/>
        </w:rPr>
        <w:t>Veuillez vous assurer que les coordonnées des chefs de projet (tant du ou des États membres partenaires que de l’administration bénéficiaire) sont également mentionnées, le cas éch</w:t>
      </w:r>
      <w:r w:rsidR="00C903AB">
        <w:rPr>
          <w:rFonts w:ascii="Times New Roman" w:hAnsi="Times New Roman"/>
          <w:b/>
          <w:color w:val="000000"/>
          <w:sz w:val="24"/>
        </w:rPr>
        <w:t xml:space="preserve">éant, sur une feuille distincte. </w:t>
      </w:r>
    </w:p>
    <w:p w14:paraId="6005C2DF" w14:textId="4D4DB83E" w:rsidR="00832F98" w:rsidRPr="005107DF" w:rsidRDefault="00832F98" w:rsidP="00C903AB">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p>
    <w:p w14:paraId="5811D674"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GB" w:eastAsia="en-GB" w:bidi="ar-SA"/>
        </w:rPr>
        <mc:AlternateContent>
          <mc:Choice Requires="wps">
            <w:drawing>
              <wp:inline distT="0" distB="0" distL="0" distR="0" wp14:anchorId="5C71DD62" wp14:editId="1746D4D7">
                <wp:extent cx="1905000" cy="9525"/>
                <wp:effectExtent l="0" t="0" r="0" b="0"/>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952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8F14AD" id="Rectangle 6" o:spid="_x0000_s1026" style="width:150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" fillcolor="gray" stroked="f">
                <w10:anchorlock/>
              </v:rect>
            </w:pict>
          </mc:Fallback>
        </mc:AlternateContent>
      </w:r>
    </w:p>
    <w:p w14:paraId="3F5CFA21" w14:textId="77777777" w:rsidR="00832F98" w:rsidRPr="005107DF" w:rsidRDefault="00832F98" w:rsidP="00866A0B">
      <w:pPr>
        <w:rPr>
          <w:rFonts w:ascii="Times New Roman" w:hAnsi="Times New Roman" w:cs="Times New Roman"/>
        </w:rPr>
      </w:pPr>
    </w:p>
    <w:p w14:paraId="6CF4A398" w14:textId="77777777" w:rsidR="00832F98" w:rsidRPr="005107DF" w:rsidRDefault="00832F98">
      <w:pPr>
        <w:rPr>
          <w:rFonts w:ascii="Times New Roman" w:hAnsi="Times New Roman" w:cs="Times New Roman"/>
        </w:rPr>
      </w:pPr>
      <w:r>
        <w:br w:type="page"/>
      </w:r>
    </w:p>
    <w:p w14:paraId="0034F5BC"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867" w:name="_Toc517434461"/>
      <w:bookmarkStart w:id="868" w:name="_Toc2861024"/>
      <w:r>
        <w:rPr>
          <w:sz w:val="32"/>
        </w:rPr>
        <w:lastRenderedPageBreak/>
        <w:t>ANNEXE A1: Description de l’action</w:t>
      </w:r>
      <w:bookmarkEnd w:id="867"/>
      <w:bookmarkEnd w:id="868"/>
    </w:p>
    <w:p w14:paraId="0AC3D5FD" w14:textId="77777777" w:rsidR="00832F98" w:rsidRPr="005107DF" w:rsidRDefault="00832F98" w:rsidP="00D0198E">
      <w:pPr>
        <w:tabs>
          <w:tab w:val="left" w:pos="3665"/>
        </w:tabs>
        <w:spacing w:after="0" w:line="240" w:lineRule="auto"/>
        <w:rPr>
          <w:rFonts w:ascii="Times New Roman" w:eastAsia="Times New Roman" w:hAnsi="Times New Roman" w:cs="Times New Roman"/>
          <w:b/>
          <w:color w:val="000000"/>
          <w:sz w:val="24"/>
          <w:szCs w:val="24"/>
        </w:rPr>
      </w:pPr>
      <w:r>
        <w:tab/>
      </w:r>
      <w:r>
        <w:rPr>
          <w:rFonts w:ascii="Times New Roman" w:eastAsia="Times New Roman" w:hAnsi="Times New Roman" w:cs="Times New Roman"/>
          <w:noProof/>
          <w:color w:val="000000"/>
          <w:sz w:val="24"/>
          <w:szCs w:val="24"/>
          <w:lang w:val="en-GB" w:eastAsia="en-GB" w:bidi="ar-SA"/>
        </w:rPr>
        <w:drawing>
          <wp:inline distT="0" distB="0" distL="0" distR="0" wp14:anchorId="13600696" wp14:editId="65E97119">
            <wp:extent cx="1000125" cy="657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p>
    <w:p w14:paraId="15F4F03B" w14:textId="77777777" w:rsidR="00832F98" w:rsidRPr="005107DF" w:rsidRDefault="00832F98" w:rsidP="00D0198E">
      <w:pPr>
        <w:spacing w:after="0" w:line="240" w:lineRule="auto"/>
        <w:jc w:val="center"/>
        <w:rPr>
          <w:rFonts w:ascii="Times New Roman" w:eastAsia="Times New Roman" w:hAnsi="Times New Roman" w:cs="Times New Roman"/>
          <w:b/>
          <w:color w:val="000000"/>
          <w:sz w:val="24"/>
          <w:szCs w:val="24"/>
        </w:rPr>
      </w:pPr>
    </w:p>
    <w:p w14:paraId="70B0B474" w14:textId="77777777" w:rsidR="00832F98" w:rsidRPr="005107DF" w:rsidRDefault="00832F98" w:rsidP="00D0198E">
      <w:pPr>
        <w:spacing w:after="0" w:line="240" w:lineRule="auto"/>
        <w:jc w:val="center"/>
        <w:rPr>
          <w:rFonts w:ascii="Times New Roman" w:eastAsia="Times New Roman" w:hAnsi="Times New Roman" w:cs="Times New Roman"/>
          <w:b/>
          <w:color w:val="000000"/>
          <w:sz w:val="24"/>
          <w:szCs w:val="24"/>
        </w:rPr>
      </w:pPr>
    </w:p>
    <w:p w14:paraId="4607BD77" w14:textId="77777777" w:rsidR="00832F98" w:rsidRPr="005107DF" w:rsidRDefault="00832F98" w:rsidP="00D0198E">
      <w:pPr>
        <w:spacing w:after="0" w:line="240" w:lineRule="auto"/>
        <w:jc w:val="both"/>
        <w:rPr>
          <w:rFonts w:ascii="Times New Roman" w:eastAsia="Times New Roman" w:hAnsi="Times New Roman" w:cs="Times New Roman"/>
          <w:b/>
          <w:color w:val="000000"/>
          <w:sz w:val="24"/>
          <w:szCs w:val="24"/>
        </w:rPr>
      </w:pPr>
    </w:p>
    <w:p w14:paraId="31FC4F14" w14:textId="77777777" w:rsidR="00832F98" w:rsidRPr="005107DF" w:rsidRDefault="00832F98" w:rsidP="00FE0F36">
      <w:pPr>
        <w:spacing w:after="0" w:line="240" w:lineRule="auto"/>
        <w:jc w:val="both"/>
        <w:rPr>
          <w:rFonts w:ascii="Times New Roman" w:eastAsia="Times New Roman" w:hAnsi="Times New Roman" w:cs="Times New Roman"/>
          <w:color w:val="000000"/>
          <w:sz w:val="24"/>
          <w:szCs w:val="24"/>
        </w:rPr>
      </w:pPr>
    </w:p>
    <w:p w14:paraId="37728BBB" w14:textId="5E9ED626" w:rsidR="00832F98" w:rsidRPr="005107DF" w:rsidRDefault="00832F98" w:rsidP="00FE0F36">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L’administration de ____________________</w:t>
      </w:r>
      <w:r w:rsidR="00B43DD5">
        <w:rPr>
          <w:rFonts w:ascii="Times New Roman" w:hAnsi="Times New Roman"/>
          <w:i/>
          <w:color w:val="000000"/>
          <w:sz w:val="24"/>
        </w:rPr>
        <w:t xml:space="preserve">__________ (ci-après dénommé le </w:t>
      </w:r>
      <w:r>
        <w:rPr>
          <w:rFonts w:ascii="Times New Roman" w:hAnsi="Times New Roman"/>
          <w:i/>
          <w:color w:val="000000"/>
          <w:sz w:val="24"/>
        </w:rPr>
        <w:t>«bénéficiaire») représentée par ___________________________________________________</w:t>
      </w:r>
    </w:p>
    <w:p w14:paraId="40675A21" w14:textId="77777777" w:rsidR="00832F98" w:rsidRPr="005107DF" w:rsidRDefault="00832F98" w:rsidP="00D0198E">
      <w:pPr>
        <w:spacing w:after="0" w:line="240" w:lineRule="auto"/>
        <w:jc w:val="both"/>
        <w:rPr>
          <w:rFonts w:ascii="Times New Roman" w:eastAsia="Times New Roman" w:hAnsi="Times New Roman" w:cs="Times New Roman"/>
          <w:i/>
          <w:color w:val="000000"/>
          <w:sz w:val="24"/>
          <w:szCs w:val="24"/>
        </w:rPr>
      </w:pPr>
    </w:p>
    <w:p w14:paraId="57F96B9E" w14:textId="77777777" w:rsidR="00832F98" w:rsidRPr="005107DF" w:rsidRDefault="00832F98" w:rsidP="00FE0F36">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 xml:space="preserve">d’une part, </w:t>
      </w:r>
    </w:p>
    <w:p w14:paraId="16A27F1E" w14:textId="77777777" w:rsidR="00832F98" w:rsidRPr="005107DF" w:rsidRDefault="00832F98" w:rsidP="00FE0F36">
      <w:pPr>
        <w:spacing w:after="0" w:line="240" w:lineRule="auto"/>
        <w:rPr>
          <w:rFonts w:ascii="Times New Roman" w:eastAsia="Times New Roman" w:hAnsi="Times New Roman" w:cs="Times New Roman"/>
          <w:i/>
          <w:color w:val="000000"/>
          <w:sz w:val="24"/>
          <w:szCs w:val="24"/>
        </w:rPr>
      </w:pPr>
    </w:p>
    <w:p w14:paraId="72F358E5" w14:textId="77777777" w:rsidR="00832F98" w:rsidRPr="005107DF" w:rsidRDefault="00832F98" w:rsidP="00FE0F36">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et l’administration de __________________________ (ci-après dénommée l’«État membre») représentée par ___________________________________________________________________________</w:t>
      </w:r>
    </w:p>
    <w:p w14:paraId="7CA62F77" w14:textId="77777777" w:rsidR="00832F98" w:rsidRPr="005107DF" w:rsidRDefault="00832F98" w:rsidP="00FE0F36">
      <w:pPr>
        <w:spacing w:after="0" w:line="240" w:lineRule="auto"/>
        <w:rPr>
          <w:rFonts w:ascii="Times New Roman" w:eastAsia="Times New Roman" w:hAnsi="Times New Roman" w:cs="Times New Roman"/>
          <w:i/>
          <w:color w:val="000000"/>
          <w:sz w:val="24"/>
          <w:szCs w:val="24"/>
        </w:rPr>
      </w:pPr>
    </w:p>
    <w:p w14:paraId="0E77E630" w14:textId="77777777" w:rsidR="00832F98" w:rsidRPr="005107DF" w:rsidRDefault="00832F98" w:rsidP="00FE0F36">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d’autre part</w:t>
      </w:r>
    </w:p>
    <w:p w14:paraId="28C67FF4" w14:textId="77777777" w:rsidR="00832F98" w:rsidRPr="005107DF" w:rsidRDefault="00832F98" w:rsidP="00D0198E">
      <w:pPr>
        <w:spacing w:after="0" w:line="240" w:lineRule="auto"/>
        <w:jc w:val="both"/>
        <w:rPr>
          <w:rFonts w:ascii="Times New Roman" w:eastAsia="Times New Roman" w:hAnsi="Times New Roman" w:cs="Times New Roman"/>
          <w:i/>
          <w:color w:val="000000"/>
          <w:sz w:val="24"/>
          <w:szCs w:val="24"/>
        </w:rPr>
      </w:pPr>
    </w:p>
    <w:p w14:paraId="6227762D" w14:textId="77777777" w:rsidR="00832F98" w:rsidRPr="005107DF" w:rsidRDefault="00832F98" w:rsidP="00D0198E">
      <w:pPr>
        <w:spacing w:after="0" w:line="240" w:lineRule="auto"/>
        <w:jc w:val="both"/>
        <w:rPr>
          <w:rFonts w:ascii="Times New Roman" w:eastAsia="Times New Roman" w:hAnsi="Times New Roman" w:cs="Times New Roman"/>
          <w:color w:val="000000"/>
          <w:sz w:val="24"/>
          <w:szCs w:val="24"/>
        </w:rPr>
      </w:pPr>
    </w:p>
    <w:p w14:paraId="1EED8194" w14:textId="77777777" w:rsidR="00832F98" w:rsidRPr="005107DF" w:rsidRDefault="00832F98" w:rsidP="00D0198E">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ONT CONVENU DE METTRE EN ŒUVRE CONJOINTEMENT L’ACTION DÉCRITE CI-APRÈS:</w:t>
      </w:r>
    </w:p>
    <w:p w14:paraId="1890CD74" w14:textId="77777777" w:rsidR="00832F98" w:rsidRPr="005107DF" w:rsidRDefault="00832F98" w:rsidP="00D0198E">
      <w:pPr>
        <w:spacing w:after="0" w:line="240" w:lineRule="auto"/>
        <w:jc w:val="both"/>
        <w:rPr>
          <w:rFonts w:ascii="Times New Roman" w:eastAsia="Times New Roman" w:hAnsi="Times New Roman" w:cs="Times New Roman"/>
          <w:i/>
          <w:color w:val="000000"/>
          <w:sz w:val="24"/>
          <w:szCs w:val="24"/>
        </w:rPr>
      </w:pPr>
    </w:p>
    <w:p w14:paraId="0626A7F2" w14:textId="77777777" w:rsidR="00832F98" w:rsidRPr="005107DF" w:rsidRDefault="00832F98" w:rsidP="00823DA1">
      <w:pPr>
        <w:spacing w:after="0" w:line="240" w:lineRule="auto"/>
        <w:jc w:val="both"/>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1. Fiche de projet de jumelage</w:t>
      </w:r>
    </w:p>
    <w:p w14:paraId="1405A95C" w14:textId="77777777" w:rsidR="00832F98" w:rsidRPr="005107DF" w:rsidRDefault="00832F98" w:rsidP="00823DA1">
      <w:pPr>
        <w:spacing w:after="0" w:line="240" w:lineRule="auto"/>
        <w:jc w:val="both"/>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 xml:space="preserve">2. Proposition de l’État membre </w:t>
      </w:r>
    </w:p>
    <w:p w14:paraId="383EFBF9" w14:textId="77777777" w:rsidR="00832F98" w:rsidRPr="005107DF" w:rsidRDefault="00832F98" w:rsidP="00D0198E">
      <w:pPr>
        <w:spacing w:after="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u w:val="single"/>
        </w:rPr>
        <w:t>3. Pour le jumelage standard (à ajouter après chaque réunion du comité de pilotage): plans de travail évolutifs et CV des experts de courte durée</w:t>
      </w:r>
    </w:p>
    <w:p w14:paraId="63555938" w14:textId="77777777" w:rsidR="00832F98" w:rsidRPr="005107DF" w:rsidRDefault="00832F98">
      <w:pPr>
        <w:rPr>
          <w:rFonts w:ascii="Times New Roman" w:hAnsi="Times New Roman" w:cs="Times New Roman"/>
        </w:rPr>
      </w:pPr>
      <w:r>
        <w:br w:type="page"/>
      </w:r>
    </w:p>
    <w:p w14:paraId="5C4CAA69"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869" w:name="_Toc517434462"/>
      <w:bookmarkStart w:id="870" w:name="_Toc2861025"/>
      <w:r>
        <w:rPr>
          <w:sz w:val="32"/>
        </w:rPr>
        <w:lastRenderedPageBreak/>
        <w:t>ANNEXE A2: Conditions générales applicables aux contrats de subvention conclus dans le cadre des actions extérieures de l’Union européenne</w:t>
      </w:r>
      <w:bookmarkEnd w:id="869"/>
      <w:bookmarkEnd w:id="870"/>
    </w:p>
    <w:p w14:paraId="04325BA9" w14:textId="77777777" w:rsidR="00832F98" w:rsidRPr="0019382C" w:rsidRDefault="00832F98" w:rsidP="00181B15">
      <w:pPr>
        <w:jc w:val="center"/>
        <w:rPr>
          <w:rFonts w:ascii="Times New Roman" w:hAnsi="Times New Roman" w:cs="Times New Roman"/>
          <w:sz w:val="28"/>
          <w:szCs w:val="28"/>
        </w:rPr>
      </w:pPr>
      <w:r>
        <w:rPr>
          <w:rFonts w:ascii="Times New Roman" w:hAnsi="Times New Roman"/>
          <w:sz w:val="28"/>
        </w:rPr>
        <w:t>TABLE DES MATIÈRES</w:t>
      </w:r>
    </w:p>
    <w:p w14:paraId="1AF309E2" w14:textId="77777777" w:rsidR="00832F98" w:rsidRPr="0019382C" w:rsidRDefault="00832F98" w:rsidP="0019382C">
      <w:pPr>
        <w:pStyle w:val="BodyText"/>
        <w:rPr>
          <w:sz w:val="24"/>
          <w:szCs w:val="24"/>
        </w:rPr>
      </w:pPr>
      <w:r>
        <w:rPr>
          <w:sz w:val="24"/>
        </w:rPr>
        <w:t xml:space="preserve">Les termes utilisés dans les présentes conditions générales sont définis dans le «glossaire» figurant à l’annexe A1a du Guide pratique des procédures contractuelles applicables à l’action extérieure de l’UE.  </w:t>
      </w:r>
    </w:p>
    <w:p w14:paraId="78CEF25F" w14:textId="77777777" w:rsidR="00832F98" w:rsidRPr="0019382C" w:rsidRDefault="00832F98" w:rsidP="0019382C">
      <w:pPr>
        <w:pStyle w:val="BodyText"/>
        <w:rPr>
          <w:sz w:val="24"/>
          <w:szCs w:val="24"/>
        </w:rPr>
      </w:pPr>
      <w:r>
        <w:rPr>
          <w:sz w:val="24"/>
        </w:rPr>
        <w:t xml:space="preserve">Dans le cadre des subventions de fonctionnement, le terme «action» désigne le «programme de travail». </w:t>
      </w:r>
    </w:p>
    <w:p w14:paraId="36352D75" w14:textId="77777777" w:rsidR="00832F98" w:rsidRPr="0019382C" w:rsidRDefault="00832F98" w:rsidP="0019382C">
      <w:pPr>
        <w:pStyle w:val="BodyText"/>
        <w:rPr>
          <w:sz w:val="24"/>
          <w:szCs w:val="24"/>
        </w:rPr>
      </w:pPr>
      <w:r>
        <w:rPr>
          <w:sz w:val="24"/>
        </w:rPr>
        <w:t xml:space="preserve">Le terme «coordinateur» désigne le bénéficiaire identifié comme coordinateur dans les conditions particulières.  </w:t>
      </w:r>
    </w:p>
    <w:p w14:paraId="311DC097" w14:textId="77777777" w:rsidR="00832F98" w:rsidRPr="0019382C" w:rsidRDefault="00832F98" w:rsidP="0019382C">
      <w:pPr>
        <w:pStyle w:val="BodyText"/>
        <w:rPr>
          <w:sz w:val="24"/>
          <w:szCs w:val="24"/>
        </w:rPr>
      </w:pPr>
      <w:r>
        <w:rPr>
          <w:sz w:val="24"/>
        </w:rPr>
        <w:t xml:space="preserve">Le terme «bénéficiaire(s)» désigne collectivement tous les bénéficiaires de l’action, y compris le coordinateur. Si l’action ne compte qu’un seul bénéficiaire, les termes «bénéficiaire(s)» et «coordinateur» sont réputés désigner l’unique bénéficiaire de l’action. </w:t>
      </w:r>
    </w:p>
    <w:p w14:paraId="5D722796" w14:textId="77777777" w:rsidR="00832F98" w:rsidRPr="0019382C" w:rsidRDefault="00832F98" w:rsidP="0019382C">
      <w:pPr>
        <w:pStyle w:val="BodyText"/>
        <w:rPr>
          <w:sz w:val="24"/>
          <w:szCs w:val="24"/>
        </w:rPr>
      </w:pPr>
      <w:r>
        <w:rPr>
          <w:sz w:val="24"/>
        </w:rPr>
        <w:t xml:space="preserve">L’expression «partie(s) au contrat» désigne la partie signataire du contrat (à savoir les bénéficiaires et l’administration contractante). </w:t>
      </w:r>
    </w:p>
    <w:p w14:paraId="7F65914F" w14:textId="77777777" w:rsidR="00832F98" w:rsidRPr="0019382C" w:rsidRDefault="00832F98" w:rsidP="0019382C">
      <w:pPr>
        <w:pStyle w:val="BodyText"/>
        <w:rPr>
          <w:sz w:val="24"/>
          <w:szCs w:val="24"/>
        </w:rPr>
      </w:pPr>
      <w:r>
        <w:rPr>
          <w:sz w:val="24"/>
        </w:rPr>
        <w:t xml:space="preserve">Toute référence à des «jours» dans le contrat renvoie à des jours calendrier, sauf indication contraire. </w:t>
      </w:r>
    </w:p>
    <w:p w14:paraId="76849282" w14:textId="77777777" w:rsidR="00832F98" w:rsidRDefault="00832F98" w:rsidP="0019382C">
      <w:pPr>
        <w:jc w:val="center"/>
        <w:rPr>
          <w:rFonts w:ascii="Times New Roman" w:hAnsi="Times New Roman" w:cs="Times New Roman"/>
          <w:b/>
          <w:bCs/>
          <w:sz w:val="28"/>
          <w:szCs w:val="28"/>
        </w:rPr>
      </w:pPr>
    </w:p>
    <w:p w14:paraId="56F58D85" w14:textId="77777777" w:rsidR="00832F98" w:rsidRDefault="00832F98" w:rsidP="0019382C">
      <w:pPr>
        <w:jc w:val="center"/>
        <w:rPr>
          <w:rFonts w:ascii="Times New Roman" w:hAnsi="Times New Roman" w:cs="Times New Roman"/>
          <w:b/>
          <w:bCs/>
          <w:sz w:val="28"/>
          <w:szCs w:val="28"/>
        </w:rPr>
      </w:pPr>
    </w:p>
    <w:p w14:paraId="254310BE" w14:textId="77777777" w:rsidR="00832F98" w:rsidRDefault="00832F98" w:rsidP="0019382C">
      <w:pPr>
        <w:jc w:val="center"/>
        <w:rPr>
          <w:rFonts w:ascii="Times New Roman" w:hAnsi="Times New Roman" w:cs="Times New Roman"/>
          <w:b/>
          <w:bCs/>
          <w:sz w:val="28"/>
          <w:szCs w:val="28"/>
        </w:rPr>
      </w:pPr>
    </w:p>
    <w:p w14:paraId="18E6124E" w14:textId="77777777" w:rsidR="00832F98" w:rsidRDefault="00832F98" w:rsidP="0019382C">
      <w:pPr>
        <w:jc w:val="center"/>
        <w:rPr>
          <w:rFonts w:ascii="Times New Roman" w:hAnsi="Times New Roman" w:cs="Times New Roman"/>
          <w:b/>
          <w:bCs/>
          <w:sz w:val="28"/>
          <w:szCs w:val="28"/>
        </w:rPr>
      </w:pPr>
    </w:p>
    <w:p w14:paraId="4D59068A" w14:textId="77777777" w:rsidR="00832F98" w:rsidRDefault="00832F98" w:rsidP="0019382C">
      <w:pPr>
        <w:jc w:val="center"/>
        <w:rPr>
          <w:rFonts w:ascii="Times New Roman" w:hAnsi="Times New Roman" w:cs="Times New Roman"/>
          <w:b/>
          <w:bCs/>
          <w:sz w:val="28"/>
          <w:szCs w:val="28"/>
        </w:rPr>
      </w:pPr>
    </w:p>
    <w:p w14:paraId="6B5CAB8E" w14:textId="77777777" w:rsidR="00832F98" w:rsidRDefault="00832F98" w:rsidP="0019382C">
      <w:pPr>
        <w:jc w:val="center"/>
        <w:rPr>
          <w:rFonts w:ascii="Times New Roman" w:hAnsi="Times New Roman" w:cs="Times New Roman"/>
          <w:b/>
          <w:bCs/>
          <w:sz w:val="28"/>
          <w:szCs w:val="28"/>
        </w:rPr>
      </w:pPr>
    </w:p>
    <w:p w14:paraId="5D2E551B" w14:textId="77777777" w:rsidR="00832F98" w:rsidRDefault="00832F98" w:rsidP="0019382C">
      <w:pPr>
        <w:jc w:val="center"/>
        <w:rPr>
          <w:rFonts w:ascii="Times New Roman" w:hAnsi="Times New Roman" w:cs="Times New Roman"/>
          <w:b/>
          <w:bCs/>
          <w:sz w:val="28"/>
          <w:szCs w:val="28"/>
        </w:rPr>
      </w:pPr>
    </w:p>
    <w:p w14:paraId="5583C3A6" w14:textId="77777777" w:rsidR="00832F98" w:rsidRDefault="00832F98" w:rsidP="0019382C">
      <w:pPr>
        <w:jc w:val="center"/>
        <w:rPr>
          <w:rFonts w:ascii="Times New Roman" w:hAnsi="Times New Roman" w:cs="Times New Roman"/>
          <w:b/>
          <w:bCs/>
          <w:sz w:val="28"/>
          <w:szCs w:val="28"/>
        </w:rPr>
      </w:pPr>
    </w:p>
    <w:p w14:paraId="3AF5A526" w14:textId="77777777" w:rsidR="00832F98" w:rsidRDefault="00832F98" w:rsidP="0019382C">
      <w:pPr>
        <w:jc w:val="center"/>
        <w:rPr>
          <w:rFonts w:ascii="Times New Roman" w:hAnsi="Times New Roman" w:cs="Times New Roman"/>
          <w:b/>
          <w:bCs/>
          <w:sz w:val="28"/>
          <w:szCs w:val="28"/>
        </w:rPr>
      </w:pPr>
    </w:p>
    <w:p w14:paraId="7CCD8794" w14:textId="77777777" w:rsidR="00832F98" w:rsidRDefault="00832F98" w:rsidP="0019382C">
      <w:pPr>
        <w:jc w:val="center"/>
        <w:rPr>
          <w:rFonts w:ascii="Times New Roman" w:hAnsi="Times New Roman" w:cs="Times New Roman"/>
          <w:b/>
          <w:bCs/>
          <w:sz w:val="28"/>
          <w:szCs w:val="28"/>
        </w:rPr>
      </w:pPr>
    </w:p>
    <w:p w14:paraId="73D744BB" w14:textId="77777777" w:rsidR="00832F98" w:rsidRDefault="00832F98" w:rsidP="0019382C">
      <w:pPr>
        <w:jc w:val="center"/>
        <w:rPr>
          <w:rFonts w:ascii="Times New Roman" w:hAnsi="Times New Roman" w:cs="Times New Roman"/>
          <w:b/>
          <w:bCs/>
          <w:sz w:val="28"/>
          <w:szCs w:val="28"/>
        </w:rPr>
      </w:pPr>
    </w:p>
    <w:p w14:paraId="581B2826" w14:textId="746A96DC" w:rsidR="00832F98" w:rsidRDefault="00832F98" w:rsidP="00B43DD5">
      <w:pPr>
        <w:rPr>
          <w:rFonts w:ascii="Times New Roman" w:hAnsi="Times New Roman" w:cs="Times New Roman"/>
          <w:b/>
          <w:bCs/>
          <w:sz w:val="28"/>
          <w:szCs w:val="28"/>
        </w:rPr>
      </w:pPr>
    </w:p>
    <w:p w14:paraId="24E017FE" w14:textId="77777777" w:rsidR="00832F98" w:rsidRPr="0019382C" w:rsidRDefault="00832F98" w:rsidP="0019382C">
      <w:pPr>
        <w:jc w:val="center"/>
        <w:rPr>
          <w:rFonts w:ascii="Times New Roman" w:hAnsi="Times New Roman" w:cs="Times New Roman"/>
          <w:b/>
          <w:bCs/>
          <w:sz w:val="28"/>
          <w:szCs w:val="28"/>
        </w:rPr>
      </w:pPr>
      <w:r>
        <w:rPr>
          <w:rFonts w:ascii="Times New Roman" w:hAnsi="Times New Roman"/>
          <w:b/>
          <w:sz w:val="28"/>
        </w:rPr>
        <w:lastRenderedPageBreak/>
        <w:t>Table des matières</w:t>
      </w:r>
    </w:p>
    <w:p w14:paraId="44052B1D"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1 – Dispositions générales  </w:t>
      </w:r>
    </w:p>
    <w:p w14:paraId="1553C816"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2 – Obligations de présentation de rapports descriptifs et financiers </w:t>
      </w:r>
    </w:p>
    <w:p w14:paraId="4A2FB195"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3 - Responsabilité   </w:t>
      </w:r>
    </w:p>
    <w:p w14:paraId="22BC86CF"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4 – Conflit d’intérêts et bonne conduite </w:t>
      </w:r>
    </w:p>
    <w:p w14:paraId="358C7955" w14:textId="77777777" w:rsidR="00832F98" w:rsidRDefault="00832F98" w:rsidP="0019382C">
      <w:pPr>
        <w:spacing w:line="240" w:lineRule="auto"/>
        <w:rPr>
          <w:rFonts w:ascii="Times New Roman" w:hAnsi="Times New Roman" w:cs="Times New Roman"/>
          <w:b/>
          <w:bCs/>
        </w:rPr>
      </w:pPr>
      <w:r>
        <w:rPr>
          <w:rFonts w:ascii="Times New Roman" w:hAnsi="Times New Roman"/>
          <w:b/>
        </w:rPr>
        <w:t>Article 5 - Confidentialité</w:t>
      </w:r>
    </w:p>
    <w:p w14:paraId="69178C51"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6 - Visibilité </w:t>
      </w:r>
    </w:p>
    <w:p w14:paraId="476EE27B"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7 - Propriété et utilisation des résultats de l’action et des actifs </w:t>
      </w:r>
    </w:p>
    <w:p w14:paraId="03F36779"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8 - Évaluation/suivi </w:t>
      </w:r>
    </w:p>
    <w:p w14:paraId="2BD537D1" w14:textId="77777777" w:rsidR="00832F98" w:rsidRDefault="00832F98" w:rsidP="0019382C">
      <w:pPr>
        <w:spacing w:line="240" w:lineRule="auto"/>
        <w:rPr>
          <w:rFonts w:ascii="Times New Roman" w:hAnsi="Times New Roman" w:cs="Times New Roman"/>
          <w:b/>
          <w:bCs/>
        </w:rPr>
      </w:pPr>
      <w:r>
        <w:rPr>
          <w:rFonts w:ascii="Times New Roman" w:hAnsi="Times New Roman"/>
          <w:b/>
        </w:rPr>
        <w:t>Article 9 - Modification du contrat</w:t>
      </w:r>
    </w:p>
    <w:p w14:paraId="2DCB22DF"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10 - Mise en œuvre </w:t>
      </w:r>
    </w:p>
    <w:p w14:paraId="65058599" w14:textId="77777777" w:rsidR="00832F98" w:rsidRDefault="00832F98" w:rsidP="0019382C">
      <w:pPr>
        <w:spacing w:line="240" w:lineRule="auto"/>
        <w:rPr>
          <w:rFonts w:ascii="Times New Roman" w:hAnsi="Times New Roman" w:cs="Times New Roman"/>
          <w:b/>
          <w:bCs/>
        </w:rPr>
      </w:pPr>
      <w:r>
        <w:rPr>
          <w:rFonts w:ascii="Times New Roman" w:hAnsi="Times New Roman"/>
          <w:b/>
        </w:rPr>
        <w:t>Article 11 – Prorogation et suspension</w:t>
      </w:r>
    </w:p>
    <w:p w14:paraId="1FE32E74" w14:textId="77777777" w:rsidR="00832F98" w:rsidRDefault="00832F98" w:rsidP="0019382C">
      <w:pPr>
        <w:spacing w:line="240" w:lineRule="auto"/>
        <w:rPr>
          <w:rFonts w:ascii="Times New Roman" w:hAnsi="Times New Roman" w:cs="Times New Roman"/>
          <w:b/>
          <w:bCs/>
        </w:rPr>
      </w:pPr>
      <w:r>
        <w:rPr>
          <w:rFonts w:ascii="Times New Roman" w:hAnsi="Times New Roman"/>
          <w:b/>
        </w:rPr>
        <w:t>Article 12 - Résiliation du contrat</w:t>
      </w:r>
    </w:p>
    <w:p w14:paraId="6979D2E2"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13 - Droit applicable et règlement des différends </w:t>
      </w:r>
    </w:p>
    <w:p w14:paraId="019C1188"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14 - Coûts éligibles </w:t>
      </w:r>
    </w:p>
    <w:p w14:paraId="5B593152"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15 - Paiements et intérêts de retard </w:t>
      </w:r>
    </w:p>
    <w:p w14:paraId="07C6095C"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16 - Comptabilité et contrôle technique et financier </w:t>
      </w:r>
    </w:p>
    <w:p w14:paraId="5361C2F2"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17 – Montant final de la subvention </w:t>
      </w:r>
    </w:p>
    <w:p w14:paraId="6880A46A" w14:textId="77777777" w:rsidR="00832F98" w:rsidRPr="00F24549" w:rsidRDefault="00832F98" w:rsidP="0019382C">
      <w:pPr>
        <w:spacing w:line="240" w:lineRule="auto"/>
        <w:rPr>
          <w:rFonts w:ascii="Times New Roman" w:hAnsi="Times New Roman" w:cs="Times New Roman"/>
          <w:b/>
          <w:bCs/>
        </w:rPr>
      </w:pPr>
      <w:r>
        <w:rPr>
          <w:rFonts w:ascii="Times New Roman" w:hAnsi="Times New Roman"/>
          <w:b/>
        </w:rPr>
        <w:t xml:space="preserve">Article 18 - Récupération </w:t>
      </w:r>
    </w:p>
    <w:p w14:paraId="2A3062EE" w14:textId="77777777" w:rsidR="00832F98" w:rsidRPr="00F24549" w:rsidRDefault="00832F98" w:rsidP="00AE4E87">
      <w:pPr>
        <w:rPr>
          <w:rFonts w:ascii="Times New Roman" w:hAnsi="Times New Roman" w:cs="Times New Roman"/>
          <w:b/>
          <w:bCs/>
        </w:rPr>
      </w:pPr>
      <w:r>
        <w:rPr>
          <w:rFonts w:ascii="Times New Roman" w:hAnsi="Times New Roman"/>
          <w:b/>
        </w:rPr>
        <w:t xml:space="preserve"> </w:t>
      </w:r>
    </w:p>
    <w:p w14:paraId="1D5017EF" w14:textId="77777777" w:rsidR="00832F98" w:rsidRDefault="00832F98" w:rsidP="0019382C">
      <w:pPr>
        <w:jc w:val="center"/>
        <w:rPr>
          <w:rFonts w:ascii="Times New Roman" w:hAnsi="Times New Roman" w:cs="Times New Roman"/>
          <w:b/>
          <w:bCs/>
          <w:szCs w:val="36"/>
        </w:rPr>
      </w:pPr>
    </w:p>
    <w:p w14:paraId="24B2ECA4" w14:textId="77777777" w:rsidR="00832F98" w:rsidRDefault="00832F98" w:rsidP="0019382C">
      <w:pPr>
        <w:jc w:val="center"/>
        <w:rPr>
          <w:rFonts w:ascii="Times New Roman" w:hAnsi="Times New Roman" w:cs="Times New Roman"/>
          <w:b/>
          <w:bCs/>
          <w:szCs w:val="36"/>
        </w:rPr>
      </w:pPr>
    </w:p>
    <w:p w14:paraId="7F2D079F" w14:textId="77777777" w:rsidR="00832F98" w:rsidRDefault="00832F98" w:rsidP="0019382C">
      <w:pPr>
        <w:jc w:val="center"/>
        <w:rPr>
          <w:rFonts w:ascii="Times New Roman" w:hAnsi="Times New Roman" w:cs="Times New Roman"/>
          <w:b/>
          <w:bCs/>
          <w:szCs w:val="36"/>
        </w:rPr>
      </w:pPr>
    </w:p>
    <w:p w14:paraId="7D8A59DE" w14:textId="77777777" w:rsidR="00832F98" w:rsidRDefault="00832F98" w:rsidP="0019382C">
      <w:pPr>
        <w:jc w:val="center"/>
        <w:rPr>
          <w:rFonts w:ascii="Times New Roman" w:hAnsi="Times New Roman" w:cs="Times New Roman"/>
          <w:b/>
          <w:bCs/>
          <w:szCs w:val="36"/>
        </w:rPr>
      </w:pPr>
    </w:p>
    <w:p w14:paraId="3FA68446" w14:textId="77777777" w:rsidR="00832F98" w:rsidRDefault="00832F98" w:rsidP="0019382C">
      <w:pPr>
        <w:jc w:val="center"/>
        <w:rPr>
          <w:rFonts w:ascii="Times New Roman" w:hAnsi="Times New Roman" w:cs="Times New Roman"/>
          <w:b/>
          <w:bCs/>
          <w:szCs w:val="36"/>
        </w:rPr>
      </w:pPr>
    </w:p>
    <w:p w14:paraId="722D372F" w14:textId="77777777" w:rsidR="00832F98" w:rsidRDefault="00832F98" w:rsidP="0019382C">
      <w:pPr>
        <w:jc w:val="center"/>
        <w:rPr>
          <w:rFonts w:ascii="Times New Roman" w:hAnsi="Times New Roman" w:cs="Times New Roman"/>
          <w:b/>
          <w:bCs/>
          <w:szCs w:val="36"/>
        </w:rPr>
      </w:pPr>
    </w:p>
    <w:p w14:paraId="4BAB0A66" w14:textId="77777777" w:rsidR="00832F98" w:rsidRDefault="00832F98" w:rsidP="0019382C">
      <w:pPr>
        <w:jc w:val="center"/>
        <w:rPr>
          <w:rFonts w:ascii="Times New Roman" w:hAnsi="Times New Roman" w:cs="Times New Roman"/>
          <w:b/>
          <w:bCs/>
          <w:szCs w:val="36"/>
        </w:rPr>
      </w:pPr>
    </w:p>
    <w:p w14:paraId="7BBABC80" w14:textId="77777777" w:rsidR="00832F98" w:rsidRDefault="00832F98" w:rsidP="0019382C">
      <w:pPr>
        <w:jc w:val="center"/>
        <w:rPr>
          <w:rFonts w:ascii="Times New Roman" w:hAnsi="Times New Roman" w:cs="Times New Roman"/>
          <w:b/>
          <w:bCs/>
          <w:szCs w:val="36"/>
        </w:rPr>
      </w:pPr>
    </w:p>
    <w:p w14:paraId="45DE6559" w14:textId="623015D4" w:rsidR="00B43DD5" w:rsidRDefault="00B43DD5">
      <w:pPr>
        <w:rPr>
          <w:rFonts w:ascii="Times New Roman" w:hAnsi="Times New Roman" w:cs="Times New Roman"/>
          <w:b/>
          <w:bCs/>
          <w:szCs w:val="36"/>
        </w:rPr>
      </w:pPr>
      <w:r>
        <w:rPr>
          <w:rFonts w:ascii="Times New Roman" w:hAnsi="Times New Roman" w:cs="Times New Roman"/>
          <w:b/>
          <w:bCs/>
          <w:szCs w:val="36"/>
        </w:rPr>
        <w:br w:type="page"/>
      </w:r>
    </w:p>
    <w:p w14:paraId="69C26312" w14:textId="77777777" w:rsidR="00832F98" w:rsidRDefault="00832F98" w:rsidP="0019382C">
      <w:pPr>
        <w:jc w:val="center"/>
        <w:rPr>
          <w:rFonts w:ascii="Times New Roman" w:hAnsi="Times New Roman" w:cs="Times New Roman"/>
          <w:b/>
          <w:bCs/>
          <w:szCs w:val="36"/>
        </w:rPr>
      </w:pPr>
    </w:p>
    <w:p w14:paraId="4655CB42" w14:textId="3B9D9888"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DISPOSITIONS GÉNÉRALES ET ADMINISTRATIVES </w:t>
      </w:r>
    </w:p>
    <w:p w14:paraId="646383A2"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1 – DISPOSITIONS GÉNÉRALES </w:t>
      </w:r>
    </w:p>
    <w:p w14:paraId="58BDC3D4"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Principes généraux </w:t>
      </w:r>
    </w:p>
    <w:p w14:paraId="030E7E0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1.1. Les bénéficiaires et l’administration contractante sont les seules parties au contrat. Si la Commission européenne n’est pas l’administration contractante, elle n’est pas partie au contrat, qui ne lui confère que les droits et obligations qui y sont explicitement mentionnés. </w:t>
      </w:r>
    </w:p>
    <w:p w14:paraId="5E05762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 Le contrat et les paiements qui en découlent ne peuvent être cédés à un tiers de quelque manière que ce soit sans l’accord préalable écrit de l’administration contractante. </w:t>
      </w:r>
    </w:p>
    <w:p w14:paraId="1291DAE9"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Protection des données </w:t>
      </w:r>
    </w:p>
    <w:p w14:paraId="0087DDF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1.3. Toutes les données à caractère personnel seront traitées uniquement aux fins d’exécution, de gestion et de suivi du contrat par l’administration contractante, et pourront également être transmises aux organes chargés d’une mission de contrôle ou d’inspection en application du droit de l’Union européenne. Les bénéficiaires disposent d’un droit d’accès aux données à caractère personnel les concernant, de même que d’un droit de rectification de ces données. Toute question des bénéficiaires relative au traitement des données à caractère personnel les concernant peut être adressée à l’administration contractante. Les bénéficiaires ont le droit de saisir à tout moment le contrôleur européen de la protection des données. </w:t>
      </w:r>
    </w:p>
    <w:p w14:paraId="775BCF0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 Le traitement de données à caractère personnel effectué par les bénéficiaires dans le cadre du présent contrat doit respecter la législation de l’Union et la législation nationale applicables en ce qui concerne la protection des données (y compris les exigences en matière d’autorisation ou de notification). Les bénéficiaires veillent à ce que l’accès et l’utilisation des données à caractère personnel soient limités à ce qui est strictement nécessaire à l’exécution, à la gestion et au suivi du présent contrat et prennent toutes les mesures de sécurité appropriées, sur les plans technique et organisationnel, pour assurer la plus stricte confidentialité et limiter l’accès à ces données.  </w:t>
      </w:r>
    </w:p>
    <w:p w14:paraId="18215DFE"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Rôle des bénéficiaires </w:t>
      </w:r>
    </w:p>
    <w:p w14:paraId="531F854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 Les bénéficiaires:  </w:t>
      </w:r>
    </w:p>
    <w:p w14:paraId="7B48005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sont solidairement responsables, vis-à-vis de l’administration contractante, de l’exécution de l’action, et prennent toutes les mesures nécessaires et raisonnables pour assurer la réalisation de l’action conformément à la description de l’action qui figure à l’annexe I et aux conditions du contrat. À cet effet, les bénéficiaires exécutent l’action avec tout le soin, l’efficacité, la transparence et la diligence requis, dans le respect du principe de bonne gestion financière et conformément aux meilleures pratiques dans le domaine;  </w:t>
      </w:r>
    </w:p>
    <w:p w14:paraId="1442728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assument, individuellement ou solidairement, la responsabilité de toute obligation qui leur incombe au titre du contrat; </w:t>
      </w:r>
    </w:p>
    <w:p w14:paraId="5431A72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c) transmettent au coordinateur les données nécessaires pour rédiger les rapports, établir les états financiers et toute autre information ou tout autre document requis par le contrat et ses annexes, ainsi que toute information nécessaire en cas d’audit, de contrôle, de suivi ou d’évaluation, selon les modalités prévues à l’article 16; </w:t>
      </w:r>
    </w:p>
    <w:p w14:paraId="0FE6366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veillent à ce que toutes les informations à fournir à l’administration contractante ou toute demande à lui adresser soient envoyées par l’intermédiaire du coordinateur;  </w:t>
      </w:r>
    </w:p>
    <w:p w14:paraId="0DC28A0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 concluent les accords internes nécessaires réglant la coordination interne et la représentation des bénéficiaires vis-à-vis de l’administration contractante pour toute question concernant le contrat, dans le respect des dispositions du contrat et conformément à la législation applicable. </w:t>
      </w:r>
    </w:p>
    <w:p w14:paraId="7B3507C0"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Rôle du coordinateur </w:t>
      </w:r>
    </w:p>
    <w:p w14:paraId="3C77443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1.6. Le coordinateur: </w:t>
      </w:r>
    </w:p>
    <w:p w14:paraId="4680C85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vérifie que l’action est mise en œuvre conformément au contrat et assure, dans le cadre de la mise en œuvre de l’action, la coordination avec tous les bénéficiaires; </w:t>
      </w:r>
    </w:p>
    <w:p w14:paraId="5593CEE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sert d’intermédiaire pour toutes les communications entre le(s) bénéficiaire(s) et l’administration contractante;  </w:t>
      </w:r>
    </w:p>
    <w:p w14:paraId="227597C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est chargé de communiquer à l’administration contractante tout document et toute information requis par le contrat, notamment en ce qui concerne les rapports narratifs et les demandes de paiement. Lorsque des informations sont requises de la part des bénéficiaires, le coordinateur est chargé de les obtenir, de les vérifier et de les regrouper avant de les communiquer à l’administration contractante.  Toute information communiquée, ainsi que toute demande adressée par le coordinateur à l’administration contractante, sont réputées avoir été faites en accord avec tous les bénéficiaires; </w:t>
      </w:r>
    </w:p>
    <w:p w14:paraId="144CDD6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informe l’administration contractante de toute circonstance susceptible d’affecter ou de retarder la mise en œuvre de l’action; </w:t>
      </w:r>
    </w:p>
    <w:p w14:paraId="63D5802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 informe l’administration contractante de tout changement juridique, financier, technique, d’organisation ou de contrôle des bénéficiaires ainsi que de toute modification du nom, de l’adresse ou du représentant légal d’un des bénéficiaires; </w:t>
      </w:r>
    </w:p>
    <w:p w14:paraId="10A2D8B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f) est chargé, pour les audits, contrôles, suivis ou évaluations décrits à l’article 16, de fournir tous les documents nécessaires, notamment les comptes des bénéficiaires, des copies des pièces justificatives les plus importantes et des exemplaires signés de tout contrat conclu conformément à l’article 10; </w:t>
      </w:r>
    </w:p>
    <w:p w14:paraId="526108A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g) assume la pleine responsabilité financière de la bonne exécution de l’action dans le respect du contrat; </w:t>
      </w:r>
    </w:p>
    <w:p w14:paraId="6F95A12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h) prend les dispositions nécessaires pour fournir la garantie financière, si elle est demandée, conformément aux dispositions de l’article 4.2 des conditions particulières;   </w:t>
      </w:r>
    </w:p>
    <w:p w14:paraId="5A54D8C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i) établit les demandes de paiement conformément au contrat; </w:t>
      </w:r>
    </w:p>
    <w:p w14:paraId="040DCC6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j) est le seul récipiendaire, pour le compte de l’ensemble des bénéficiaires, des paiements effectués par l’administration contractante. Le coordinateur doit ensuite payer, sans retard injustifié, le montant dû à chaque bénéficiaire; </w:t>
      </w:r>
    </w:p>
    <w:p w14:paraId="20681B8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k) ne délègue ou ne sous-traite aucune de ces fonctions, en tout ou en partie, aux bénéficiaires ou à d’autres entités. </w:t>
      </w:r>
    </w:p>
    <w:p w14:paraId="54F60BFF"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2 – OBLIGATIONS DE PRÉSENTATION DE RAPPORTS DESCRIPTIFS ET FINANCIERS </w:t>
      </w:r>
    </w:p>
    <w:p w14:paraId="7E3727A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2.1. Les bénéficiaires fournissent à l’administration contractante toutes les informations requises relatives à la mise en œuvre de l’action. Les rapports décrivent la mise en œuvre de l’action selon les activités prévues, les difficultés rencontrées et les mesures prises pour les surmonter, les éventuelles modifications introduites, ainsi que le degré de réalisation de ses résultats (incidences, résultats ou extrants), tels que mesurés par les indicateurs correspondants. Ils doivent être structurés de façon à permettre le suivi du ou des objectifs de l’action, des moyens envisagés ou employés et des détails du budget de l’action. Le niveau de détail de tout rapport doit correspondre tant à la description qu’au budget de l’action. Le coordinateur recueille toutes les informations nécessaires et établit des rapports intermédiaires et finaux consolidés. Ces rapports: </w:t>
      </w:r>
    </w:p>
    <w:p w14:paraId="24FA033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couvrent la totalité de l’action, indépendamment de la part de financement de l’administration contractante; </w:t>
      </w:r>
    </w:p>
    <w:p w14:paraId="265A606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comprennent une partie descriptive et une partie financière et sont rédigés conformément aux modèles joints à l’annexe VI; </w:t>
      </w:r>
    </w:p>
    <w:p w14:paraId="7431EA5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fournissent un compte rendu complet de tous les aspects de la mise en œuvre de l’action pendant la période sur laquelle ils portent, y compris, en cas d’application d’options de coûts simplifiés, les éléments qualitatifs et quantitatifs permettant de démontrer que les conditions de remboursement établies dans le contrat sont remplies; </w:t>
      </w:r>
    </w:p>
    <w:p w14:paraId="39F82D6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incluent les résultats actuels dans un tableau mis à jour fondé sur la matrice du cadre logique comprenant les résultats produits par l’action (incidences, résultats ou réalisations), tels que mesurés par leurs indicateurs correspondants, les niveaux de référence et les objectifs fixés, ainsi que les sources de vérification pertinentes;  </w:t>
      </w:r>
    </w:p>
    <w:p w14:paraId="00F19C0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 déterminent si la logique d’intervention est toujours valable et proposent toute modification utile, y compris de la matrice de cadre logique; </w:t>
      </w:r>
    </w:p>
    <w:p w14:paraId="4FFAD44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f) sont établis dans la devise et la langue du contrat; </w:t>
      </w:r>
    </w:p>
    <w:p w14:paraId="64AEF35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g) comprennent toute mise à jour du plan de communication comme prévu à l’article 6.2;  </w:t>
      </w:r>
    </w:p>
    <w:p w14:paraId="26BB7CA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h) comprennent tous rapports, publications, communiqués de presse et mises à jour utiles se rapportant à l’action. </w:t>
      </w:r>
    </w:p>
    <w:p w14:paraId="01AAA15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2.2. En outre, le rapport final: </w:t>
      </w:r>
    </w:p>
    <w:p w14:paraId="09FB30D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couvre toute période non couverte par les rapports précédents;  </w:t>
      </w:r>
    </w:p>
    <w:p w14:paraId="048D531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b) comprend les pièces justificatives des transferts de propriétés mentionnées à l’article 7.5. </w:t>
      </w:r>
    </w:p>
    <w:p w14:paraId="3CBA7A6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2.3. Les conditions particulières peuvent fixer d’autres obligations en matière de rapports. </w:t>
      </w:r>
    </w:p>
    <w:p w14:paraId="58F6D48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2.4. L’administration contractante peut à tout moment demander des informations complémentaires, qui seront fournies par le coordinateur dans un délai de trente jours à compter de la demande, dans la langue du contrat. </w:t>
      </w:r>
    </w:p>
    <w:p w14:paraId="104435C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2.5. Les rapports sont présentés avec les demandes de paiement, conformément aux dispositions de l’article 15. Si le coordinateur ne fournit pas de rapport ou ne fournit pas les informations complémentaires requises par l’administration contractante dans les délais prévus sans explication acceptable et écrite des raisons qui l’en ont empêché, l’administration contractante peut résilier le contrat conformément aux dispositions de l’article 12.2, points a) et f). </w:t>
      </w:r>
    </w:p>
    <w:p w14:paraId="23D0F5DB"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3 - RESPONSABILITÉ </w:t>
      </w:r>
    </w:p>
    <w:p w14:paraId="22749A1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3.1. L’administration contractante ne peut, en aucun cas ni à quelque titre que ce soit, être tenue pour responsable des dommages ou préjudices causés au personnel ou aux biens des bénéficiaires lors de la mise en œuvre ou à la suite de l’action. En conséquence, aucune demande d’indemnité ou d’augmentation des paiements ne sera admise pour ces motifs par l’administration contractante. </w:t>
      </w:r>
    </w:p>
    <w:p w14:paraId="6E49364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3.2. Les bénéficiaires sont seuls responsables à l’égard des tiers, y compris pour les dommages ou préjudices de toute nature qui leur seraient causés lors de la mise en œuvre ou à la suite de l’action. Les bénéficiaires dégagent l’administration contractante de toute responsabilité liée à une réclamation ou à des poursuites résultant d’une infraction à des règles ou réglementations commise par eux-mêmes, leurs employés ou les personnes dont ces derniers sont responsables, ou d’une violation des droits d’un tiers. Aux fins du présent article 3, les salariés des bénéficiaires sont considérés comme des tiers.  </w:t>
      </w:r>
    </w:p>
    <w:p w14:paraId="09B449A4"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4 - CONFLIT D’INTÉRÊTS ET CODE DE CONDUITE </w:t>
      </w:r>
    </w:p>
    <w:p w14:paraId="6479D83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4.1. Les bénéficiaires prennent toutes les mesures nécessaires pour prévenir ou mettre fin à toute situation susceptible de compromettre l’exécution impartiale et objective du contrat. Un conflit d’intérêts peut résulter notamment d’intérêts économiques, d’affinités politiques ou nationales, de liens familiaux ou sentimentaux, ou de tout autre type de relations ou d’intérêts communs. </w:t>
      </w:r>
    </w:p>
    <w:p w14:paraId="3167B1C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4.2. Tout conflit d’intérêts surgissant pendant l’exécution du contrat doit être signalé sans délai et par écrit à l’administration contractante. En cas de conflit de cette nature, le coordinateur prend immédiatement toutes les mesures nécessaires pour y mettre fin. </w:t>
      </w:r>
    </w:p>
    <w:p w14:paraId="721D1C2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4.3. L’administration contractante se réserve le droit de vérifier que lesdites mesures sont appropriées et d’exiger, le cas échéant, que des mesures complémentaires soient prises. </w:t>
      </w:r>
    </w:p>
    <w:p w14:paraId="61CDE8B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4.4. Les bénéficiaires s’assurent que les membres de leur personnel, y compris de la direction, ne se trouvent pas dans une situation pouvant donner lieu à un conflit d’intérêts. Sans préjudice de leurs obligations au titre du contrat, les bénéficiaires remplacent immédiatement </w:t>
      </w:r>
      <w:r w:rsidRPr="00DB0220">
        <w:rPr>
          <w:rFonts w:ascii="Times New Roman" w:hAnsi="Times New Roman"/>
          <w:sz w:val="24"/>
        </w:rPr>
        <w:lastRenderedPageBreak/>
        <w:t xml:space="preserve">et sans dédommagement de l’administration contractante tout membre de leur personnel exposé à une telle situation. </w:t>
      </w:r>
    </w:p>
    <w:p w14:paraId="3365D20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4.5. Les bénéficiaires doivent agir en toute occasion avec impartialité et comme des conseillers loyaux, conformément au code de conduite de leur profession et avec la discrétion appropriée. Ils s’abstiennent de faire des déclarations publiques concernant l’action ou les services sans l’approbation préalable de l’administration contractante. Ils n’engagent l’administration contractante d’aucune manière sans son consentement préalable par écrit et ils signalent cette obligation aux tiers. </w:t>
      </w:r>
    </w:p>
    <w:p w14:paraId="64383C8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4.6. Sont interdits les châtiments corporels ou violences physiques, les menaces de violences physiques, les abus ou l’exploitation sexuels, le harcèlement et les violences verbales, ainsi que toutes les autres formes d’intimidation. Les bénéficiaires informent également l’administration contractante de toute violation des normes éthiques ou du code de conduite établi dans le présent article. Dans le cas où les bénéficiaires auraient connaissance d’une violation des normes susmentionnées, ils en avertissent par écrit l’administration contractante dans un délai de 30 jours. </w:t>
      </w:r>
    </w:p>
    <w:p w14:paraId="5C77C26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4.7. Les bénéficiaires et leur personnel doivent respecter les droits de l’homme, la législation environnementale du ou des pays dans lesquels l’action a lieu et les normes fondamentales en matière de travail arrêtées au niveau international, notamment les normes fondamentales du travail de l’OIT, les conventions sur la liberté syndicale et la négociation collective, sur l’élimination du travail forcé et obligatoire, sur l’élimination des discriminations en matière d’emploi et de travail et sur l’abolition du travail des enfants. </w:t>
      </w:r>
    </w:p>
    <w:p w14:paraId="796A4A8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4.8. Les bénéficiaires ou toute personne apparentée ne doivent pas abuser d’un pouvoir reçu en délégation à des fins privées. Les bénéficiaires ainsi que leurs sous-traitants, mandataires ou membres du personnel ne peuvent ni recevoir ou accepter de recevoir de quiconque ni offrir ou proposer de donner ou de procurer à quiconque un présent, une gratification, une commission ou une rétribution à titre d’incitation ou de récompense pour accomplir ou s’abstenir d’accomplir des actes ayant trait à l’exécution du contrat ou pour favoriser ou défavoriser quiconque en lien avec le contrat. Les bénéficiaires doivent respecter l’ensemble des lois, réglementations et codes applicables en matière de lutte contre la corruption. </w:t>
      </w:r>
    </w:p>
    <w:p w14:paraId="7DB9033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4.9. Les paiements aux bénéficiaires en vertu du contrat constituent le seul revenu ou avantage dont ils peuvent bénéficier en lien avec le contrat, à l’exception des activités générant des recettes. Les bénéficiaires et leur personnel doivent s’abstenir d’exercer toute activité ou de recevoir tout avantage qui soit en conflit avec les obligations qui leur incombent en vertu du contrat. </w:t>
      </w:r>
    </w:p>
    <w:p w14:paraId="3DBD326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4.10. L’exécution du marché ne doit pas donner lieu au versement de frais commerciaux extraordinaires. Les frais commerciaux extraordinaires concernent toute commission non mentionnée au marché principal ou qui ne résulte pas d’un contrat en bonne et due forme faisant référence à ce marché, toute commission qui ne rétribue aucun service légitime effectif, toute commission versée dans un paradis fiscal, toute commission versée à un bénéficiaire non clairement identifié ou à une société qui a toutes les apparences d’une société de façade. L’administration contractante et la Commission européenne peuvent procéder à </w:t>
      </w:r>
      <w:r w:rsidRPr="00DB0220">
        <w:rPr>
          <w:rFonts w:ascii="Times New Roman" w:hAnsi="Times New Roman"/>
          <w:sz w:val="24"/>
        </w:rPr>
        <w:lastRenderedPageBreak/>
        <w:t xml:space="preserve">tout contrôle, sur pièces ou sur place, qu’elles estiment nécessaire pour réunir des éléments de preuve sur une présomption de frais commerciaux extraordinaires. </w:t>
      </w:r>
    </w:p>
    <w:p w14:paraId="1E43F9D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4.11. Le respect du code de conduite établi dans le présent article constitue une obligation contractuelle. Tout manquement au code de conduite est réputé constituer un manquement au contrat au sens de l’article 12 des conditions générales. En outre, le non-respect d’une disposition établie dans le présent article peut être qualifié de faute professionnelle grave susceptible d’entraîner la suspension ou la résiliation du contrat, sans préjudice de l’application de sanctions administratives, y compris l’exclusion de la participation à de futures procédures d’octroi de subvention. </w:t>
      </w:r>
    </w:p>
    <w:p w14:paraId="30D41461"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5 - CONFIDENTIALITÉ </w:t>
      </w:r>
    </w:p>
    <w:p w14:paraId="531EA95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5.1. Sous réserve de l’article 16, l’administration contractante et les bénéficiaires s’engagent à préserver la confidentialité de toute information, sous quelque forme que ce soit, divulguée par écrit ou oralement, qui est liée à l’exécution du contrat et désignée par écrit comme étant confidentielle, au moins jusqu’à la fin d’une période de 5 ans à compter du paiement du solde.  </w:t>
      </w:r>
    </w:p>
    <w:p w14:paraId="5A52B80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5.2. Les bénéficiaires sont tenus de ne pas utiliser d’informations confidentielles à des fins autres que le respect des obligations qui leur incombent en vertu du contrat, sauf accord contraire avec l’administration contractante. </w:t>
      </w:r>
    </w:p>
    <w:p w14:paraId="326BE84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5.3. Lorsque la Commission européenne n’est pas l’administration contractante, elle a néanmoins accès à tous les documents communiqués à celle-ci, dont elle assure la même confidentialité. </w:t>
      </w:r>
    </w:p>
    <w:p w14:paraId="70BB8512"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6 - VISIBILITÉ </w:t>
      </w:r>
    </w:p>
    <w:p w14:paraId="64ECFF1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6.1. Sauf demande ou accord contraire de la Commission européenne, les bénéficiaires prennent toutes les mesures nécessaires pour assurer la visibilité du financement ou cofinancement de l’Union européenne. Ces mesures doivent être conformes aux exigences de communication et de visibilité applicables aux actions extérieures de l’UE, établies et publiées par la Commission européenne, qui peuvent être consultées à l’adresse suivante: https://ec.europa.eu/europeaid/funding/communication-and-visibility-manual-eu-externalactions_en   </w:t>
      </w:r>
    </w:p>
    <w:p w14:paraId="730329C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ou avec toute autre ligne directrice qui a fait l’objet d’un accord entre la Commission européenne et les bénéficiaires.  </w:t>
      </w:r>
    </w:p>
    <w:p w14:paraId="5B66FDB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6.2. Le coordinateur soumet à l’approbation de la Commission européenne un plan de communication et prépare un rapport sur sa mise en œuvre conformément à l’article 2. </w:t>
      </w:r>
    </w:p>
    <w:p w14:paraId="191FBBA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6.3. En particulier, les bénéficiaires mentionnent l’action et la contribution financière de l’Union européenne dans les informations fournies au bénéficiaire final de l’action, dans ses rapports internes et annuels, et lors des contacts éventuels avec les médias. Ils apposent le logo de l’Union européenne lorsque cela est approprié. </w:t>
      </w:r>
    </w:p>
    <w:p w14:paraId="716DF62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6.4. Toute communication ou publication des bénéficiaires concernant l’action, y compris lors d’une conférence ou d’un séminaire, doit mentionner qu’elle concerne une action faisant l’objet d’un soutien financier de la part de l’Union européenne. Toute publication des </w:t>
      </w:r>
      <w:r w:rsidRPr="00DB0220">
        <w:rPr>
          <w:rFonts w:ascii="Times New Roman" w:hAnsi="Times New Roman"/>
          <w:sz w:val="24"/>
        </w:rPr>
        <w:lastRenderedPageBreak/>
        <w:t xml:space="preserve">bénéficiaires, sous quelque forme et par quelque moyen que ce soit, y compris par l’internet, doit comporter la mention suivante: «Le présent document a été réalisé avec le soutien financier de l’Union européenne. Le contenu de ce document relève de la seule responsabilité de &lt;nom des bénéficiaires&gt; et ne peut aucunement être considéré comme reflétant le point de vue de l’Union européenne». </w:t>
      </w:r>
    </w:p>
    <w:p w14:paraId="2288971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6.5. Les bénéficiaires autorisent l’administration contractante et la Commission européenne (lorsqu’elle n’est pas l’administration contractante) à publier leur nom et adresse, leur nationalité, l’objet de la subvention, la durée du projet et le lieu de mise en œuvre ainsi que le montant maximal de la subvention et le taux de financement des coûts de l’action tels que stipulés à l’article 3 des conditions particulières. Il peut être dérogé à la publication de ces informations si cette démarche risque d’attenter à la sécurité des bénéficiaires ou de porter préjudice à leurs intérêts. </w:t>
      </w:r>
    </w:p>
    <w:p w14:paraId="6D187F34"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7 - PROPRIÉTÉ ET UTILISATION DES RÉSULTATS DE L’ACTION ET DES ACTIFS </w:t>
      </w:r>
    </w:p>
    <w:p w14:paraId="5FD4DCC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7.1. Sauf dispositions contraires des conditions particulières, la propriété, les titres et les droits de propriété industrielle et intellectuelle des résultats de l’action et des rapports et autres documents concernant celle-ci sont dévolus aux bénéficiaires. </w:t>
      </w:r>
    </w:p>
    <w:p w14:paraId="0426DE4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7.2. Sans préjudice des dispositions de l’article 7.1, les bénéficiaires octroient à l’administration contractante (et à la Commission européenne lorsqu’elle n’est pas l’administration contractante) le droit d’utiliser librement et comme ils le jugent bon, et notamment de conserver, modifier, traduire, présenter, reproduire, par tout procédé technique, de publier ou communiquer par tout moyen et quelle que soit leur forme, tous les documents issus de l’action, dans le respect des droits de propriété industrielle et intellectuelle préexistants. </w:t>
      </w:r>
    </w:p>
    <w:p w14:paraId="6229A8F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7.3. Les bénéficiaires garantissent qu’ils disposent de tous les droits d’exploiter les droits de propriété intellectuelle préexistants nécessaires à l’exécution du contrat. </w:t>
      </w:r>
    </w:p>
    <w:p w14:paraId="7344433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7.4. Si des personnes physiques reconnaissables sont représentées sur une photographie ou dans un film, le coordinateur présente, dans son rapport final à l’administration contractante, une déclaration de ces personnes autorisant l’exploitation prévue de leur image. Ceci ne s’applique pas aux photographies prises et aux films tournés dans des lieux publics où les personnes présentes ne sont que difficilement identifiables, ni aux personnalités publiques agissant dans le cadre de leurs activités publiques. </w:t>
      </w:r>
    </w:p>
    <w:p w14:paraId="1CD4020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7.5. Sauf indication contraire dans la description de l’action à l’annexe A1, les équipements, véhicules et matériels financés par le budget de l’action sont, au plus tard lors de la soumission du rapport final, transférés aux bénéficiaires finaux de l’action. </w:t>
      </w:r>
    </w:p>
    <w:p w14:paraId="0C5FA1D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À défaut de bénéficiaires finaux de l’action à qui transférer ces biens, les bénéficiaires peuvent les transférer: </w:t>
      </w:r>
    </w:p>
    <w:p w14:paraId="4BD064E9" w14:textId="77777777" w:rsidR="00832F98" w:rsidRPr="00DB0220" w:rsidRDefault="00832F98" w:rsidP="0019382C">
      <w:pPr>
        <w:pStyle w:val="ListParagraph"/>
        <w:numPr>
          <w:ilvl w:val="0"/>
          <w:numId w:val="123"/>
        </w:numPr>
        <w:jc w:val="both"/>
        <w:rPr>
          <w:rFonts w:ascii="Times New Roman" w:hAnsi="Times New Roman"/>
          <w:bCs/>
          <w:sz w:val="24"/>
          <w:szCs w:val="24"/>
        </w:rPr>
      </w:pPr>
      <w:r w:rsidRPr="00DB0220">
        <w:rPr>
          <w:rFonts w:ascii="Times New Roman" w:hAnsi="Times New Roman"/>
          <w:sz w:val="24"/>
        </w:rPr>
        <w:t>aux autorités locales;</w:t>
      </w:r>
    </w:p>
    <w:p w14:paraId="14BC1424" w14:textId="77777777" w:rsidR="00832F98" w:rsidRPr="00DB0220" w:rsidRDefault="00832F98" w:rsidP="0019382C">
      <w:pPr>
        <w:pStyle w:val="ListParagraph"/>
        <w:numPr>
          <w:ilvl w:val="0"/>
          <w:numId w:val="123"/>
        </w:numPr>
        <w:jc w:val="both"/>
        <w:rPr>
          <w:rFonts w:ascii="Times New Roman" w:hAnsi="Times New Roman"/>
          <w:bCs/>
          <w:sz w:val="24"/>
          <w:szCs w:val="24"/>
        </w:rPr>
      </w:pPr>
      <w:r w:rsidRPr="00DB0220">
        <w:rPr>
          <w:rFonts w:ascii="Times New Roman" w:hAnsi="Times New Roman"/>
          <w:sz w:val="24"/>
        </w:rPr>
        <w:t>aux bénéficiaires locaux;</w:t>
      </w:r>
    </w:p>
    <w:p w14:paraId="0E5D6639" w14:textId="77777777" w:rsidR="00832F98" w:rsidRPr="00DB0220" w:rsidRDefault="00832F98" w:rsidP="0019382C">
      <w:pPr>
        <w:pStyle w:val="ListParagraph"/>
        <w:numPr>
          <w:ilvl w:val="0"/>
          <w:numId w:val="123"/>
        </w:numPr>
        <w:jc w:val="both"/>
        <w:rPr>
          <w:rFonts w:ascii="Times New Roman" w:hAnsi="Times New Roman"/>
          <w:bCs/>
          <w:sz w:val="24"/>
          <w:szCs w:val="24"/>
        </w:rPr>
      </w:pPr>
      <w:r w:rsidRPr="00DB0220">
        <w:rPr>
          <w:rFonts w:ascii="Times New Roman" w:hAnsi="Times New Roman"/>
          <w:sz w:val="24"/>
        </w:rPr>
        <w:t xml:space="preserve">aux entités affiliées locales; </w:t>
      </w:r>
    </w:p>
    <w:p w14:paraId="30275493" w14:textId="77777777" w:rsidR="00832F98" w:rsidRPr="00DB0220" w:rsidRDefault="00832F98" w:rsidP="0019382C">
      <w:pPr>
        <w:pStyle w:val="ListParagraph"/>
        <w:numPr>
          <w:ilvl w:val="0"/>
          <w:numId w:val="123"/>
        </w:numPr>
        <w:jc w:val="both"/>
        <w:rPr>
          <w:rFonts w:ascii="Times New Roman" w:hAnsi="Times New Roman"/>
          <w:bCs/>
          <w:sz w:val="24"/>
          <w:szCs w:val="24"/>
        </w:rPr>
      </w:pPr>
      <w:r w:rsidRPr="00DB0220">
        <w:rPr>
          <w:rFonts w:ascii="Times New Roman" w:hAnsi="Times New Roman"/>
          <w:sz w:val="24"/>
        </w:rPr>
        <w:lastRenderedPageBreak/>
        <w:t xml:space="preserve">à une autre action financée par l’Union européenne;  </w:t>
      </w:r>
    </w:p>
    <w:p w14:paraId="6FE46A42" w14:textId="77777777" w:rsidR="00832F98" w:rsidRPr="00DB0220" w:rsidRDefault="00832F98" w:rsidP="0019382C">
      <w:pPr>
        <w:pStyle w:val="ListParagraph"/>
        <w:numPr>
          <w:ilvl w:val="0"/>
          <w:numId w:val="123"/>
        </w:numPr>
        <w:jc w:val="both"/>
        <w:rPr>
          <w:rFonts w:ascii="Times New Roman" w:hAnsi="Times New Roman"/>
          <w:bCs/>
          <w:sz w:val="24"/>
          <w:szCs w:val="24"/>
        </w:rPr>
      </w:pPr>
      <w:r w:rsidRPr="00DB0220">
        <w:rPr>
          <w:rFonts w:ascii="Times New Roman" w:hAnsi="Times New Roman"/>
          <w:sz w:val="24"/>
        </w:rPr>
        <w:t xml:space="preserve">ou, exceptionnellement, conserver la propriété de ces biens. </w:t>
      </w:r>
    </w:p>
    <w:p w14:paraId="28CD648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Dans ces cas, le coordinateur doit adresser une demande écrite et motivée d’autorisation préalable à l’administration contractante accompagnée d’un inventaire des biens concernés et d’une proposition relative à leur utilisation, en temps utile et au plus tard lors de la soumission du rapport final. </w:t>
      </w:r>
    </w:p>
    <w:p w14:paraId="6A96874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En aucun cas l’utilisation finale de ces biens ne doit mettre en péril la durabilité de l’action ni résulter en un profit pour les bénéficiaires.  </w:t>
      </w:r>
    </w:p>
    <w:p w14:paraId="2BD18345" w14:textId="77777777" w:rsidR="00832F98" w:rsidRPr="0019382C" w:rsidRDefault="00832F98" w:rsidP="0019382C">
      <w:pPr>
        <w:jc w:val="both"/>
        <w:rPr>
          <w:rFonts w:ascii="Times New Roman" w:hAnsi="Times New Roman" w:cs="Times New Roman"/>
          <w:b/>
          <w:bCs/>
          <w:sz w:val="24"/>
          <w:szCs w:val="24"/>
        </w:rPr>
      </w:pPr>
      <w:r w:rsidRPr="00DB0220">
        <w:rPr>
          <w:rFonts w:ascii="Times New Roman" w:hAnsi="Times New Roman"/>
          <w:sz w:val="24"/>
        </w:rPr>
        <w:t>7.6 Les copies des preuves de transfert des équipements et véhicules d’une valeur unitaire à l’achat supérieure à 5 000 EUR sont jointes au rapport final. Les bénéficiaires conservent les preuves de transfert des équipements et véhicules d’une valeur unitaire à l’achat inférieure à 5 000 EUR à des fins de contrôle</w:t>
      </w:r>
      <w:r>
        <w:rPr>
          <w:rFonts w:ascii="Times New Roman" w:hAnsi="Times New Roman"/>
          <w:b/>
          <w:sz w:val="24"/>
        </w:rPr>
        <w:t xml:space="preserve">.  </w:t>
      </w:r>
    </w:p>
    <w:p w14:paraId="1FA5AFEE"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8 – ÉVALUATION ET SUIVI DE L’ACTION </w:t>
      </w:r>
    </w:p>
    <w:p w14:paraId="325B0A5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8.1. L’annexe I décrit en détail les modalités de suivi et d’évaluation qui seront mises en place par les bénéficiaires. </w:t>
      </w:r>
    </w:p>
    <w:p w14:paraId="69A86D0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8.2. Lorsqu’une évaluation intermédiaire ou ex post ou un exercice de suivi est entrepris par la Commission européenne, le coordinateur s’engage à mettre à la disposition de la Commission européenne et/ou des personnes mandatées par elle les documents ou informations nécessaires à l’évaluation ou à l’exercice de suivi.  </w:t>
      </w:r>
    </w:p>
    <w:p w14:paraId="7D6B223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Les représentants de la Commission européenne sont invités à participer aux principales activités de suivi et aux missions d’évaluation relatives à la mise en œuvre de l’action par les bénéficiaires. La Commission européenne est invitée à formuler des observations sur les termes de référence de la ou des évaluations avant le lancement de l’exercice, ainsi que sur le ou les projets de rapports avant leur finalisation. </w:t>
      </w:r>
    </w:p>
    <w:p w14:paraId="120DA50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8.3. Lorsque les bénéficiaires ou la Commission européenne réalisent ou font réaliser un exercice d’évaluation ou de suivi dans le cadre de l’action, ils communiquent à l’autre partie une copie du rapport qui s’y rapporte. Tous les rapports d’évaluation et de suivi, incluant les valeurs finales pour chacun des indicateurs du cadre logique, sont soumis à la Commission européenne avec le rapport narratif final (annexe VI). </w:t>
      </w:r>
    </w:p>
    <w:p w14:paraId="3080C4CD"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9 - MODIFICATION DU CONTRAT </w:t>
      </w:r>
    </w:p>
    <w:p w14:paraId="570ABC5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9.1. Toute modification du contrat, y compris de ses annexes, doit être consignée par écrit. Le contrat ne peut être modifié que pendant sa période d’exécution. </w:t>
      </w:r>
    </w:p>
    <w:p w14:paraId="51E86DE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9.2. La modification ne peut avoir pour objet ou pour effet d’apporter au contrat des changements susceptibles de remettre en cause la décision d’octroi de la subvention, ni d’enfreindre la règle de l’égalité de traitement entre les demandeurs. Le montant maximum de la subvention mentionné à l’article 3.2 des conditions particulières ne peut être augmenté. </w:t>
      </w:r>
    </w:p>
    <w:p w14:paraId="5CCE4E3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9.3. Lorsqu’une modification est demandée par les bénéficiaires, le coordinateur doit adresser une demande dûment justifiée à l’administration contractante 30 jours avant la date de prise </w:t>
      </w:r>
      <w:r w:rsidRPr="00DB0220">
        <w:rPr>
          <w:rFonts w:ascii="Times New Roman" w:hAnsi="Times New Roman"/>
          <w:sz w:val="24"/>
        </w:rPr>
        <w:lastRenderedPageBreak/>
        <w:t xml:space="preserve">d’effet envisagée, sauf dans des cas particuliers dûment justifiés et acceptés par l’administration contractante. </w:t>
      </w:r>
    </w:p>
    <w:p w14:paraId="719BF03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9.4. Lorsque la modification du budget et/ou de la description de l’action n’a pas d’effet sur l’objectif premier de l’action (c’est-à-dire l’objectif général et/ou l’objectif spécifique) et que l’incidence financière se limite à un transfert entre postes à l’intérieur d’une même rubrique principale du budget, notamment la suppression ou l’introduction d’un poste, ou à un transfert entre rubriques principales du budget entraînant une variation inférieure ou égale à 25 % du montant initial (éventuellement modifié par un avenant) de chaque rubrique principale concernée relative aux coûts éligibles, le coordinateur peut modifier le budget et/ou la description de l’action et en informe l’administration contractante par écrit, au plus tard dans le prochain rapport. Cette méthode ne peut pas être utilisée pour modifier les rubriques relatives aux coûts indirects, aux provisions pour imprévus, aux contributions en nature ou pour modifier les montants ou les taux des options de coûts simplifiés définies dans le contrat.  </w:t>
      </w:r>
    </w:p>
    <w:p w14:paraId="065A81F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Les modifications de la description de l’action et du cadre logique qui n’ont pas d’effet sur l’objectif premier de l’action (à savoir les produits, tous les indicateurs au niveau des produits, des effets et de l’impact et les cibles, les niveaux de référence et les sources de vérification y afférents) font l’objet d’un accord écrit avec l’administration contractante avant d’être effectuées. Les modifications approuvées doivent être expliquées dans le rapport suivant. </w:t>
      </w:r>
    </w:p>
    <w:p w14:paraId="59378AA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9.5. Les modifications portant sur l’adresse, le compte bancaire ou l’auditeur peuvent faire l’objet d’une simple notification par le coordinateur. L’administration contractante a cependant le droit, dans des cas dûment justifiés, de refuser le choix fait par le coordinateur. </w:t>
      </w:r>
    </w:p>
    <w:p w14:paraId="42CF514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9.6. L’administration contractante réserve le droit d’exiger le remplacement de l’auditeur visé à l’article 5.2 des conditions particulières si des éléments inconnus au moment de la signature du contrat font douter de son indépendance ou de son professionnalisme. </w:t>
      </w:r>
    </w:p>
    <w:p w14:paraId="266D1EFB"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10 - MISE EN ŒUVRE  </w:t>
      </w:r>
    </w:p>
    <w:p w14:paraId="434A3A08"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Contrats d’exécution </w:t>
      </w:r>
    </w:p>
    <w:p w14:paraId="11A11D4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10.1. Lorsque la mise en œuvre de l’action nécessite la passation de marchés de fournitures, de travaux ou de services par les bénéficiaires, les règles d’attribution des marchés ainsi que les règles de nationalité et d’origine énoncées dans l’annexe IV du présent contrat doivent être respectées.  </w:t>
      </w:r>
    </w:p>
    <w:p w14:paraId="6CEBD9A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10.2. Les bénéficiaires veillent autant que nécessaire à ce que les conditions qui leur sont applicables en vertu des articles 3, 4, 6 et 16 des présentes conditions générales soient également applicables aux contractants titulaires de marché de mise en œuvre. </w:t>
      </w:r>
    </w:p>
    <w:p w14:paraId="17CEC95A" w14:textId="3CC12394" w:rsidR="00832F98"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10.3. Dans son rapport à l’administration contractante, le coordinateur fournit un compte rendu complet et détaillé de l’attribution et de la mise en œuvre des contrats attribués en vertu de l’article 10.1, conformément aux prescriptions en matière de rapport figurant à l’annexe A6, section 2. </w:t>
      </w:r>
    </w:p>
    <w:p w14:paraId="587EA966" w14:textId="542039E3" w:rsidR="00B43DD5" w:rsidRDefault="00B43DD5" w:rsidP="0019382C">
      <w:pPr>
        <w:jc w:val="both"/>
        <w:rPr>
          <w:rFonts w:ascii="Times New Roman" w:hAnsi="Times New Roman" w:cs="Times New Roman"/>
          <w:bCs/>
          <w:sz w:val="24"/>
          <w:szCs w:val="24"/>
        </w:rPr>
      </w:pPr>
    </w:p>
    <w:p w14:paraId="7359946D" w14:textId="77777777" w:rsidR="00B43DD5" w:rsidRPr="00B43DD5" w:rsidRDefault="00B43DD5" w:rsidP="0019382C">
      <w:pPr>
        <w:jc w:val="both"/>
        <w:rPr>
          <w:rFonts w:ascii="Times New Roman" w:hAnsi="Times New Roman" w:cs="Times New Roman"/>
          <w:bCs/>
          <w:sz w:val="24"/>
          <w:szCs w:val="24"/>
        </w:rPr>
      </w:pPr>
    </w:p>
    <w:p w14:paraId="730F4E1F"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lastRenderedPageBreak/>
        <w:t xml:space="preserve">Sous-traitance </w:t>
      </w:r>
    </w:p>
    <w:p w14:paraId="2D34DF9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10.4. Les bénéficiaires peuvent sous-traiter des tâches qui font partie de l’action. Dans ce cas, ils doivent veiller à ce qu’outre les conditions fixées aux articles 10.1, 10.2 et 10.3, les conditions suivantes soient remplies: </w:t>
      </w:r>
    </w:p>
    <w:p w14:paraId="6072861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 la sous-traitance ne doit pas concerner des tâches essentielles de l’action; </w:t>
      </w:r>
    </w:p>
    <w:p w14:paraId="248ED8D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 le recours à la sous-traitance doit être justifié par la nature de l’action et ce qui est nécessaire à sa mise en œuvre; </w:t>
      </w:r>
    </w:p>
    <w:p w14:paraId="1721FB6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 les coûts estimés de la sous-traitance doivent être clairement identifiables dans le budget prévisionnel établi à l’annexe III; </w:t>
      </w:r>
    </w:p>
    <w:p w14:paraId="0DB5D6C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 [tout recours à la sous-traitance, s’il n’est pas prévu dans l’annexe I, doit être déclaré par le bénéficiaire et approuvé par l’administration contractante]. </w:t>
      </w:r>
    </w:p>
    <w:p w14:paraId="13FDC459"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Soutien financier à des tiers  </w:t>
      </w:r>
    </w:p>
    <w:p w14:paraId="0962505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10.5. Afin de soutenir la réalisation des objectifs de l’action, et notamment lorsque la mise en œuvre de celle-ci requiert d’accorder un soutien financier à des tiers, les bénéficiaires peuvent, si les conditions particulières le prévoient, apporter ce soutien.  </w:t>
      </w:r>
    </w:p>
    <w:p w14:paraId="1BAFFFE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10.6. Le montant maximum du soutien financier est de 60 000 EUR par tiers, sauf lorsque la réalisation des objectifs des actions serait, autrement, impossible ou exagérément difficile.  </w:t>
      </w:r>
    </w:p>
    <w:p w14:paraId="49FA126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10.7. La description de l’action, conformément aux instructions pertinentes données à cet égard par l’administration contractante, définit les types d’entités qui peuvent prétendre à un soutien financier et comprend une liste fixe reprenant les types d’activités qui peuvent bénéficier d’un soutien financier. Les critères de sélection des tiers bénéficiant de ce soutien financier, ainsi que les critères permettant d’en déterminer le montant exact, doivent également être spécifiés.  </w:t>
      </w:r>
    </w:p>
    <w:p w14:paraId="19A08AB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10.8. Dans son rapport à l’administration contractante, le coordinateur inclut un rapport complet et détaillé sur l’octroi et la mise en œuvre de tout soutien financier. Ces rapports doivent fournir, entre autres, des informations sur les procédures d’octroi, les identités du bénéficiaire de ce soutien financier, le montant octroyé, les résultats atteints, les problèmes rencontrés et les solutions trouvées, les activités effectuées ainsi qu’un calendrier des activités restant à exécuter. </w:t>
      </w:r>
    </w:p>
    <w:p w14:paraId="3EF6D9D6" w14:textId="77777777" w:rsidR="00832F98" w:rsidRPr="0019382C" w:rsidRDefault="00832F98" w:rsidP="0019382C">
      <w:pPr>
        <w:jc w:val="both"/>
        <w:rPr>
          <w:rFonts w:ascii="Times New Roman" w:hAnsi="Times New Roman" w:cs="Times New Roman"/>
          <w:b/>
          <w:bCs/>
          <w:sz w:val="24"/>
          <w:szCs w:val="24"/>
        </w:rPr>
      </w:pPr>
      <w:r w:rsidRPr="00DB0220">
        <w:rPr>
          <w:rFonts w:ascii="Times New Roman" w:hAnsi="Times New Roman"/>
          <w:sz w:val="24"/>
        </w:rPr>
        <w:t xml:space="preserve">10.9. Dans la mesure nécessaire, les bénéficiaires s’assurent que les conditions qui leur sont applicables en vertu des articles 3, 4.1 à 4.4, 6 et 16 des présentes conditions générales sont également applicables aux tiers bénéficiant du soutien financier. </w:t>
      </w:r>
    </w:p>
    <w:p w14:paraId="1F0FBF89" w14:textId="77777777" w:rsidR="00832F98"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11 – PROROGATION ET SUSPENSION </w:t>
      </w:r>
    </w:p>
    <w:p w14:paraId="3A33A79D"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Prolongation  </w:t>
      </w:r>
    </w:p>
    <w:p w14:paraId="6AB1F86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11.1. Le coordinateur informe sans délai l’administration contractante de toute circonstance susceptible d’entraver ou de retarder la mise en œuvre de l’action. Il peut demander, conformément à l’article 9, une prolongation de la période de mise en œuvre de l’action fixée </w:t>
      </w:r>
      <w:r w:rsidRPr="00DB0220">
        <w:rPr>
          <w:rFonts w:ascii="Times New Roman" w:hAnsi="Times New Roman"/>
          <w:sz w:val="24"/>
        </w:rPr>
        <w:lastRenderedPageBreak/>
        <w:t xml:space="preserve">à l’article 2 des conditions particulières, en accompagnant cette demande de toutes les pièces justificatives nécessaires à son examen. </w:t>
      </w:r>
    </w:p>
    <w:p w14:paraId="489303AC"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Suspension par le coordinateur  </w:t>
      </w:r>
    </w:p>
    <w:p w14:paraId="4B00B42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11.2. Le coordinateur peut suspendre la mise en œuvre de tout ou partie de l’action si des circonstances exceptionnelles, notamment de force majeure, rendent cette mise en œuvre excessivement difficile ou dangereuse. Le coordinateur en informe sans délai l’administration contractante en indiquant la nature, la durée probable et les effets prévisibles de la suspension. </w:t>
      </w:r>
    </w:p>
    <w:p w14:paraId="750D024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11.3. Le coordinateur ou l’administration contractante peuvent alors résilier le contrat conformément à l’article 12.1. En l’absence de résiliation, les bénéficiaires s’efforcent de limiter la période de suspension ainsi que tout dommage éventuel, ils reprennent la mise en œuvre dès que les conditions le permettent et en informent l’administration contractante.  </w:t>
      </w:r>
    </w:p>
    <w:p w14:paraId="0F1C64A3"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Suspension par l’administration contractante </w:t>
      </w:r>
    </w:p>
    <w:p w14:paraId="4F4D7FC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11.4. L’administration contractante peut demander aux bénéficiaires de suspendre la mise en œuvre de tout ou partie de l’action si des circonstances exceptionnelles, notamment de force majeure, rendent cette mise en œuvre excessivement difficile ou dangereuse. L’administration contractante en informe sans délai le coordinateur en indiquant la nature et la durée probable de la suspension. </w:t>
      </w:r>
    </w:p>
    <w:p w14:paraId="6B2BE8D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11.5. Le coordinateur ou l’administration contractante peuvent alors résilier le contrat conformément à l’article 12.1. En l’absence de résiliation, les bénéficiaires s’efforcent de limiter la période de suspension ainsi que tout dommage éventuel et reprennent la mise en œuvre dès que les conditions le permettent, après avoir obtenu l’accord de l’administration contractante.  </w:t>
      </w:r>
    </w:p>
    <w:p w14:paraId="0E9010A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11.6. L’administration contractante peut également suspendre le contrat ou la participation de tout bénéficiaire au contrat si elle dispose de preuves attestant de l’existence des circonstances énumérées ci-après ou si, pour des raisons objectives et dûment justifiées, elle juge nécessaire de vérifier si, comme semblent l’indiquer les éléments dont elle dispose, les circonstances suivantes sont avérées: </w:t>
      </w:r>
    </w:p>
    <w:p w14:paraId="47DC292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la procédure d’octroi de la subvention ou la mise en œuvre de l’action se révèle entachée de violation des obligations, d’irrégularités ou de fraude; </w:t>
      </w:r>
    </w:p>
    <w:p w14:paraId="64232CA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les bénéficiaires n’ont pas exécuté l’une des obligations substantielles qui leur incombent en vertu du présent contrat. </w:t>
      </w:r>
    </w:p>
    <w:p w14:paraId="347610E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11.7. Le coordinateur fournit tous les documents, éclaircissements ou informations requis dans un délai de 30 jours à compter de la réception de la demande envoyée par l’administration contractante. Si, en dépit des documents, éclaircissements ou informations fournis par le coordinateur, la procédure d’octroi ou la mise en œuvre de la subvention se révèle entachée de violation des obligations, d’irrégularités ou de fraude, l’administration contractante peut résilier le contrat conformément à l’article 12.2, point h). </w:t>
      </w:r>
    </w:p>
    <w:p w14:paraId="51239FF3" w14:textId="77777777" w:rsidR="00B43DD5" w:rsidRDefault="00B43DD5" w:rsidP="0019382C">
      <w:pPr>
        <w:jc w:val="both"/>
        <w:rPr>
          <w:rFonts w:ascii="Times New Roman" w:hAnsi="Times New Roman"/>
          <w:sz w:val="24"/>
        </w:rPr>
      </w:pPr>
    </w:p>
    <w:p w14:paraId="3073A498" w14:textId="267AD3FF"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lastRenderedPageBreak/>
        <w:t xml:space="preserve">Cas de force majeure </w:t>
      </w:r>
    </w:p>
    <w:p w14:paraId="5F7E2EE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11.8. Aux fins du contrat, on entend par «force majeure» tout événement imprévisible, indépendant de la volonté des parties ou qu’elles ne peuvent surmonter en dépit de leur diligence, tel que les catastrophes naturelles, les grèves, les lock-out ou autres conflits du travail, les actes de l’ennemi public, les guerres déclarées ou non, les blocus, les insurrections, les émeutes, les épidémies, les glissements de terrains, les tremblements de terre, les tempêtes, la foudre, les inondations, les affouillements, les troubles civils, les explosions. Une décision de l’Union européenne de suspendre la coopération avec le pays partenaire est considérée comme un cas de force majeure lorsque cela implique la suspension du financement au titre du présent contrat. </w:t>
      </w:r>
    </w:p>
    <w:p w14:paraId="06DA9CB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11.9. Les bénéficiaires ne sont pas considérés comme ayant manqué à leurs obligations contractuelles s’ils sont empêchés de les exécuter par un cas de force majeure.  </w:t>
      </w:r>
    </w:p>
    <w:p w14:paraId="0BBB5D9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Prorogation de la période de mise en œuvre après une suspension </w:t>
      </w:r>
    </w:p>
    <w:p w14:paraId="2E034C4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11.10. En cas de suspension conformément aux dispositions des articles 11.2, 11.4 et 11.6, la période de mise en œuvre de l’action est prorogée d’une durée équivalente à la période de suspension, sans préjudice de toute modification du contrat qui pourrait être nécessaire pour adapter l’action aux nouvelles conditions de mise en œuvre. Le présent article 11.10 ne s’applique pas dans le cas d’une subvention de fonctionnement.  </w:t>
      </w:r>
    </w:p>
    <w:p w14:paraId="4F91ACB0" w14:textId="77777777" w:rsidR="00832F98" w:rsidRPr="00DB0220" w:rsidRDefault="00832F98" w:rsidP="0019382C">
      <w:pPr>
        <w:jc w:val="both"/>
        <w:rPr>
          <w:rFonts w:ascii="Times New Roman" w:hAnsi="Times New Roman" w:cs="Times New Roman"/>
          <w:bCs/>
          <w:sz w:val="24"/>
          <w:szCs w:val="24"/>
        </w:rPr>
      </w:pPr>
    </w:p>
    <w:p w14:paraId="229AA991"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12 - RÉSILIATION DU CONTRAT </w:t>
      </w:r>
    </w:p>
    <w:p w14:paraId="2267DA0C"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Résiliation en cas de force majeure </w:t>
      </w:r>
    </w:p>
    <w:p w14:paraId="0524C4F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12.1. Dans les cas prévus aux articles 11.2 et 11.4, si le coordinateur ou l’administration contractante estime que le contrat ne peut plus être mis en œuvre de façon effective ou appropriée, il consulte l’autre partie. À défaut d’accord sur une solution, le coordinateur ou l’administration contractante peut résilier le contrat moyennant un préavis écrit de deux mois et sans être tenu à une quelconque indemnité à ce titre. </w:t>
      </w:r>
    </w:p>
    <w:p w14:paraId="6EA42F6F"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Résiliation par l’administration contractante </w:t>
      </w:r>
    </w:p>
    <w:p w14:paraId="2BBCA60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12.2. Sans préjudice des dispositions de l’article 12.1, l’administration contractante peut, après avoir dûment consulté le coordinateur, mettre un terme au contrat ou à la participation de tout bénéficiaire prenant part à l’action, sans indemnité quelconque de sa part, dans les circonstances suivantes: </w:t>
      </w:r>
    </w:p>
    <w:p w14:paraId="7F39C87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lorsqu’un ou plusieurs bénéficiaires, sans justification, n’exécutent pas l’une des obligations substantielles qui leur incombent, individuellement ou collectivement conformément au contrat et que, mis en demeure par lettre de respecter leurs obligations, ils ne se sont toujours pas acquittés de celles-ci ou n’ont pas fourni d’explication valable à l’expiration d’un délai de trente jours à compter de la réception de cette lettre; </w:t>
      </w:r>
    </w:p>
    <w:p w14:paraId="66CD1F8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lorsqu’un ou plusieurs bénéficiaires ou toute personne qui répond indéfiniment des dettes des bénéficiaires sont déclarés en état de faillite, font l’objet d’une procédure d’insolvabilité </w:t>
      </w:r>
      <w:r w:rsidRPr="00DB0220">
        <w:rPr>
          <w:rFonts w:ascii="Times New Roman" w:hAnsi="Times New Roman"/>
          <w:sz w:val="24"/>
        </w:rPr>
        <w:lastRenderedPageBreak/>
        <w:t xml:space="preserve">ou de liquidation, que leurs biens sont administrés par un liquidateur ou sont placés sous administration judiciaire, ont conclu un concordat préventif, se trouvent en état de cessation d’activité ou dans toute situation analogue résultant d’une procédure de même nature prévue par toute législation ou réglementation applicable aux bénéficiaires; </w:t>
      </w:r>
    </w:p>
    <w:p w14:paraId="663E656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lorsqu’un ou plusieurs bénéficiaires, ou toute entité ou personne apparentée, ont été reconnus coupables d’une faute professionnelle grave constatée par tout moyen que l’administration contractante peut justifier; </w:t>
      </w:r>
    </w:p>
    <w:p w14:paraId="02C56D4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lorsqu’il a été établi, par un jugement définitif ou une décision administrative définitive ou sur la base de preuves en la possession de l’administration contractante que les bénéficiaires se sont rendus coupables de fraude, de corruption, de participation à une organisation criminelle, de blanchiment d’argent ou de financement du terrorisme, d’infractions liées au terrorisme, au travail des enfants ou à d’autres formes de traite d’êtres humains, ou se sont soustraits à des obligations fiscales, sociales ou à toute autre obligation légale en vigueur, y compris en créant une entité à cette fin; </w:t>
      </w:r>
    </w:p>
    <w:p w14:paraId="6AFDE12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 lorsqu’un changement juridique, financier, technique, d’organisation ou de contrôle ou la terminaison de la participation d’un ou plusieurs bénéficiaires affecte de manière substantielle la mise en œuvre du contrat ou remet en cause la décision d’octroi de la subvention; </w:t>
      </w:r>
    </w:p>
    <w:p w14:paraId="28B2B2D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f) lorsqu’un ou plusieurs bénéficiaires ou toute personne apparentée se sont rendus coupables de fausses déclarations en fournissant les renseignements exigés par l’administration contractante pour la participation au marché ou pour la mise en œuvre de l’action, ou n’ont pas fourni ces renseignements, ou ne les ont pas fournis dans les délais fixés dans le contrat;  </w:t>
      </w:r>
    </w:p>
    <w:p w14:paraId="6A84AD3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g) lorsqu’un ou plusieurs bénéficiaires n’ont pas rempli leurs obligations relatives au paiement des cotisations de sécurité sociale ou leurs obligations relatives au paiement des impôts selon les dispositions légales du pays où ils sont établis; </w:t>
      </w:r>
    </w:p>
    <w:p w14:paraId="7EF5E42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lorsque l’administration contractante détient la preuve qu’un ou plusieurs bénéficiaires ou toute entité ou personne apparentée ont manqué aux obligations qui leur incombent ou commis des irrégularités ou une fraude dans la procédure d’octroi ou la mise en œuvre de l’action; </w:t>
      </w:r>
    </w:p>
    <w:p w14:paraId="3A3EAFD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i) lorsqu’un ou plusieurs bénéficiaires font l’objet d’une sanction administrative visée à l’article 12.8; </w:t>
      </w:r>
    </w:p>
    <w:p w14:paraId="11EBC45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j) lorsque l’administration contractante détient la preuve qu’un ou plusieurs bénéficiaires se trouvent en situation de conflit d’intérêts; </w:t>
      </w:r>
    </w:p>
    <w:p w14:paraId="1CD6ED4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k) lorsque la Commission européenne détient la preuve qu’un ou plusieurs bénéficiaires ont commis des erreurs systémiques ou récurrentes, ou des irrégularités, des fraudes ou ont été déclarés en défaut grave d’exécution de leurs obligations dans le cadre d’autres subventions financées par l’Union européenne et octroyées auxdits bénéficiaires dans des conditions similaires, pour autant que ces erreurs, irrégularités, fraudes ou défauts graves d’exécution des obligations aient une incidence matérielle sur la présente subvention. </w:t>
      </w:r>
    </w:p>
    <w:p w14:paraId="7C5AA4A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Les cas de résiliation au titre des points b), c), d), h), j) et k) peuvent également se référer aux personnes qui sont membres de l’organe d’administration, de gestion ou de contrôle du bénéficiaire, et/ou aux personnes ayant le pouvoir de représentation, de décision ou de contrôle sur le bénéficiaire. </w:t>
      </w:r>
    </w:p>
    <w:p w14:paraId="3C6C446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12.3. Dans les cas visés aux points c), f), h) et k) ci-dessus, on entend par personne apparentée toute personne physique ayant un pouvoir de représentation, de décision ou de contrôle vis-à-vis du bénéficiaire. On entend par entité apparentée, en particulier, toute entité qui remplit les critères énoncés à l’article 1</w:t>
      </w:r>
      <w:r w:rsidRPr="00DB0220">
        <w:rPr>
          <w:rFonts w:ascii="Times New Roman" w:hAnsi="Times New Roman"/>
          <w:sz w:val="24"/>
          <w:vertAlign w:val="superscript"/>
        </w:rPr>
        <w:t>er</w:t>
      </w:r>
      <w:r w:rsidRPr="00DB0220">
        <w:rPr>
          <w:rFonts w:ascii="Times New Roman" w:hAnsi="Times New Roman"/>
          <w:sz w:val="24"/>
        </w:rPr>
        <w:t xml:space="preserve"> de la septième directive 83/349/CEE du Conseil du 13 juin 1983. </w:t>
      </w:r>
    </w:p>
    <w:p w14:paraId="208A2A2C"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Résiliation par le coordinateur de la participation d’un bénéficiaire </w:t>
      </w:r>
    </w:p>
    <w:p w14:paraId="6F80974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12.4. Dans des cas dûment justifiés, le coordinateur peut également mettre un terme à la participation d’un bénéficiaire au contrat. À cet effet, le coordinateur communique à l’administration contractante les motifs justifiant la résiliation de la participation ainsi que la date à laquelle cette résiliation prendra effet, ainsi qu’une proposition de réaffectation des tâches du bénéficiaire dont la participation doit cesser ou relative à son remplacement éventuel. Cette proposition doit être envoyée suffisamment à l’avance avant la prise d’effet prévue de la résiliation. En cas d’accord de l’administration contractante, le contrat est modifié en conséquence, conformément à l’article 9. </w:t>
      </w:r>
    </w:p>
    <w:p w14:paraId="33384899"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Date de fin </w:t>
      </w:r>
    </w:p>
    <w:p w14:paraId="1145EC4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12.5. Les obligations de paiement de l’Union européenne au titre du contrat prennent fin dix-huit mois après la fin de la période de mise en œuvre de l’action telle que définie à l’article 2 des conditions particulières, sauf en cas de résiliation du contrat conformément à l’article 12.  </w:t>
      </w:r>
    </w:p>
    <w:p w14:paraId="4286195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L’administration contractante reporte cette date de fin, afin de pouvoir remplir ses obligations de paiement, dans tous les cas où le coordinateur a présenté une demande de paiement conformément à des dispositions contractuelles ou, en cas de différend, jusqu’à l’achèvement de la procédure de règlement des différends prévue à l’article 13. L’administration contractante notifie au coordinateur tout report de la date d’achèvement. </w:t>
      </w:r>
    </w:p>
    <w:p w14:paraId="2D86E54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12.6. Le contrat est automatiquement résilié s’il n’a donné lieu à aucun paiement par l’administration contractante dans les deux ans suivant sa signature. </w:t>
      </w:r>
    </w:p>
    <w:p w14:paraId="2B162032"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Effets de la résiliation </w:t>
      </w:r>
    </w:p>
    <w:p w14:paraId="0ADDE46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12.7. À la résiliation du contrat, le coordinateur prend toutes les mesures immédiates pour mettre un terme à l’action de manière rapide et ordonnée et pour réduire au minimum les autres dépenses. </w:t>
      </w:r>
    </w:p>
    <w:p w14:paraId="7D8EF1E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Sans préjudice de l’article 14, les bénéficiaires ne peuvent prétendre qu’au paiement correspondant à la partie de l’action qui a été exécutée, à l’exclusion des coûts liés aux engagements en cours mais destinés à être exécutés après la résiliation. </w:t>
      </w:r>
    </w:p>
    <w:p w14:paraId="6FE3A34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À cet effet, le coordinateur introduit une demande de paiement auprès de l’administration contractante dans le délai fixé à l’article 15.2, à compter de la date de résiliation.  </w:t>
      </w:r>
    </w:p>
    <w:p w14:paraId="0AFCC69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En cas de résiliation conformément à l’article 12.1, l’administration contractante peut convenir de rembourser les dépenses résiduelles inévitables encourues pendant la période de préavis, à condition que le premier alinéa du présent article 12.7 ait été dûment exécuté. </w:t>
      </w:r>
    </w:p>
    <w:p w14:paraId="1E5AA3C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Dans les cas de résiliation prévus à l’article 12.2, points a), c), d), f), h) et k), l’administration contractante peut, après consultation du coordinateur en bonne et due forme et en fonction de la gravité des manquements, exiger le remboursement partiel ou total des sommes indûment versées au titre de l’action.  </w:t>
      </w:r>
    </w:p>
    <w:p w14:paraId="164A1A35"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Sanctions administratives </w:t>
      </w:r>
    </w:p>
    <w:p w14:paraId="33DC21F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12.8 Sans préjudice de l’application d’autres sanctions contractuelles, une sanction d’exclusion de tous les contrats et subventions financés par l’UE peut être imposée, après une procédure contradictoire conformément au règlement financier applicable, à l’encontre des bénéficiaires qui, en particulier,  </w:t>
      </w:r>
    </w:p>
    <w:p w14:paraId="1F10023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en matière professionnelle, ont commis une faute grave, des irrégularités ou ont gravement manqué aux obligations essentielles dans l’exécution de la convention ou se sont soustraits à des obligations fiscales ou sociales ou à toute autre obligation légale applicable, y compris en créant une entité à cette fin. La durée de l’exclusion ne dépassera pas celle prévue par le jugement définitif ou la décision administrative définitive, ou, à défaut, une période de trois ans; </w:t>
      </w:r>
    </w:p>
    <w:p w14:paraId="4431804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sont coupables de fraude, corruption, participation à une organisation criminelle, blanchiment d’argent, infractions liées au terrorisme, travail des enfants ou traite des êtres humains. La durée de l’exclusion n’excède pas la durée fixée par jugement définitif ou décision administrative définitive ou, à défaut, cinq ans. </w:t>
      </w:r>
    </w:p>
    <w:p w14:paraId="3A13C3A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12.9 Dans les situations mentionnées au point 12.8, en plus ou en lieu et place de la sanction d’exclusion, les bénéficiaires peuvent également être frappés de sanctions financières représentant jusqu’à 10 % du montant de la subvention. </w:t>
      </w:r>
    </w:p>
    <w:p w14:paraId="23464BB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12.10 Lorsque l’administration contractante est en droit d’imposer des sanctions financières, elle peut les déduire de toutes sommes dues au bénéficiaire ou appeler la garantie appropriée.  </w:t>
      </w:r>
    </w:p>
    <w:p w14:paraId="5AD3881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12.11 La décision d’imposer des sanctions administratives peut être publiée sur un site internet spécifique, en indiquant explicitement le nom du ou des bénéficiaires. </w:t>
      </w:r>
    </w:p>
    <w:p w14:paraId="0018C7AE"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13 - DROIT APPLICABLE ET RÈGLEMENT DES DIFFÉRENDS  </w:t>
      </w:r>
    </w:p>
    <w:p w14:paraId="51B1123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13.1. La loi applicable à ce contrat est celle du pays de l’administration contractante ou, lorsque l’administration contractante est la Commission européenne, le droit applicable de l’Union européenne complété, si nécessaire, par la loi belge. </w:t>
      </w:r>
    </w:p>
    <w:p w14:paraId="11147DB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13.2. Les parties mettent tout en œuvre pour régler à l’amiable tout différend survenant entre elles durant l’exécution du contrat. À cet effet, elles se communiquent par écrit leur position ainsi que toute solution qu’elles jugent possible, et se rencontrent à la demande de l’une d’elles. Le coordinateur et l’administration contractante doivent répondre dans un délai de trente jours à une demande de règlement à l’amiable. Passé ce délai ou si la tentative de règlement à l’amiable n’aboutit pas dans un délai de 120 jours après la première demande, le </w:t>
      </w:r>
      <w:r w:rsidRPr="00DB0220">
        <w:rPr>
          <w:rFonts w:ascii="Times New Roman" w:hAnsi="Times New Roman"/>
          <w:sz w:val="24"/>
        </w:rPr>
        <w:lastRenderedPageBreak/>
        <w:t xml:space="preserve">coordinateur ou l’administration contractante peut notifier à l’autre partie qu’il considère que la procédure a échoué. </w:t>
      </w:r>
    </w:p>
    <w:p w14:paraId="5A2752E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13.3. En cas d’échec de la procédure de règlement à l’amiable, le coordinateur et l’administration contractante peuvent décider, d’un commun accord, de soumettre le différend à la conciliation par la Commission européenne si celle-ci n’est pas l’administration contractante. Si aucun règlement n’intervient dans un délai de 120 jours après le lancement de la procédure de conciliation, chaque partie peut notifier à l’autre qu’elle considère que la procédure a échoué. </w:t>
      </w:r>
    </w:p>
    <w:p w14:paraId="31A56DE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13.4. En cas d’échec des procédures susmentionnées, chaque partie au contrat peut soumettre le litige aux tribunaux du pays de l’administration compétente, ou aux tribunaux bruxellois si l’administration contractante est la Commission européenne.  </w:t>
      </w:r>
    </w:p>
    <w:p w14:paraId="159E2EB9" w14:textId="77777777" w:rsidR="00B43DD5" w:rsidRDefault="00B43DD5" w:rsidP="0019382C">
      <w:pPr>
        <w:jc w:val="both"/>
        <w:rPr>
          <w:rFonts w:ascii="Times New Roman" w:hAnsi="Times New Roman"/>
          <w:b/>
          <w:sz w:val="24"/>
        </w:rPr>
      </w:pPr>
    </w:p>
    <w:p w14:paraId="3276BB12" w14:textId="40A85A54"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DISPOSITIONS FINANCIÈRES  </w:t>
      </w:r>
    </w:p>
    <w:p w14:paraId="0FF36E32"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14 - COÛTS ÉLIGIBLES </w:t>
      </w:r>
    </w:p>
    <w:p w14:paraId="08D720AD"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Critères d’admissibilité des coûts: </w:t>
      </w:r>
    </w:p>
    <w:p w14:paraId="400D3C4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14.1. Les coûts éligibles sont les coûts réellement encourus par les bénéficiaires, qui remplissent l’ensemble des critères suivants: </w:t>
      </w:r>
    </w:p>
    <w:p w14:paraId="56CE48C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ils sont encourus pendant la période de mise en œuvre de l’action telle que définie à l’article 2 des conditions particulières. Il convient de noter en particulier ce qui suit:   </w:t>
      </w:r>
    </w:p>
    <w:p w14:paraId="42CBFEF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i) les coûts liés à des services et travaux doivent porter sur des activités réalisées durant la période de mise en œuvre. Les coûts afférents aux fournitures doivent concerner la livraison et l’installation de matériels durant la période de mise en œuvre. La signature d’un contrat, la passation d’une commande ou l’engagement d’une dépense pendant la période de mise en œuvre pour la fourniture future de services, de travaux ou de fournitures, devant intervenir après la fin de la période de mise en œuvre de l’action, ne répondent pas à cette exigence. Les transferts en espèces entre le coordinateur et/ou les autres bénéficiaires et/ou la ou les entités affiliées ne peuvent être considérés comme des coûts encourus; </w:t>
      </w:r>
    </w:p>
    <w:p w14:paraId="27006A4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ii) les coûts exposés doivent être payés avant la présentation des rapports finaux. Ils peuvent être payés ultérieurement, pour autant qu’ils soient mentionnés dans le rapport final, avec la date estimée de paiement; </w:t>
      </w:r>
    </w:p>
    <w:p w14:paraId="55F9C98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iii) une exception est prévue pour les coûts liés aux rapports finaux, comprenant notamment la vérification des dépenses, l’audit et l’évaluation finale de l’action, susceptibles d’être encourus après la période de mise en œuvre de l’action; </w:t>
      </w:r>
    </w:p>
    <w:p w14:paraId="6AB558E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iv) les procédures de passation des marchés, visées à l’article 10, peuvent avoir été engagées et des contrats peuvent être signés par les bénéficiaires avant le début de la période de mise en œuvre, pour autant que les dispositions de l’annexe IV aient été respectées; </w:t>
      </w:r>
    </w:p>
    <w:p w14:paraId="4A20380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ils sont mentionnés dans le budget global estimé de l’action; </w:t>
      </w:r>
    </w:p>
    <w:p w14:paraId="5111975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c) ils sont nécessaires à l’exécution de l’action; </w:t>
      </w:r>
    </w:p>
    <w:p w14:paraId="2AE8C78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ils sont identifiables et vérifiables, et notamment sont inscrits dans la comptabilité des bénéficiaires et déterminés conformément aux normes comptables et aux pratiques habituelles des bénéficiaires en matière de comptabilité analytique; </w:t>
      </w:r>
    </w:p>
    <w:p w14:paraId="3F3BE38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 ils satisfont aux dispositions de la législation fiscale et sociale applicable; </w:t>
      </w:r>
    </w:p>
    <w:p w14:paraId="7794AF8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f) ils sont raisonnables, justifiés et respectent le principe de bonne gestion financière, notamment en ce qui concerne l’économie et l’efficience. </w:t>
      </w:r>
    </w:p>
    <w:p w14:paraId="1E1F7137"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Coûts directs éligibles </w:t>
      </w:r>
    </w:p>
    <w:p w14:paraId="37471F6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14.2. Sous réserve de l’article 14.1 et, le cas échéant, du respect des dispositions de l’annexe IV, sont éligibles les coûts directs suivants des bénéficiaires: </w:t>
      </w:r>
    </w:p>
    <w:p w14:paraId="3E8D674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le coût du personnel affecté à l’action, correspondant aux salaires bruts réels incluant les charges sociales et les autres coûts entrant dans la rémunération (à l’exclusion des primes de résultat); les salaires et frais ne doivent pas excéder ceux normalement supportés par les bénéficiaires, à moins d’une justification indiquant que le dépassement est indispensable à la réalisation de l’action; </w:t>
      </w:r>
    </w:p>
    <w:p w14:paraId="51BFB7A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les frais de voyage et de séjour du personnel et d’autres personnes participant à l’action, pour autant qu’ils ne dépassent pas ceux normalement supportés par les bénéficiaires conformément à leurs règles et réglementations. En outre, les barèmes publiés par la Commission européenne au moment de la signature du contrat ne peuvent jamais être dépassés; </w:t>
      </w:r>
    </w:p>
    <w:p w14:paraId="42F4751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les coûts d’achat d’équipements (neufs ou d’occasion) et de fournitures destinés spécifiquement aux besoins de l’action, pour autant qu’ils fassent l’objet d’un transfert de propriété à la fin de l’action comme prévu à l’article 7.5;  </w:t>
      </w:r>
    </w:p>
    <w:p w14:paraId="373D499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les coûts d’amortissement, les coûts de location ou de crédit-bail d’équipements (neufs ou d’occasion) et de fournitures destinés spécifiquement aux besoins de l’action; </w:t>
      </w:r>
    </w:p>
    <w:p w14:paraId="453C722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 les frais de location d’un bureau de projet, lorsque celui-ci est prévu, dûment justifié et décrit dans la description de l’action et dans les conditions particulières; </w:t>
      </w:r>
    </w:p>
    <w:p w14:paraId="3AF435A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f) les coûts de biens consommables; </w:t>
      </w:r>
    </w:p>
    <w:p w14:paraId="45BA5E2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g) les coûts des contrats de services, de fournitures et de travaux passés par le bénéficiaire pour les besoins de la mise en œuvre de l’action, conformément à l’article 10; sont inclus les frais liés au recours à des experts pour améliorer la qualité du cadre logique (par exemple, exactitude des niveaux de référence, systèmes de suivi, etc.), tant au début de la mise en œuvre de l’action que pendant celle-ci; </w:t>
      </w:r>
    </w:p>
    <w:p w14:paraId="19BB7B0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h) les coûts découlant directement d’exigences posées par le contrat (diffusion d’informations, évaluation spécifique de l’action, audits, traductions, reproduction, assurances, etc.), y compris les frais de services financiers (notamment le coût des transferts et des garanties financières lorsqu’elles sont requises conformément au contrat); </w:t>
      </w:r>
    </w:p>
    <w:p w14:paraId="486C7CF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i) les impôts, taxes et droits, y compris la taxe sur la valeur ajoutée, payés et non récupérables par les bénéficiaires, sauf disposition contraire dans les conditions particulières; </w:t>
      </w:r>
    </w:p>
    <w:p w14:paraId="79E4BCDB" w14:textId="5BCCAEA9"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j) les frais généraux, dans le cas d’une subvention de fonctionnement. </w:t>
      </w:r>
    </w:p>
    <w:p w14:paraId="572E1944"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Financement basé sur la performance </w:t>
      </w:r>
    </w:p>
    <w:p w14:paraId="1E8C1B5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14.3. Le paiement de la contribution de l’UE peut être partiellement ou entièrement lié à l’obtention de résultats mesurés par rapport à des niveaux de référence préalablement fixés ou au moyen d’indicateurs de performance. Ce financement basé sur la performance n’est pas soumis aux autres points de l’article 14. Les résultats pertinents et les moyens de mesurer leur degré de réalisation doivent être clairement décrits dans l’annexe I.  </w:t>
      </w:r>
    </w:p>
    <w:p w14:paraId="0001F06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 montant à verser pour chaque résultat obtenu est indiqué dans l’annexe III. La méthode à utiliser pour le calculer est clairement décrite dans l’annexe I, en tenant compte du principe de bonne gestion financière et en évitant le double financement des coûts. </w:t>
      </w:r>
    </w:p>
    <w:p w14:paraId="6570C62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L’organisation n’est pas tenue de déclarer les coûts liés à l’obtention des résultats. Elle doit néanmoins soumettre les éventuelles pièces justificatives nécessaires, y compris, s’il y a lieu, les documents comptables pertinents, pour prouver que les résultats déclenchant le paiement indiqués aux annexes I et III ont bien été obtenus. </w:t>
      </w:r>
    </w:p>
    <w:p w14:paraId="3D1BED60" w14:textId="52548128" w:rsidR="00832F98" w:rsidRPr="00B43DD5"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L’article 15.1 (calendrier des paiements), l’article 15.7 (vérification des dépenses) et l’article  17.3 (principe du non-profit) ne s’appliquent pas à la partie de l’action soutenue par un financement basé sur la performance. </w:t>
      </w:r>
    </w:p>
    <w:p w14:paraId="736E6200"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Options simplifiées en matière de coûts  </w:t>
      </w:r>
    </w:p>
    <w:p w14:paraId="6CB289F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14.4. Conformément aux dispositions détaillées figurant dans l’annexe III et dans l’annexe K, les coûts éligibles peuvent également être constitués de l’une des options de coûts suivantes ou d’une combinaison de celles-ci: </w:t>
      </w:r>
    </w:p>
    <w:p w14:paraId="1862CAC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a) coûts unitaires;</w:t>
      </w:r>
    </w:p>
    <w:p w14:paraId="210A013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montants forfaitaires; </w:t>
      </w:r>
    </w:p>
    <w:p w14:paraId="51379A60" w14:textId="05FEEF75"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financements à taux forfaitaire; </w:t>
      </w:r>
    </w:p>
    <w:p w14:paraId="5D2A2F6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14.5. Les méthodes utilisées par les bénéficiaires pour déterminer les coûts unitaires, les montants forfaitaires ou les financements à taux forfaitaire doivent être clairement décrites et motivées dans l’annexe III et elles doivent respecter les principes de cofinancement et d’absence de double financement. Les informations utilisées peuvent être basées sur la comptabilité des coûts historiques et/ou réels et les données de comptabilité analytique des bénéficiaires, sur des informations extérieures, lorsqu’elles sont disponibles et pertinentes, sur des données statistiques ou sur des jugements d’experts (fournis par des experts disponibles en interne ou obtenus à l’extérieur) ou sur toute autre information objective. </w:t>
      </w:r>
    </w:p>
    <w:p w14:paraId="3668D2F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Quand cela est possible et approprié, les montants forfaitaires, coûts unitaires ou taux forfaitaires sont déterminés de manière à permettre leur versement lorsque des produits et/ou des résultats concrets sont obtenus. </w:t>
      </w:r>
    </w:p>
    <w:p w14:paraId="6E730E9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Lorsqu’un résultat comporte plusieurs produits ou sous-résultats, il convient de le ventiler en sous-lignes budgétaires et d’attribuer à chaque produit ou sous-résultat une partie du montant indiqué pour le résultat, afin de permettre des paiements partiels dans le cas où le résultat ne serait pas atteint. </w:t>
      </w:r>
    </w:p>
    <w:p w14:paraId="4F02EF0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Les coûts déclarés selon les options de coûts simplifiés doivent répondre aux critères d’admissibilité fixés aux articles 14.1 et 14.2. Ils ne doivent pas être étayés par des pièces comptables ou justificatives, à l’exception de celles nécessaires pour démontrer le respect des conditions permettant un remboursement, fixées dans les annexes I, III et K.  </w:t>
      </w:r>
    </w:p>
    <w:p w14:paraId="3E97A57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Ces coûts ne peuvent pas comprendre de coûts inéligibles tels que visés à l’article 14.9 ou des coûts déjà déclarés sous une autre ligne budgétaire du contrat. </w:t>
      </w:r>
    </w:p>
    <w:p w14:paraId="5AB4D27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Les montants forfaitaires, les barèmes de coûts unitaires ou les financements à taux forfaitaires fixés à l’annexe III ne peuvent pas être modifiés de manière unilatérale et ne peuvent pas être remis en cause par des contrôles ex post.  </w:t>
      </w:r>
    </w:p>
    <w:p w14:paraId="65FA736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14.6. Les options simplifiées en matière de coûts non basées sur les résultats ne sont pas autorisées, à moins d’avoir fait l’objet d’une évaluation ex ante conformément à l’annexe K.  </w:t>
      </w:r>
    </w:p>
    <w:p w14:paraId="5429DFED"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 Réserve pour imprévus </w:t>
      </w:r>
    </w:p>
    <w:p w14:paraId="6580791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14.7. Une réserve pour imprévus et/ou pour d’éventuelles fluctuations des taux de change, plafonnée à 5 % du montant des coûts directs éligibles, peut être inscrite au budget de l’action pour permettre les ajustements rendus nécessaires par un changement imprévisible des circonstances sur le terrain. Elle ne peut être utilisée qu’avec l’autorisation écrite préalable de l’administration contractante, sur requête dûment justifiée du coordinateur.  </w:t>
      </w:r>
    </w:p>
    <w:p w14:paraId="0CB13F38"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Coûts indirects </w:t>
      </w:r>
    </w:p>
    <w:p w14:paraId="06D30A1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14.8. Les coûts indirects de l’action sont les coûts éligibles qui ne peuvent être identifiés comme des coûts spécifiques directement liés à la mise en œuvre de l’action et qui ne peuvent pas faire l’objet d’une imputation directe à son budget, conformément aux conditions d’éligibilité énoncées à l’article 14.1, mais qui sont néanmoins supportés par les bénéficiaires en lien avec les coûts directs éligibles de l’action. Ces coûts ne peuvent pas inclure des coûts inéligibles tels que visés à l’article 14.9 ou des coûts déjà déclarés sous une autre ligne budgétaire du contrat. </w:t>
      </w:r>
    </w:p>
    <w:p w14:paraId="6937819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Un pourcentage fixe du montant total des coûts directs éligibles de l’action ne dépassant pas celui fixé à l’article 3 des conditions particulières peut être considéré comme destiné à couvrir les coûts indirects de l’action. Le financement à taux forfaitaire des coûts indirects ne doit pas être justifié par des pièces comptables. Ce montant ne sera pas pris en compte pour le calcul du montant maximal des coûts simplifiés.  </w:t>
      </w:r>
    </w:p>
    <w:p w14:paraId="1172E77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Les coûts indirects ne sont pas éligibles dans le cadre d’une subvention octroyée à un bénéficiaire qui reçoit déjà au cours de la période considérée une subvention de fonctionnement financée sur le budget de l’Union européenne. </w:t>
      </w:r>
    </w:p>
    <w:p w14:paraId="00261B1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 présent article 14.7 ne s’applique pas dans le cas d’une subvention de fonctionnement. </w:t>
      </w:r>
    </w:p>
    <w:p w14:paraId="50E9316B"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lastRenderedPageBreak/>
        <w:t xml:space="preserve">Apports en nature </w:t>
      </w:r>
    </w:p>
    <w:p w14:paraId="1D19B25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14.9. Les éventuels apports en nature, qui doivent être énumérés séparément à l’annexe III, ne correspondent pas à des dépenses effectives et ne constituent pas des coûts éligibles. Sauf mention contraire dans les conditions particulières, les apports en nature ne peuvent être considérés comme représentant un cofinancement par les bénéficiaires.  </w:t>
      </w:r>
    </w:p>
    <w:p w14:paraId="7DDB54A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Les bénéficiaires justifient le montant du cofinancement apporté soit sur ses ressources propres soit sous la forme de transferts financiers d’autres parties. </w:t>
      </w:r>
    </w:p>
    <w:p w14:paraId="624B421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Nonobstant les dispositions ci-dessus, si la description de l’action prévoit des apports en nature, ces apports doivent être fournis.  </w:t>
      </w:r>
    </w:p>
    <w:p w14:paraId="7C343C41"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Travaux effectués par des bénévoles </w:t>
      </w:r>
    </w:p>
    <w:p w14:paraId="7AF8952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14.10. La valeur des travaux effectués par des bénévoles peut être reconnue en tant que coût éligible de l’action et considérée comme représentant un cofinancement par les bénéficiaires.  </w:t>
      </w:r>
    </w:p>
    <w:p w14:paraId="2D7DF53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Lorsque les coûts éligibles estimés comprennent des frais relatifs à des travaux effectués par des bénévoles, la contribution de l’UE ne dépasse pas les coûts éligibles estimés autres que les frais afférents aux travaux effectués par des bénévoles. </w:t>
      </w:r>
    </w:p>
    <w:p w14:paraId="5435444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Les bénéficiaires déclarent les frais de personnel afférents aux travaux effectués par des bénévoles sur la base des coûts unitaires autorisés conformément aux articles 14.4 et suivants</w:t>
      </w:r>
      <w:r w:rsidRPr="00DB0220">
        <w:rPr>
          <w:rStyle w:val="FootnoteReference"/>
          <w:rFonts w:ascii="Times New Roman" w:hAnsi="Times New Roman"/>
          <w:sz w:val="24"/>
        </w:rPr>
        <w:footnoteReference w:id="36"/>
      </w:r>
      <w:r w:rsidRPr="00DB0220">
        <w:rPr>
          <w:rFonts w:ascii="Times New Roman" w:hAnsi="Times New Roman"/>
          <w:sz w:val="24"/>
        </w:rPr>
        <w:t xml:space="preserve">. </w:t>
      </w:r>
    </w:p>
    <w:p w14:paraId="1A8936F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Les travaux effectués par les bénévoles peuvent représenter jusqu’à 50 % du cofinancement. </w:t>
      </w:r>
    </w:p>
    <w:p w14:paraId="1D0DFC58" w14:textId="5A3EAE8E"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Coûts non éligibles </w:t>
      </w:r>
    </w:p>
    <w:p w14:paraId="3C967D4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14.11. Sont considérés comme non éligibles les coûts suivants: </w:t>
      </w:r>
    </w:p>
    <w:p w14:paraId="7452022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les dettes et la charge de la dette (intérêts); </w:t>
      </w:r>
    </w:p>
    <w:p w14:paraId="0929BD2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les provisions pour pertes, dettes ou dettes futures éventuelles; </w:t>
      </w:r>
    </w:p>
    <w:p w14:paraId="214A6E7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les coûts déclarés par les bénéficiaires et pris en charge dans le cadre d’une autre action ou d’un autre programme de travail donnant lieu à une subvention octroyée par l’Union européenne (y compris sur financement par le FED); </w:t>
      </w:r>
    </w:p>
    <w:p w14:paraId="3F7D8BC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les achats de terrains ou d’immeubles, sauf s’ils sont indispensables à la mise en œuvre directe de l’action et respectent les conditions définies dans les conditions particulières; dans tous les cas, leur propriété doit être transférée conformément à l’article 7.5, au plus tard à la fin de l’action; </w:t>
      </w:r>
    </w:p>
    <w:p w14:paraId="4E68070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 les pertes de change; </w:t>
      </w:r>
    </w:p>
    <w:p w14:paraId="07E2075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f) les crédits à des organismes tiers, sauf indication contraire dans les conditions particulières; </w:t>
      </w:r>
    </w:p>
    <w:p w14:paraId="0541254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g) les apports en nature; </w:t>
      </w:r>
    </w:p>
    <w:p w14:paraId="2F3FA18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h) les coûts salariaux du personnel des administrations nationales, sauf indication contraire dans les conditions particulières et uniquement dans la mesure où ils correspondent au coût d’activités que l’autorité publique concernée ne réaliserait pas si l’action n’était pas entreprise. </w:t>
      </w:r>
    </w:p>
    <w:p w14:paraId="3724B39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i) les primes de résultat incluses dans les frais de personnel. </w:t>
      </w:r>
    </w:p>
    <w:p w14:paraId="160AE294"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Entités affiliées </w:t>
      </w:r>
    </w:p>
    <w:p w14:paraId="1D47A043" w14:textId="14F46A1A" w:rsidR="00832F98" w:rsidRPr="00B43DD5"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14.12. Lorsque les conditions particulières contiennent une disposition relative aux entités affiliées d’un bénéficiaire, les coûts encourus par cette entité peuvent être éligibles, à condition qu’ils remplissent les mêmes conditions que celles prévues aux articles 14 et 16 et que le bénéficiaire veille à ce que les articles 3, 4, 5, 6, 8, 10 et 16 soient également applicables à l’entité. </w:t>
      </w:r>
      <w:r>
        <w:rPr>
          <w:rFonts w:ascii="Times New Roman" w:hAnsi="Times New Roman"/>
          <w:b/>
          <w:sz w:val="24"/>
        </w:rPr>
        <w:t xml:space="preserve">                              </w:t>
      </w:r>
    </w:p>
    <w:p w14:paraId="5FDBEA41"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15 - PAIEMENTS ET INTÉRÊTS DE RETARD </w:t>
      </w:r>
    </w:p>
    <w:p w14:paraId="12B6972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Modalités de paiement </w:t>
      </w:r>
    </w:p>
    <w:p w14:paraId="01D0ACD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15.1. L’administration contractante est tenue de régler la subvention au coordinateur selon une des procédures de paiement énumérées ci-après, conformément à l’article 4 des conditions particulières. </w:t>
      </w:r>
    </w:p>
    <w:p w14:paraId="3D82DA5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Option 1: actions dont la période de mise en œuvre ne dépasse pas 12 mois ou subvention d’un montant inférieur ou égal à 100 000 EUR </w:t>
      </w:r>
    </w:p>
    <w:p w14:paraId="5FFF2495" w14:textId="77777777" w:rsidR="00832F98" w:rsidRPr="00DB0220" w:rsidRDefault="00832F98" w:rsidP="0019382C">
      <w:pPr>
        <w:pStyle w:val="ListParagraph"/>
        <w:numPr>
          <w:ilvl w:val="0"/>
          <w:numId w:val="272"/>
        </w:numPr>
        <w:jc w:val="both"/>
        <w:rPr>
          <w:rFonts w:ascii="Times New Roman" w:hAnsi="Times New Roman"/>
          <w:bCs/>
          <w:sz w:val="24"/>
          <w:szCs w:val="24"/>
        </w:rPr>
      </w:pPr>
      <w:r w:rsidRPr="00DB0220">
        <w:rPr>
          <w:rFonts w:ascii="Times New Roman" w:hAnsi="Times New Roman"/>
          <w:sz w:val="24"/>
        </w:rPr>
        <w:t xml:space="preserve">un préfinancement initial d’un montant égal à 80 % du montant maximal mentionné à l’article 3.2 des conditions particulières (hors réserve pour imprévus); </w:t>
      </w:r>
    </w:p>
    <w:p w14:paraId="5A2B44F7" w14:textId="77777777" w:rsidR="00832F98" w:rsidRPr="00DB0220" w:rsidRDefault="00832F98" w:rsidP="0019382C">
      <w:pPr>
        <w:pStyle w:val="ListParagraph"/>
        <w:numPr>
          <w:ilvl w:val="0"/>
          <w:numId w:val="272"/>
        </w:numPr>
        <w:jc w:val="both"/>
        <w:rPr>
          <w:rFonts w:ascii="Times New Roman" w:hAnsi="Times New Roman"/>
          <w:bCs/>
          <w:sz w:val="24"/>
          <w:szCs w:val="24"/>
        </w:rPr>
      </w:pPr>
      <w:r w:rsidRPr="00DB0220">
        <w:rPr>
          <w:rFonts w:ascii="Times New Roman" w:hAnsi="Times New Roman"/>
          <w:sz w:val="24"/>
        </w:rPr>
        <w:t xml:space="preserve">ii) le solde du montant final de la subvention. </w:t>
      </w:r>
    </w:p>
    <w:p w14:paraId="4901939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Option 2:  actions dont la période de mise en œuvre dépasse 12 mois et subvention d’un montant supérieur à 100 000 EUR </w:t>
      </w:r>
    </w:p>
    <w:p w14:paraId="5C87FC38" w14:textId="77777777" w:rsidR="00832F98" w:rsidRPr="00DB0220" w:rsidRDefault="00832F98" w:rsidP="0019382C">
      <w:pPr>
        <w:pStyle w:val="ListParagraph"/>
        <w:numPr>
          <w:ilvl w:val="0"/>
          <w:numId w:val="273"/>
        </w:numPr>
        <w:jc w:val="both"/>
        <w:rPr>
          <w:rFonts w:ascii="Times New Roman" w:hAnsi="Times New Roman"/>
          <w:bCs/>
          <w:sz w:val="24"/>
          <w:szCs w:val="24"/>
        </w:rPr>
      </w:pPr>
      <w:r w:rsidRPr="00DB0220">
        <w:rPr>
          <w:rFonts w:ascii="Times New Roman" w:hAnsi="Times New Roman"/>
          <w:sz w:val="24"/>
        </w:rPr>
        <w:t xml:space="preserve">un préfinancement initial représentant 100 % de la part du budget prévisionnel financée par l’administration contractante correspondant à la première période de rapport (hors réserve pour imprévus). La part du budget financée par l’administration contractante est calculée en appliquant le pourcentage défini à l’article 3.2 des conditions particulières; </w:t>
      </w:r>
    </w:p>
    <w:p w14:paraId="67E3CD8D" w14:textId="77777777" w:rsidR="00832F98" w:rsidRPr="00DB0220" w:rsidRDefault="00832F98" w:rsidP="0019382C">
      <w:pPr>
        <w:pStyle w:val="ListParagraph"/>
        <w:numPr>
          <w:ilvl w:val="0"/>
          <w:numId w:val="273"/>
        </w:numPr>
        <w:jc w:val="both"/>
        <w:rPr>
          <w:rFonts w:ascii="Times New Roman" w:hAnsi="Times New Roman"/>
          <w:bCs/>
          <w:sz w:val="24"/>
          <w:szCs w:val="24"/>
        </w:rPr>
      </w:pPr>
      <w:r w:rsidRPr="00DB0220">
        <w:rPr>
          <w:rFonts w:ascii="Times New Roman" w:hAnsi="Times New Roman"/>
          <w:sz w:val="24"/>
        </w:rPr>
        <w:t xml:space="preserve">ii) de nouveaux versements de préfinancement représentant 100 % de la part du budget prévisionnel financée par l’administration contractante correspondant à la période de rapport suivante (hors imprévus non autorisés): </w:t>
      </w:r>
    </w:p>
    <w:p w14:paraId="295198EE" w14:textId="77777777" w:rsidR="00832F98" w:rsidRPr="00DB0220" w:rsidRDefault="00832F98" w:rsidP="0019382C">
      <w:pPr>
        <w:pStyle w:val="ListParagraph"/>
        <w:numPr>
          <w:ilvl w:val="1"/>
          <w:numId w:val="274"/>
        </w:numPr>
        <w:jc w:val="both"/>
        <w:rPr>
          <w:rFonts w:ascii="Times New Roman" w:hAnsi="Times New Roman"/>
          <w:bCs/>
          <w:sz w:val="24"/>
          <w:szCs w:val="24"/>
        </w:rPr>
      </w:pPr>
      <w:r w:rsidRPr="00DB0220">
        <w:rPr>
          <w:rFonts w:ascii="Times New Roman" w:hAnsi="Times New Roman"/>
          <w:sz w:val="24"/>
        </w:rPr>
        <w:t xml:space="preserve">par période de rapport, on entend une période de douze mois, sauf disposition contraire prévue dans les conditions particulières. Lorsque la période restant à courir jusqu’à la fin de l’action est égale ou inférieure à dix-huit mois, la période de rapport la couvrira entièrement; </w:t>
      </w:r>
    </w:p>
    <w:p w14:paraId="3A649BDB" w14:textId="77777777" w:rsidR="00832F98" w:rsidRPr="00DB0220" w:rsidRDefault="00832F98" w:rsidP="0019382C">
      <w:pPr>
        <w:pStyle w:val="ListParagraph"/>
        <w:numPr>
          <w:ilvl w:val="1"/>
          <w:numId w:val="274"/>
        </w:numPr>
        <w:jc w:val="both"/>
        <w:rPr>
          <w:rFonts w:ascii="Times New Roman" w:hAnsi="Times New Roman"/>
          <w:bCs/>
          <w:sz w:val="24"/>
          <w:szCs w:val="24"/>
        </w:rPr>
      </w:pPr>
      <w:r w:rsidRPr="00DB0220">
        <w:rPr>
          <w:rFonts w:ascii="Times New Roman" w:hAnsi="Times New Roman"/>
          <w:sz w:val="24"/>
        </w:rPr>
        <w:t xml:space="preserve">dans les 60 jours suivant la fin de la période de rapport, le coordinateur présente un rapport intermédiaire ou, s’il n’est pas en mesure de le faire, en </w:t>
      </w:r>
      <w:r w:rsidRPr="00DB0220">
        <w:rPr>
          <w:rFonts w:ascii="Times New Roman" w:hAnsi="Times New Roman"/>
          <w:sz w:val="24"/>
        </w:rPr>
        <w:lastRenderedPageBreak/>
        <w:t>signale les raisons à l’administration contractante et présente un résumé de l’état d’avancement de l’action;</w:t>
      </w:r>
    </w:p>
    <w:p w14:paraId="40BBFFA5" w14:textId="77777777" w:rsidR="00832F98" w:rsidRPr="00DB0220" w:rsidRDefault="00832F98" w:rsidP="0019382C">
      <w:pPr>
        <w:pStyle w:val="ListParagraph"/>
        <w:numPr>
          <w:ilvl w:val="1"/>
          <w:numId w:val="274"/>
        </w:numPr>
        <w:jc w:val="both"/>
        <w:rPr>
          <w:rFonts w:ascii="Times New Roman" w:hAnsi="Times New Roman"/>
          <w:bCs/>
          <w:sz w:val="24"/>
          <w:szCs w:val="24"/>
        </w:rPr>
      </w:pPr>
      <w:r w:rsidRPr="00DB0220">
        <w:rPr>
          <w:rFonts w:ascii="Times New Roman" w:hAnsi="Times New Roman"/>
          <w:sz w:val="24"/>
        </w:rPr>
        <w:t xml:space="preserve">si, à la fin de la période de rapport, la part des dépenses réellement encourues financée par l’administration contractante est inférieure à 70 % du montant du versement précédent (et 100 % d’éventuels versements antérieurs), le nouveau versement de préfinancement est diminué du montant correspondant à la différence entre le seuil de 70 % du versement de préfinancement précédent et la part des dépenses réellement encourues financée par l’administration contractante; </w:t>
      </w:r>
    </w:p>
    <w:p w14:paraId="074B23AD" w14:textId="77777777" w:rsidR="00832F98" w:rsidRPr="00DB0220" w:rsidRDefault="00832F98" w:rsidP="0019382C">
      <w:pPr>
        <w:pStyle w:val="ListParagraph"/>
        <w:numPr>
          <w:ilvl w:val="1"/>
          <w:numId w:val="274"/>
        </w:numPr>
        <w:jc w:val="both"/>
        <w:rPr>
          <w:rFonts w:ascii="Times New Roman" w:hAnsi="Times New Roman"/>
          <w:bCs/>
          <w:sz w:val="24"/>
          <w:szCs w:val="24"/>
        </w:rPr>
      </w:pPr>
      <w:r w:rsidRPr="00DB0220">
        <w:rPr>
          <w:rFonts w:ascii="Times New Roman" w:hAnsi="Times New Roman"/>
          <w:sz w:val="24"/>
        </w:rPr>
        <w:t>le coordinateur peut présenter une demande de préfinancement suivant avant la fin de la période de rapport, lorsque la part des dépenses réellement encourues financée par l’administration contractante est supérieure à 70 % du paiement précédent (et 100 % d’éventuels paiements antérieurs). Dans ce cas, la période de rapport suivante recommence à courir à partir de la date de fin de la période couverte par cette demande de paiement;</w:t>
      </w:r>
    </w:p>
    <w:p w14:paraId="68A4694E" w14:textId="77777777" w:rsidR="00832F98" w:rsidRPr="00DB0220" w:rsidRDefault="00832F98" w:rsidP="0019382C">
      <w:pPr>
        <w:pStyle w:val="ListParagraph"/>
        <w:numPr>
          <w:ilvl w:val="1"/>
          <w:numId w:val="274"/>
        </w:numPr>
        <w:jc w:val="both"/>
        <w:rPr>
          <w:rFonts w:ascii="Times New Roman" w:hAnsi="Times New Roman"/>
          <w:bCs/>
          <w:sz w:val="24"/>
          <w:szCs w:val="24"/>
        </w:rPr>
      </w:pPr>
      <w:r w:rsidRPr="00DB0220">
        <w:rPr>
          <w:rFonts w:ascii="Times New Roman" w:hAnsi="Times New Roman"/>
          <w:sz w:val="24"/>
        </w:rPr>
        <w:t xml:space="preserve">en outre, pour les subventions d’un montant supérieur à 5 000 000 EUR, un nouveau versement de préfinancement ne peut être effectué que si la part financée par l’administration contractante des coûts éligibles approuvés est au moins égale au montant total de tous les versements précédents, à l’exclusion du dernier; </w:t>
      </w:r>
    </w:p>
    <w:p w14:paraId="0668BDCA" w14:textId="77777777" w:rsidR="00832F98" w:rsidRPr="00DB0220" w:rsidRDefault="00832F98" w:rsidP="0019382C">
      <w:pPr>
        <w:pStyle w:val="ListParagraph"/>
        <w:numPr>
          <w:ilvl w:val="1"/>
          <w:numId w:val="274"/>
        </w:numPr>
        <w:jc w:val="both"/>
        <w:rPr>
          <w:rFonts w:ascii="Times New Roman" w:hAnsi="Times New Roman"/>
          <w:bCs/>
          <w:sz w:val="24"/>
          <w:szCs w:val="24"/>
        </w:rPr>
      </w:pPr>
      <w:r w:rsidRPr="00DB0220">
        <w:rPr>
          <w:rFonts w:ascii="Times New Roman" w:hAnsi="Times New Roman"/>
          <w:sz w:val="24"/>
        </w:rPr>
        <w:t xml:space="preserve">le montant cumulé des paiements de préfinancement ne peut dépasser 90 % du montant mentionné à l’article 3.2 des conditions particulières, hors imprévus non autorisés; </w:t>
      </w:r>
    </w:p>
    <w:p w14:paraId="7B45A9C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iii) le solde du montant final de la subvention. </w:t>
      </w:r>
    </w:p>
    <w:p w14:paraId="3A8FF8E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Option 3: toutes les actions </w:t>
      </w:r>
    </w:p>
    <w:p w14:paraId="404BE70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i) le montant final de la subvention. </w:t>
      </w:r>
    </w:p>
    <w:p w14:paraId="3AEA7A6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Remise des rapports finaux </w:t>
      </w:r>
    </w:p>
    <w:p w14:paraId="5066246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15.2. Le coordinateur remet le rapport final à l’administration contractante au plus tard trois mois après la fin de la période de mise en œuvre telle que définie à l’article 2 des conditions particulières. Le délai de présentation du rapport final est porté à six mois lorsque le coordinateur n’a pas son siège dans le pays où l’action est mise en œuvre. </w:t>
      </w:r>
    </w:p>
    <w:p w14:paraId="799011C2"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Demande de paiement </w:t>
      </w:r>
    </w:p>
    <w:p w14:paraId="2706271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15.3. La demande de paiement est établie conformément au modèle figurant à l’annexe V et est accompagnée des documents suivants: </w:t>
      </w:r>
    </w:p>
    <w:p w14:paraId="3216F26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un rapport narratif et financier conformément à l’article 2; </w:t>
      </w:r>
    </w:p>
    <w:p w14:paraId="355D363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un budget prévisionnel pour la période de rapport suivante dans le cas d’une demande de nouveau préfinancement; </w:t>
      </w:r>
    </w:p>
    <w:p w14:paraId="53F6116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c) un rapport de vérification des dépenses ou, le cas échéant, une ventilation détaillée des dépenses conformément à l’article 15.7. </w:t>
      </w:r>
    </w:p>
    <w:p w14:paraId="2205ACE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 contrat signé fait office de demande de paiement du premier préfinancement. Il sera accompagné d’une garantie financière si elle est requise dans les conditions particulières. </w:t>
      </w:r>
    </w:p>
    <w:p w14:paraId="4EC7CF2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 paiement n’emporte reconnaissance ni de la régularité, ni du caractère authentique, complet ou exact des déclarations et informations fournies.  </w:t>
      </w:r>
    </w:p>
    <w:p w14:paraId="6262B07B"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Délais de paiement </w:t>
      </w:r>
    </w:p>
    <w:p w14:paraId="7F194A0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15.4. Le paiement initial de préfinancement est effectué dans un délai de 30 jours suivant la réception de la demande de paiement par l’administration contractante. </w:t>
      </w:r>
    </w:p>
    <w:p w14:paraId="083AE01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Les paiements de préfinancement suivants et les paiements du solde sont effectués dans un délai de 60 jours à compter de la réception de la demande de paiement par l’administration contractante. </w:t>
      </w:r>
    </w:p>
    <w:p w14:paraId="55B3A68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Toutefois, les paiements de préfinancement suivants et les paiements du solde sont effectués dans un délai de quatre-vingt-dix jours à compter de la réception de la demande de paiement par l’administration contractante dans l’un des cas suivants: </w:t>
      </w:r>
    </w:p>
    <w:p w14:paraId="680755A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un bénéficiaire avec des entités affiliées; </w:t>
      </w:r>
    </w:p>
    <w:p w14:paraId="7C6E3A7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si plus d’un bénéficiaire est partie au contrat; </w:t>
      </w:r>
    </w:p>
    <w:p w14:paraId="2BC4D92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si l’administration contractante n’est pas la Commission;   </w:t>
      </w:r>
    </w:p>
    <w:p w14:paraId="39CC117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pour des subventions supérieures à 5 000 000 EUR. </w:t>
      </w:r>
    </w:p>
    <w:p w14:paraId="154853C7" w14:textId="285AB793" w:rsidR="00DB0220" w:rsidRPr="00B43DD5"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La demande de paiement est réputée acceptée en l’absence de réponse écrite de l’administration contractante dans les délais précités. </w:t>
      </w:r>
    </w:p>
    <w:p w14:paraId="4A186D64" w14:textId="07CE6D6B"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Suspension de la période de paiement </w:t>
      </w:r>
    </w:p>
    <w:p w14:paraId="2629655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15.5. Sans préjudice de l’article 12, les délais de paiement peuvent être suspendus en notifiant au coordinateur ce qui suit: </w:t>
      </w:r>
    </w:p>
    <w:p w14:paraId="1D22073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le montant indiqué dans sa demande de paiement n’est pas exigible; ou </w:t>
      </w:r>
    </w:p>
    <w:p w14:paraId="3D7C64F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les pièces justificatives appropriées n’ont pas été fournies; ou </w:t>
      </w:r>
    </w:p>
    <w:p w14:paraId="6839F4E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des éclaircissements, des modifications ou des informations complémentaires aux rapports narratifs ou financiers sont nécessaires; ou  </w:t>
      </w:r>
    </w:p>
    <w:p w14:paraId="1274287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il existe des doutes quant à l’éligibilité des dépenses et il convient de procéder à des vérifications complémentaires, y compris par des contrôles sur place ou un audit, pour s’assurer du caractère éligible des dépenses; ou </w:t>
      </w:r>
    </w:p>
    <w:p w14:paraId="0D41371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 il est nécessaire de vérifier, y compris au moyen d’une enquête de l’OLAF, si des violations des obligations, des irrégularités ou des comportements frauduleux présumés ont </w:t>
      </w:r>
      <w:r w:rsidRPr="00DB0220">
        <w:rPr>
          <w:rFonts w:ascii="Times New Roman" w:hAnsi="Times New Roman"/>
          <w:sz w:val="24"/>
        </w:rPr>
        <w:lastRenderedPageBreak/>
        <w:t xml:space="preserve">effectivement eu lieu lors de la procédure d’octroi de la subvention ou de la mise en œuvre de l’action; ou </w:t>
      </w:r>
    </w:p>
    <w:p w14:paraId="19EA7F3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f) il est nécessaire de vérifier si les bénéficiaires ont manqué à l’une des obligations substantielles qui leur incombent en vertu du contrat; ou </w:t>
      </w:r>
    </w:p>
    <w:p w14:paraId="541F140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g) les obligations en matière de visibilité figurant à l’article 6 ne sont pas respectées. </w:t>
      </w:r>
    </w:p>
    <w:p w14:paraId="474F5EF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La suspension des délais de paiement prend effet à la date d’envoi de la notification au coordinateur. Le délai de paiement recommence à courir à partir de la date d’enregistrement de la demande de paiement correctement établie. Le coordinateur fournit tous les documents, éclaircissements ou informations requis dans un délai de 30 jours à compter de la demande. </w:t>
      </w:r>
    </w:p>
    <w:p w14:paraId="4AFA826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Si, en dépit des documents, éclaircissements ou informations fournis par le coordinateur, la demande de paiement est toujours irrecevable, ou si la procédure d’octroi ou la mise en œuvre de la subvention se révèle entachée d’irrégularités, de fraude ou de violation des obligations, l’administration contractante peut suspendre les paiements et peut, dans les cas prévus à l’article 12, résilier le contrat. </w:t>
      </w:r>
    </w:p>
    <w:p w14:paraId="076928A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En outre, l’administration contractante peut également suspendre les paiements à titre conservatoire et sans préavis, préalablement ou alternativement à la résiliation du contrat prévue à l’article 12. </w:t>
      </w:r>
    </w:p>
    <w:p w14:paraId="684A0900"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Intérêts de retard </w:t>
      </w:r>
    </w:p>
    <w:p w14:paraId="7B483FE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15.6. Si l’administration contractante paie le coordinateur après le délai, elle paiera des intérêts de retard calculés comme suit: </w:t>
      </w:r>
    </w:p>
    <w:p w14:paraId="1DC796B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au taux de réescompte de la banque centrale du pays où est établie l’administration contractante si les paiements sont effectués dans la monnaie de ce pays; </w:t>
      </w:r>
    </w:p>
    <w:p w14:paraId="0CEEE88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au taux appliqué par la Banque centrale européenne à ses opérations principales de refinancement en euros tel que publié au Journal officiel de l’Union européenne, série C, si les paiements sont effectués en euros; </w:t>
      </w:r>
    </w:p>
    <w:p w14:paraId="445BD71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le premier jour du mois au cours duquel ce délai a expiré, majoré de trois points et demi. L’intérêt de retard porte sur la période écoulée entre la date d’expiration du délai de paiement et la date de débit du compte de l’administration contractante.  </w:t>
      </w:r>
    </w:p>
    <w:p w14:paraId="125768D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Par exception, lorsque l’intérêt calculé conformément à cette disposition est d’un montant inférieur ou égal à 200 EUR, il n’est versé au coordinateur que sur demande, présentée dans les deux mois qui suivent la réception du paiement tardif.  </w:t>
      </w:r>
    </w:p>
    <w:p w14:paraId="3E5DF7F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Cet intérêt n’est pas considéré comme une recette pour les besoins de l’article 17. </w:t>
      </w:r>
    </w:p>
    <w:p w14:paraId="35FF96B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L’article 15.6 n’est pas applicable si le coordinateur est un État membre de l’Union européenne, notamment des autorités publiques locales et régionales ou tout autre organisme public agissant au nom et pour compte de l’État membre aux fins du contrat.  </w:t>
      </w:r>
    </w:p>
    <w:p w14:paraId="11934584" w14:textId="77777777" w:rsidR="00B43DD5" w:rsidRDefault="00B43DD5" w:rsidP="0019382C">
      <w:pPr>
        <w:jc w:val="both"/>
        <w:rPr>
          <w:rFonts w:ascii="Times New Roman" w:hAnsi="Times New Roman"/>
          <w:b/>
          <w:sz w:val="24"/>
        </w:rPr>
      </w:pPr>
    </w:p>
    <w:p w14:paraId="2946340A" w14:textId="7FC3B211"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lastRenderedPageBreak/>
        <w:t xml:space="preserve">Rapport de vérification des dépenses </w:t>
      </w:r>
    </w:p>
    <w:p w14:paraId="05472EA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15.7. Le coordinateur doit fournir un rapport de vérification des dépenses pour: </w:t>
      </w:r>
    </w:p>
    <w:p w14:paraId="16D4F63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toute demande de nouveau paiement de préfinancement dans le cas de subventions d’un montant supérieur à 5 000 000 EUR; </w:t>
      </w:r>
    </w:p>
    <w:p w14:paraId="02F73F8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tout rapport final dans le cas d’une subvention supérieure à 100 000 EUR. </w:t>
      </w:r>
    </w:p>
    <w:p w14:paraId="624CEED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 rapport de vérification des dépenses doit être conforme au modèle figurant dans l’annexe VII et établi par un auditeur agréé ou choisi par l’administration contractante. L’auditeur doit satisfaire aux exigences décrites dans les termes de référence relatifs au contrôle des dépenses figurant à l’annexe VII. </w:t>
      </w:r>
    </w:p>
    <w:p w14:paraId="3C729A6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L’auditeur examine si les coûts déclarés par les bénéficiaires sont réels, comptabilisés avec exactitude et éligibles conformément aux dispositions du contrat. Le rapport de vérification des dépenses porte sur l’ensemble des dépenses non couvertes par un éventuel rapport de vérification des dépenses précédent. </w:t>
      </w:r>
    </w:p>
    <w:p w14:paraId="139B118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Si aucune vérification des dépenses n’est exigée avec les demandes de versements de préfinancement, une ventilation détaillée des dépenses couvrant les périodes de rapport précédentes non encore couvertes sera fournie une fois sur deux pour les nouvelles demandes de préfinancement, à partir de la deuxième demande de nouveau versement de préfinancement (3e, 5e, 7e, … versement de préfinancement).  </w:t>
      </w:r>
    </w:p>
    <w:p w14:paraId="3EFD32C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La ventilation détaillée des dépenses doit fournir les renseignements suivants pour chaque poste de dépense du rapport financier et pour tous les enregistrements et transactions sous-jacents: montant de l’enregistrement ou de la transaction, référence comptable (livre-journal, grand livre ou autre référence pertinente), description de l’enregistrement ou de la transaction (détaillant la nature de la dépense) et référence aux pièces justificatives (par ex. numéro de facture, fiche de salaire ou autre référence pertinente), conformément à l’article 16.1. Elle doit être fournie autant que possible en format électronique et sous la forme d’une feuille de calcul (Excel ou similaire). </w:t>
      </w:r>
    </w:p>
    <w:p w14:paraId="1291CCF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La ventilation détaillée des dépenses doit être accompagnée d’une déclaration sur l’honneur du coordinateur certifiant le caractère complet, fiable et sincère des informations contenues dans sa demande de paiement et certifiant aussi que les coûts déclarés ont été encourus et peuvent être considérés comme éligibles, conformément aux dispositions du contrat.  </w:t>
      </w:r>
    </w:p>
    <w:p w14:paraId="7E71F7C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Dans tous les cas, le rapport final comprendra une ventilation détaillée des dépenses portant sur l’ensemble de l’action. </w:t>
      </w:r>
    </w:p>
    <w:p w14:paraId="753C50E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Lorsque la subvention prend la forme d’un remboursement de coûts éligibles réellement supportés et est uniquement exprimée en valeur absolue (et non en pourcentage de la contribution de l’UE par rapport aux coûts éligibles totaux), la vérification peut se limiter au montant payé par la Commission pour l’action concernée (elle ne doit pas obligatoirement couvrir l’action dans son ensemble). </w:t>
      </w:r>
    </w:p>
    <w:p w14:paraId="25F8C19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Lorsque le coordinateur est une administration ou un organisme public, l’administration contractante peut accepter une ventilation détaillée des dépenses en remplacement d’un rapport de vérification des dépenses. </w:t>
      </w:r>
    </w:p>
    <w:p w14:paraId="53280B6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 coordinateur ne doit pas fournir de rapport de vérification des dépenses si la vérification est effectuée directement par le personnel de l’administration contractante, par la Commission ou par un organisme habilité à le faire pour leur compte, conformément à l’article 5.2 des conditions particulières. </w:t>
      </w:r>
    </w:p>
    <w:p w14:paraId="424991A8"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Garantie financière </w:t>
      </w:r>
    </w:p>
    <w:p w14:paraId="1B65B8D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15.8. Si la valeur de la subvention dépasse 60 000 EUR, l’administration contractante peut exiger une garantie financière d’un montant équivalent au premier versement de préfinancement.  </w:t>
      </w:r>
    </w:p>
    <w:p w14:paraId="286FFB2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Cette garantie est libellée en euro ou dans la monnaie de l’État dont relève l’administration contractante, conformément au modèle figurant dans l’annexe VIII. La garantie est fournie par un organisme bancaire ou financier agréé établi dans l’un des États membres de l’Union européenne. Lorsque le coordinateur est établi dans un pays tiers, l’administration contractante compétente peut accepter qu’un organisme bancaire ou financier établi dans ce pays tiers fournisse une telle garantie si elle estime que cette dernière présente des assurances et des caractéristiques équivalentes à celles délivrées par un organisme bancaire ou financier établi dans un État membre de l’Union européenne. Cette garantie reste en vigueur jusqu’à sa libération par l’administration contractante lors du paiement du solde. </w:t>
      </w:r>
    </w:p>
    <w:p w14:paraId="6B02B6B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Si, au cours de l’exécution du contrat, la personne morale ou physique qui fournit la garantie i) n’est pas capable ou désireuse de respecter ses engagements, ii) n’est pas autorisée à émettre des garanties aux administrations contractantes ou iii) semble ne pas disposer d’un financement fiable, ou si la garantie financière cesse d’être valable et si le coordinateur ne la remplace pas, l’administration contractante peut soit déduire de paiements futurs dus au coordinateur en vertu du contrat un montant équivalant au versement de préfinancement, soit mettre le coordinateur en demeure de fournir une nouvelle garantie aux mêmes conditions que la précédente. Si le coordinateur ne constitue pas une nouvelle garantie, l’administration contractante peut résilier le contrat. Cette disposition ne s’applique pas si le coordinateur est un organisme sans but lucratif, un organisme ayant conclu une convention-cadre de partenariat avec la Commission européenne, une administration ou un organisme public, sauf disposition contraire des conditions particulières.   </w:t>
      </w:r>
    </w:p>
    <w:p w14:paraId="6229A456"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Règles régissant la conversion monétaire </w:t>
      </w:r>
    </w:p>
    <w:p w14:paraId="7292674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15.9. Les paiements sont effectués par l’administration contractante sur le compte bancaire mentionné dans le formulaire d’identification financière joint en annexe V, qui permet d’identifier les fonds versés par l’administration contractante. L’administration contractante effectue les paiements dans la monnaie prévue aux conditions particulières.  </w:t>
      </w:r>
    </w:p>
    <w:p w14:paraId="75903E0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Les rapports sont présentés dans la monnaie stipulée dans les conditions particulières et peuvent être établis à partir d’états financiers libellés dans d’autres monnaies, conformément à la législation et aux normes comptables applicables propres aux bénéficiaires. Dans ce cas et </w:t>
      </w:r>
      <w:r w:rsidRPr="00DB0220">
        <w:rPr>
          <w:rFonts w:ascii="Times New Roman" w:hAnsi="Times New Roman"/>
          <w:sz w:val="24"/>
        </w:rPr>
        <w:lastRenderedPageBreak/>
        <w:t xml:space="preserve">aux fins de l’établissement du rapport, la conversion dans la monnaie définie dans les conditions particulières sera effectuée en utilisant le taux de change utilisé pour l’enregistrement de chaque contribution de l’administration contractante dans les comptes du bénéficiaire, sauf disposition contraire des conditions particulières. Si, à la fin de l’action, une partie des dépenses est préfinancée par le bénéficiaire (ou par d’autres donateurs), le taux de conversion à appliquer à ce solde est celui défini dans les conditions particulières conformément aux pratiques comptables usuelles du bénéficiaire. Si aucune disposition spécifique n’est prévue dans les conditions particulières, le taux de change du dernier versement reçu de l’administration contractante sera appliqué. </w:t>
      </w:r>
    </w:p>
    <w:p w14:paraId="39A8272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15.10. Sauf disposition contraire des conditions particulières, les coûts encourus dans d’autres monnaies que celle utilisée dans les comptes du bénéficiaire pour l’action sont convertis conformément à ses pratiques habituelles de comptabilité, pour autant que celles-ci respectent les exigences fondamentales suivantes: i) elles sont consignées en tant que règles comptables, c’est-à- dire qu’il s’agit de la méthode habituellement utilisée par le bénéficiaire; ii) elles sont appliquées de manière cohérente; iii) elles assurent le traitement égal de tous les types de transactions et de sources de financement; iv) le système peut être démontré et les taux de change sont facilement vérifiables.  </w:t>
      </w:r>
    </w:p>
    <w:p w14:paraId="02F2B4D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En cas de fluctuation des taux de change de nature exceptionnelle, les parties se consultent en vue de modifier l’action afin de réduire les effets d’une telle fluctuation. En cas de besoin, l’administration contractante peut prendre des mesures supplémentaires telles que la résiliation du contrat. </w:t>
      </w:r>
    </w:p>
    <w:p w14:paraId="3410ACB8"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16 - COMPTABILITÉ ET CONTRÔLE TECHNIQUE ET FINANCIER </w:t>
      </w:r>
    </w:p>
    <w:p w14:paraId="7EBED80C"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Comptes </w:t>
      </w:r>
    </w:p>
    <w:p w14:paraId="7A7346F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16.1. Les bénéficiaires tiennent des relevés et des comptes précis et systématiques relatifs à la mise en œuvre de l’action, sous la forme d’une comptabilité spécifique en partie double. </w:t>
      </w:r>
    </w:p>
    <w:p w14:paraId="337615E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Cette comptabilité: </w:t>
      </w:r>
    </w:p>
    <w:p w14:paraId="5433CE6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est intégrée au système comptable habituel des bénéficiaires, ou vient en complément de ce système; </w:t>
      </w:r>
    </w:p>
    <w:p w14:paraId="628162A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respecte les politiques et règles en matière de comptabilité et de tenue des livres applicables dans le pays concerné; </w:t>
      </w:r>
    </w:p>
    <w:p w14:paraId="18B2DE2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doit permettre le suivi, l’identification et la vérification aisés des recettes et dépenses relatives à l’action. </w:t>
      </w:r>
    </w:p>
    <w:p w14:paraId="2101B2E6" w14:textId="77777777" w:rsidR="00832F98" w:rsidRPr="0019382C" w:rsidRDefault="00832F98" w:rsidP="0019382C">
      <w:pPr>
        <w:jc w:val="both"/>
        <w:rPr>
          <w:rFonts w:ascii="Times New Roman" w:hAnsi="Times New Roman" w:cs="Times New Roman"/>
          <w:b/>
          <w:bCs/>
          <w:sz w:val="24"/>
          <w:szCs w:val="24"/>
        </w:rPr>
      </w:pPr>
      <w:r w:rsidRPr="00DB0220">
        <w:rPr>
          <w:rFonts w:ascii="Times New Roman" w:hAnsi="Times New Roman"/>
          <w:sz w:val="24"/>
        </w:rPr>
        <w:t xml:space="preserve">16.2. Le coordinateur doit veiller à ce qu’un rapprochement adéquat puisse être aisément effectué entre les rapports financiers requis à l’article 2 et son système comptable ainsi que les comptes et relevés correspondants. À cet effet, les bénéficiaires préparent et conservent, à des fins d’inspection et de vérification, les rapprochements appropriés, ainsi que les inventaires, analyses et autres comptes détaillés justificatifs. </w:t>
      </w:r>
    </w:p>
    <w:p w14:paraId="141996B5" w14:textId="77777777" w:rsidR="00B43DD5" w:rsidRDefault="00B43DD5" w:rsidP="0019382C">
      <w:pPr>
        <w:jc w:val="both"/>
        <w:rPr>
          <w:rFonts w:ascii="Times New Roman" w:hAnsi="Times New Roman"/>
          <w:b/>
          <w:sz w:val="24"/>
        </w:rPr>
      </w:pPr>
    </w:p>
    <w:p w14:paraId="5938D986" w14:textId="3724A6A3"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lastRenderedPageBreak/>
        <w:t xml:space="preserve">Droit d’accès </w:t>
      </w:r>
    </w:p>
    <w:p w14:paraId="74FDDDD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16.3. Les bénéficiaires autorisent que des vérifications soient réalisées par la Commission européenne, l’Office européen de lutte antifraude, la Cour des comptes et tout auditeur externe mandaté par l’administration contractante. Les bénéficiaires sont tenus de prendre toutes les mesures nécessaires pour faciliter leur travail. </w:t>
      </w:r>
    </w:p>
    <w:p w14:paraId="4A33899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16.4. Les bénéficiaires autorisent les entités ci-dessus: </w:t>
      </w:r>
    </w:p>
    <w:p w14:paraId="3632710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à accéder aux sites et aux locaux où l’action est réalisée; </w:t>
      </w:r>
    </w:p>
    <w:p w14:paraId="4825CC3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à examiner ses systèmes comptables et d’information, documents et bases de données concernant la gestion technique et financière de l’action; </w:t>
      </w:r>
    </w:p>
    <w:p w14:paraId="6D1925B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à prendre copie de documents; </w:t>
      </w:r>
    </w:p>
    <w:p w14:paraId="78C7AF7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à effectuer des contrôles sur place; </w:t>
      </w:r>
    </w:p>
    <w:p w14:paraId="1FA47DF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 à mener un audit complet sur la base de tous les documents comptables et de tout autre document relatif au financement de l’action. </w:t>
      </w:r>
    </w:p>
    <w:p w14:paraId="04815D0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16.5. En outre, l’Office européen de lutte antifraude sera autorisé à effectuer des contrôles et vérifications sur place selon les procédures prévues par la législation de l’Union européenne pour la protection des intérêts financiers de l’Union contre les fraudes et autres irrégularités.  </w:t>
      </w:r>
    </w:p>
    <w:p w14:paraId="71DB79E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 cas échéant, les résultats pourront conduire à des décisions de recouvrement par la Commission.   </w:t>
      </w:r>
    </w:p>
    <w:p w14:paraId="21C46DC2" w14:textId="7B22DA12" w:rsidR="00DB0220" w:rsidRPr="00B43DD5"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16.6. L’accès des personnes mandatées par la Commission européenne, l’Office européen de lutte antifraude et la Cour des comptes ainsi que de tout auditeur externe, mandaté par l’administration contractante et effectuant les vérifications conformément au présent article ainsi qu’à l’article 15.7, s’effectue à des conditions de stricte confidentialité vis-à-vis de tiers, sans préjudice des obligations de droit public auxquelles elles sont soumises.  </w:t>
      </w:r>
    </w:p>
    <w:p w14:paraId="4B99A95B" w14:textId="76C5EA8F"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Conservation des dossiers </w:t>
      </w:r>
    </w:p>
    <w:p w14:paraId="6102EC7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16.7. Les bénéficiaires conservent les documents, les pièces comptables et justificatives liées au contrat pendant cinq ans suivant le paiement du solde, et pendant trois ans dans le cas de subventions n’excédant pas 60 000 EUR, et dans tous les cas jusqu’à ce que les audits en cours, recours, litiges ou réclamations aient été tranchés. </w:t>
      </w:r>
    </w:p>
    <w:p w14:paraId="483653F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Les documents doivent être facilement accessibles et classés de façon à permettre un contrôle aisé, le coordinateur étant tenu d’informer l’administration contractante du lieu précis où ils sont conservés. </w:t>
      </w:r>
    </w:p>
    <w:p w14:paraId="67410B0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16.8. Toutes les pièces justificatives doivent être disponibles soit sous leur forme originale, y compris sous forme électronique, soit sous forme de copie.  </w:t>
      </w:r>
    </w:p>
    <w:p w14:paraId="455181A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16.9. Outre les rapports mentionnés à l’article 2, les documents mentionnés dans le présent article comprennent notamment: </w:t>
      </w:r>
    </w:p>
    <w:p w14:paraId="62E8E47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a) des registres comptables (informatisés ou manuels) émanant du système comptable des bénéficiaires tels que le grand-livre des comptes, les livres auxiliaires et les comptes salaires, les registres des actifs immobilisés et toute autre information comptable pertinente; </w:t>
      </w:r>
    </w:p>
    <w:p w14:paraId="1B92D8B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des preuves des procédures de passation de marchés telles que les documents d’appels d’offres, les offres des soumissionnaires et les rapports d’évaluation; </w:t>
      </w:r>
    </w:p>
    <w:p w14:paraId="6B91CD7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des preuves d’engagements, telles que les contrats et bons de commande; </w:t>
      </w:r>
    </w:p>
    <w:p w14:paraId="5384ED6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des preuves de prestation de services telles que les rapports approuvés, les feuilles de présence, les billets de transport, la preuve de la participation à des séminaires, conférences ou cours (y compris la documentation et les matériels reçus, les certificats), etc.; </w:t>
      </w:r>
    </w:p>
    <w:p w14:paraId="2D9577A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 des preuves de réception de fournitures, telles que les bons de livraison émanant des fournisseurs; </w:t>
      </w:r>
    </w:p>
    <w:p w14:paraId="5A1BB0E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f) des preuves de réalisation de travaux, telles que les certificats de réception; </w:t>
      </w:r>
    </w:p>
    <w:p w14:paraId="735DB3E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g) des preuves d’achats, telles que des factures et des reçus;  </w:t>
      </w:r>
    </w:p>
    <w:p w14:paraId="6CCC858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h) des preuves de paiement, telles que des extraits bancaires, des avis de débit, des preuves d’acquittement par le contractant; </w:t>
      </w:r>
    </w:p>
    <w:p w14:paraId="7D2B84C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i) des preuves que le remboursement des taxes et/ou de la TVA payées ne peut pas être demandé;  </w:t>
      </w:r>
    </w:p>
    <w:p w14:paraId="0990AB9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j) concernant les frais de carburant et de lubrifiant, une liste récapitulative comportant l’indication du kilométrage parcouru, de la consommation moyenne des véhicules utilisés, du prix du carburant et des frais d’entretien; </w:t>
      </w:r>
    </w:p>
    <w:p w14:paraId="0E12B03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k) des registres du personnel et des salaires tels que les contrats, les fiches de salaire, les feuilles de présence. Pour le personnel recruté sur place pour une période déterminée, les détails de la rémunération versée, certifiée conforme par le responsable local, et contenant une ventilation en salaire brut, charges sociales, assurances et salaire net. Pour le personnel expatrié et/ou le personnel basé en Europe (lorsque l’action est mise en œuvre en Europe), des états des dépenses par mois de présence effective, effectués sur base des coûts par unité de présence constatée et contenant une ventilation en salaire brut, charges sociales, assurances et salaire net.  </w:t>
      </w:r>
    </w:p>
    <w:p w14:paraId="7113AA5F" w14:textId="1C0D2B05" w:rsidR="00B43DD5" w:rsidRPr="00B43DD5" w:rsidRDefault="00832F98" w:rsidP="0019382C">
      <w:pPr>
        <w:jc w:val="both"/>
        <w:rPr>
          <w:rFonts w:ascii="Times New Roman" w:hAnsi="Times New Roman"/>
          <w:b/>
          <w:sz w:val="24"/>
        </w:rPr>
      </w:pPr>
      <w:r w:rsidRPr="00DB0220">
        <w:rPr>
          <w:rFonts w:ascii="Times New Roman" w:hAnsi="Times New Roman"/>
          <w:sz w:val="24"/>
        </w:rPr>
        <w:t>16.10 Le non-respect des obligations énoncées aux articles 16.1 à 16.9 constitue un cas de violation d’une obligation substantielle au titre du contrat. Dans ce cas, l’administration contractante peut notamment suspendre le contrat, les paiements ou le délai de paiement, résilier le contrat et/ou réduire la subvention</w:t>
      </w:r>
      <w:r>
        <w:rPr>
          <w:rFonts w:ascii="Times New Roman" w:hAnsi="Times New Roman"/>
          <w:b/>
          <w:sz w:val="24"/>
        </w:rPr>
        <w:t xml:space="preserve">. </w:t>
      </w:r>
    </w:p>
    <w:p w14:paraId="406DC053"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17 – MONTANT FINAL DE LA SUBVENTION </w:t>
      </w:r>
    </w:p>
    <w:p w14:paraId="4D781455"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Montant final </w:t>
      </w:r>
    </w:p>
    <w:p w14:paraId="12B0D51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17.1. La subvention ne peut pas dépasser le plafond maximal fixé à l’article 3.2 des conditions particulières, en valeur absolue ou en pourcentage.  </w:t>
      </w:r>
    </w:p>
    <w:p w14:paraId="24EC003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Si les coûts éligibles à la fin de l’action sont inférieurs aux coûts éligibles estimés tels que mentionnés à l’article 3.1 des conditions particulières, la subvention est limitée au montant résultant de l’application du pourcentage prévu à l’article 3.2 des conditions particulières aux coûts éligibles de l’action approuvés par l’administration contractante.  </w:t>
      </w:r>
    </w:p>
    <w:p w14:paraId="0CD1198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17.2. Outre son droit de résilier le contrat en vertu de l’article 12, et sans préjudice de celui-ci, l’administration contractante pourra, en cas de mauvaise exécution ou de réalisation partielle ou tardive de l’action – et donc, de mise en œuvre non conforme à la description de l’action figurant à l’annexe A1 –, par une décision mûrement réfléchie et après avoir permis aux bénéficiaires de présenter leur point de vue, réduire le montant initial de la subvention de manière cohérente avec l’état d’avancement réel de la mise en œuvre de l’action et conformément aux termes du contrat. Cela concerne également les obligations en matière de visibilité figurant à l’article 6. En cas de violation des obligations, de fraude ou d’irrégularités, l’administration contractante peut également réduire la subvention proportionnellement à la gravité de la violation des obligations, de la fraude ou des irrégularités.   </w:t>
      </w:r>
    </w:p>
    <w:p w14:paraId="4CCDC1FC"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Principe du non-profit </w:t>
      </w:r>
    </w:p>
    <w:p w14:paraId="0C97CE3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17.3. La subvention ne peut pas procurer de profit aux bénéficiaires, sauf spécification contraire à l’article 7 des conditions particulières. Le profit est défini comme un excédent des recettes par rapport aux coûts éligibles approuvés par l’administration contractante lors de la présentation de la demande de paiement du solde.   </w:t>
      </w:r>
    </w:p>
    <w:p w14:paraId="36CFF75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17.4. Les recettes à considérer sont les recettes consolidées à la date d’établissement, par le coordinateur, de la demande de paiement du solde, et qui appartiennent à l’une des deux catégories suivantes: </w:t>
      </w:r>
    </w:p>
    <w:p w14:paraId="635198A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subvention de l’UE; </w:t>
      </w:r>
    </w:p>
    <w:p w14:paraId="4C593D4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revenu généré par l’action, sauf spécification contraire dans les conditions particulières. 17.5. Dans le cas d’une subvention de fonctionnement, les montants consacrés à la constitution de réserves ne sont pas considérés comme des recettes. </w:t>
      </w:r>
    </w:p>
    <w:p w14:paraId="16903F4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17.6. Lorsque le montant final de la subvention déterminé conformément au contrat se traduirait par un profit, il sera réduit suivant le pourcentage du profit correspondant à la contribution finale de l’Union européenne aux coûts éligibles réellement engagés et approuvés par l’administration contractante. </w:t>
      </w:r>
    </w:p>
    <w:p w14:paraId="36D978D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17.7. Les dispositions de l’article 17.3 ne s’appliquent pas: </w:t>
      </w:r>
    </w:p>
    <w:p w14:paraId="4FFE94D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aux actions ayant pour objet de renforcer la capacité financière d’un bénéficiaire, si cela est spécifié à l’article 7 des conditions particulières; </w:t>
      </w:r>
    </w:p>
    <w:p w14:paraId="74A1052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aux actions qui génèrent un revenu permettant d’assurer leur continuité après la fin du contrat, si cela est spécifié à l’article 7 des conditions particulières; </w:t>
      </w:r>
    </w:p>
    <w:p w14:paraId="604F651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aux actions mises en œuvre par des organisations à but non lucratif; </w:t>
      </w:r>
    </w:p>
    <w:p w14:paraId="60E6C8F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aux bourses d’étude, de recherche ou de formation professionnelle versées à des personnes physiques; </w:t>
      </w:r>
    </w:p>
    <w:p w14:paraId="10B9D91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e) aux autres aides directes versées à des personnes physiques qui en ont un besoin pressant, comme les sans-emploi ou les réfugiés, si cela est spécifié à l’article 7 des conditions particulières; </w:t>
      </w:r>
    </w:p>
    <w:p w14:paraId="44C959B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f) aux subventions d’une valeur égale ou inférieure à 60 000 EUR. </w:t>
      </w:r>
    </w:p>
    <w:p w14:paraId="7B846519"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18 – RECOUVREMENT </w:t>
      </w:r>
    </w:p>
    <w:p w14:paraId="21276E30"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Recouvrement </w:t>
      </w:r>
    </w:p>
    <w:p w14:paraId="00BAF5E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18.1. Lorsque des montants ont été indûment versés au coordinateur ou lorsqu’une procédure de recouvrement est justifiée aux termes du contrat, le coordinateur s’engage à rembourser ces montants à l’administration contractante. </w:t>
      </w:r>
    </w:p>
    <w:p w14:paraId="1F77E62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18.2. Plus particulièrement, les paiements effectués n’empêchent pas l’administration contractante d’émettre un ordre de recouvrement à la suite d’un rapport de vérification des dépenses, d’un audit ou d’une autre vérification de la demande de paiement.  </w:t>
      </w:r>
    </w:p>
    <w:p w14:paraId="55C4193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18.3. Si une vérification révèle que les méthodes utilisées par les bénéficiaires pour déterminer les coûts unitaires, les montants forfaitaires ou les financements à taux forfaitaire ne sont pas conformes aux conditions fixées dans le contrat, l’administration contractante est habilitée à réduire le montant final de la subvention proportionnellement jusqu’à concurrence des coûts unitaires, des montants forfaitaires ou des financements à taux forfaitaire.  </w:t>
      </w:r>
    </w:p>
    <w:p w14:paraId="5F0926A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18.4. Le coordinateur s’engage à rembourser à l’administration contractante, au plus tard quarante-cinq jours après la date d’émission de la note de débit, cette dernière étant la lettre par laquelle l’administration contractante réclame le montant dû par le coordinateur, les montants qui lui auraient été versés en surplus par rapport au montant final dû. </w:t>
      </w:r>
    </w:p>
    <w:p w14:paraId="7D1D46AF"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Intérêts de retard </w:t>
      </w:r>
    </w:p>
    <w:p w14:paraId="672D9C3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18.5. En cas de non-remboursement par le coordinateur dans le délai fixé par l’administration contractante, celle-ci peut majorer les sommes dues d’un intérêt de retard: </w:t>
      </w:r>
    </w:p>
    <w:p w14:paraId="5BCFA2F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au taux de réescompte de la banque centrale du pays où est établie l’administration contractante si les paiements sont effectués dans la monnaie de ce pays; </w:t>
      </w:r>
    </w:p>
    <w:p w14:paraId="47AB5FD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au taux appliqué par la Banque centrale européenne à ses opérations principales de refinancement en euros tel que publié au Journal officiel de l’Union européenne, série C, lorsque les paiements sont effectués en euros; </w:t>
      </w:r>
    </w:p>
    <w:p w14:paraId="1488252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 premier jour du mois au cours duquel ce délai a expiré, majoré de trois points et demi. L’intérêt de retard porte sur la période comprise entre la date d’expiration du délai fixé par l’administration contractante et la date de paiement effectif. Tout paiement partiel est imputé d’abord sur les intérêts de retard ainsi déterminés. </w:t>
      </w:r>
    </w:p>
    <w:p w14:paraId="46061A8A"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Compensation </w:t>
      </w:r>
    </w:p>
    <w:p w14:paraId="7335040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18.6. Les montants devant être remboursés à l’administration contractante peuvent être compensés par des montants de tous types dus au coordinateur, après que ce dernier en ait </w:t>
      </w:r>
      <w:r w:rsidRPr="00DB0220">
        <w:rPr>
          <w:rFonts w:ascii="Times New Roman" w:hAnsi="Times New Roman"/>
          <w:sz w:val="24"/>
        </w:rPr>
        <w:lastRenderedPageBreak/>
        <w:t xml:space="preserve">informé l’administration contractante. Cette disposition est applicable sans préjudice d’un éventuel échelonnement des paiements convenu entre les parties.  </w:t>
      </w:r>
    </w:p>
    <w:p w14:paraId="53E7C5CC"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Autres dispositions </w:t>
      </w:r>
    </w:p>
    <w:p w14:paraId="7D9C13B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18.7. Le remboursement conformément à l’article 18.4 ou la compensation conformément à l’article 18.7 correspondent au paiement du solde.  </w:t>
      </w:r>
    </w:p>
    <w:p w14:paraId="67ADA0A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18.8. Les frais bancaires occasionnés par le remboursement des sommes dues à l’administration contractante sont à la charge exclusive du coordinateur. </w:t>
      </w:r>
    </w:p>
    <w:p w14:paraId="0AF84D9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18.9. La garantie constituée pour le préfinancement peut être appelée en vue du remboursement de toute somme encore due par les bénéficiaires, et le garant ne peut différer le paiement ou s’y opposer pour quelque motif que ce soit.  </w:t>
      </w:r>
    </w:p>
    <w:p w14:paraId="72C501B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18.10. Sans préjudice des prérogatives de l’administration contractante, si nécessaire, l’Union européenne, en tant que donateur, peut procéder elle-même au recouvrement, par quelque moyen que ce soit.</w:t>
      </w:r>
    </w:p>
    <w:p w14:paraId="0AE02A0B" w14:textId="77777777" w:rsidR="00832F98" w:rsidRPr="00DB0220" w:rsidRDefault="00832F98" w:rsidP="0019382C">
      <w:pPr>
        <w:jc w:val="both"/>
        <w:rPr>
          <w:rFonts w:ascii="Times New Roman" w:hAnsi="Times New Roman" w:cs="Times New Roman"/>
          <w:bCs/>
          <w:sz w:val="24"/>
          <w:szCs w:val="24"/>
        </w:rPr>
      </w:pPr>
    </w:p>
    <w:p w14:paraId="54B9AA02" w14:textId="77777777" w:rsidR="00832F98" w:rsidRPr="00DB0220" w:rsidRDefault="00832F98" w:rsidP="0019382C">
      <w:pPr>
        <w:jc w:val="both"/>
        <w:rPr>
          <w:rFonts w:ascii="Times New Roman" w:hAnsi="Times New Roman" w:cs="Times New Roman"/>
          <w:bCs/>
          <w:sz w:val="24"/>
          <w:szCs w:val="24"/>
        </w:rPr>
      </w:pPr>
    </w:p>
    <w:p w14:paraId="1A263ECA" w14:textId="5D21CE7A" w:rsidR="00832F98" w:rsidRDefault="00832F98" w:rsidP="0019382C">
      <w:pPr>
        <w:jc w:val="both"/>
        <w:rPr>
          <w:rFonts w:ascii="Times New Roman" w:hAnsi="Times New Roman" w:cs="Times New Roman"/>
          <w:b/>
          <w:bCs/>
          <w:sz w:val="24"/>
          <w:szCs w:val="24"/>
        </w:rPr>
      </w:pPr>
    </w:p>
    <w:p w14:paraId="48438381" w14:textId="51261AA8" w:rsidR="00832F98" w:rsidRDefault="00832F98" w:rsidP="0019382C">
      <w:pPr>
        <w:jc w:val="both"/>
        <w:rPr>
          <w:rFonts w:ascii="Times New Roman" w:hAnsi="Times New Roman" w:cs="Times New Roman"/>
          <w:b/>
          <w:bCs/>
          <w:sz w:val="24"/>
          <w:szCs w:val="24"/>
        </w:rPr>
      </w:pPr>
    </w:p>
    <w:p w14:paraId="3DD990D9" w14:textId="604AA9C7" w:rsidR="00DB0220" w:rsidRDefault="00DB0220" w:rsidP="0019382C">
      <w:pPr>
        <w:jc w:val="both"/>
        <w:rPr>
          <w:rFonts w:ascii="Times New Roman" w:hAnsi="Times New Roman" w:cs="Times New Roman"/>
          <w:b/>
          <w:bCs/>
          <w:sz w:val="24"/>
          <w:szCs w:val="24"/>
        </w:rPr>
      </w:pPr>
    </w:p>
    <w:p w14:paraId="266A0278" w14:textId="592FB73A" w:rsidR="00832F98" w:rsidRDefault="00DB0220" w:rsidP="00DB0220">
      <w:pPr>
        <w:rPr>
          <w:rFonts w:ascii="Times New Roman" w:hAnsi="Times New Roman" w:cs="Times New Roman"/>
          <w:b/>
          <w:bCs/>
          <w:sz w:val="24"/>
          <w:szCs w:val="24"/>
        </w:rPr>
      </w:pPr>
      <w:r>
        <w:rPr>
          <w:rFonts w:ascii="Times New Roman" w:hAnsi="Times New Roman" w:cs="Times New Roman"/>
          <w:b/>
          <w:bCs/>
          <w:sz w:val="24"/>
          <w:szCs w:val="24"/>
        </w:rPr>
        <w:br w:type="page"/>
      </w:r>
    </w:p>
    <w:p w14:paraId="1A2D0EC9" w14:textId="22767D42" w:rsidR="00832F98" w:rsidRPr="005107DF" w:rsidRDefault="00DB0220"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871" w:name="_bookmark0"/>
      <w:bookmarkStart w:id="872" w:name="_bookmark1"/>
      <w:bookmarkStart w:id="873" w:name="_bookmark2"/>
      <w:bookmarkStart w:id="874" w:name="_bookmark3"/>
      <w:bookmarkStart w:id="875" w:name="_bookmark4"/>
      <w:bookmarkStart w:id="876" w:name="_bookmark5"/>
      <w:bookmarkStart w:id="877" w:name="_bookmark6"/>
      <w:bookmarkStart w:id="878" w:name="_bookmark7"/>
      <w:bookmarkStart w:id="879" w:name="_bookmark8"/>
      <w:bookmarkStart w:id="880" w:name="_bookmark9"/>
      <w:bookmarkStart w:id="881" w:name="_bookmark10"/>
      <w:bookmarkStart w:id="882" w:name="_bookmark11"/>
      <w:bookmarkStart w:id="883" w:name="_bookmark12"/>
      <w:bookmarkStart w:id="884" w:name="_bookmark13"/>
      <w:bookmarkStart w:id="885" w:name="_bookmark15"/>
      <w:bookmarkStart w:id="886" w:name="_bookmark16"/>
      <w:bookmarkStart w:id="887" w:name="_bookmark17"/>
      <w:bookmarkStart w:id="888" w:name="_bookmark18"/>
      <w:bookmarkStart w:id="889" w:name="_bookmark19"/>
      <w:bookmarkStart w:id="890" w:name="_bookmark20"/>
      <w:bookmarkStart w:id="891" w:name="_Toc517434463"/>
      <w:bookmarkStart w:id="892" w:name="_Toc2861026"/>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r>
        <w:rPr>
          <w:sz w:val="32"/>
        </w:rPr>
        <w:lastRenderedPageBreak/>
        <w:t>A</w:t>
      </w:r>
      <w:r w:rsidR="00832F98">
        <w:rPr>
          <w:sz w:val="32"/>
        </w:rPr>
        <w:t>NNEXE A3: Budget de l’action</w:t>
      </w:r>
      <w:bookmarkEnd w:id="891"/>
      <w:bookmarkEnd w:id="892"/>
    </w:p>
    <w:p w14:paraId="4D9CF828" w14:textId="77777777" w:rsidR="00832F98" w:rsidRPr="005107DF" w:rsidRDefault="00832F98" w:rsidP="00D0198E">
      <w:pPr>
        <w:spacing w:after="0" w:line="240" w:lineRule="auto"/>
        <w:rPr>
          <w:rFonts w:ascii="Times New Roman" w:eastAsia="Times New Roman" w:hAnsi="Times New Roman" w:cs="Times New Roman"/>
          <w:sz w:val="2"/>
          <w:szCs w:val="2"/>
        </w:rPr>
      </w:pPr>
    </w:p>
    <w:p w14:paraId="19E8E6C8" w14:textId="77777777" w:rsidR="00832F98" w:rsidRPr="005107DF" w:rsidRDefault="00832F98" w:rsidP="00D0198E">
      <w:pPr>
        <w:spacing w:after="0" w:line="240" w:lineRule="auto"/>
        <w:rPr>
          <w:rFonts w:ascii="Times New Roman" w:eastAsia="Times New Roman" w:hAnsi="Times New Roman" w:cs="Times New Roman"/>
          <w:sz w:val="24"/>
          <w:szCs w:val="24"/>
        </w:rPr>
      </w:pPr>
    </w:p>
    <w:p w14:paraId="16EA4EBD" w14:textId="77777777" w:rsidR="00832F98" w:rsidRPr="005107DF" w:rsidRDefault="00832F98" w:rsidP="00D0198E">
      <w:pPr>
        <w:spacing w:after="0" w:line="240" w:lineRule="auto"/>
        <w:jc w:val="both"/>
        <w:rPr>
          <w:rFonts w:ascii="Times New Roman" w:eastAsia="Times New Roman" w:hAnsi="Times New Roman" w:cs="Times New Roman"/>
          <w:b/>
          <w:i/>
          <w:color w:val="000000"/>
        </w:rPr>
      </w:pPr>
    </w:p>
    <w:p w14:paraId="35DB7876" w14:textId="77777777" w:rsidR="00832F98" w:rsidRPr="005107DF" w:rsidRDefault="00832F98" w:rsidP="00D0198E">
      <w:pPr>
        <w:spacing w:after="0" w:line="240" w:lineRule="auto"/>
        <w:jc w:val="both"/>
        <w:rPr>
          <w:rFonts w:ascii="Times New Roman" w:eastAsia="Times New Roman" w:hAnsi="Times New Roman" w:cs="Times New Roman"/>
          <w:b/>
          <w:i/>
          <w:color w:val="000000"/>
        </w:rPr>
      </w:pPr>
      <w:r>
        <w:rPr>
          <w:rFonts w:ascii="Times New Roman" w:hAnsi="Times New Roman"/>
          <w:b/>
          <w:i/>
          <w:color w:val="000000"/>
        </w:rPr>
        <w:t>L’administration de ______________________________ (ci-après dénommé le «bénéficiaire») représentée par _________________________________________________________________</w:t>
      </w:r>
      <w:r>
        <w:tab/>
      </w:r>
      <w:r>
        <w:rPr>
          <w:rFonts w:ascii="Times New Roman" w:hAnsi="Times New Roman"/>
          <w:b/>
          <w:i/>
          <w:color w:val="000000"/>
        </w:rPr>
        <w:t xml:space="preserve"> _________________________________________________________________</w:t>
      </w:r>
    </w:p>
    <w:p w14:paraId="3FA90B80" w14:textId="77777777" w:rsidR="00832F98" w:rsidRPr="005107DF" w:rsidRDefault="00832F98" w:rsidP="00D0198E">
      <w:pPr>
        <w:spacing w:after="0" w:line="240" w:lineRule="auto"/>
        <w:jc w:val="both"/>
        <w:rPr>
          <w:rFonts w:ascii="Times New Roman" w:eastAsia="Times New Roman" w:hAnsi="Times New Roman" w:cs="Times New Roman"/>
          <w:b/>
          <w:i/>
          <w:color w:val="000000"/>
        </w:rPr>
      </w:pPr>
    </w:p>
    <w:p w14:paraId="532B1606" w14:textId="77777777" w:rsidR="00832F98" w:rsidRPr="005107DF" w:rsidRDefault="00832F98" w:rsidP="00D0198E">
      <w:pPr>
        <w:spacing w:after="0" w:line="240" w:lineRule="auto"/>
        <w:jc w:val="both"/>
        <w:rPr>
          <w:rFonts w:ascii="Times New Roman" w:eastAsia="Times New Roman" w:hAnsi="Times New Roman" w:cs="Times New Roman"/>
          <w:b/>
          <w:i/>
          <w:color w:val="000000"/>
        </w:rPr>
      </w:pPr>
      <w:r>
        <w:rPr>
          <w:rFonts w:ascii="Times New Roman" w:hAnsi="Times New Roman"/>
          <w:b/>
          <w:i/>
          <w:color w:val="000000"/>
        </w:rPr>
        <w:t xml:space="preserve">d’une part, </w:t>
      </w:r>
    </w:p>
    <w:p w14:paraId="36F8CCEE" w14:textId="77777777" w:rsidR="00832F98" w:rsidRPr="005107DF" w:rsidRDefault="00832F98" w:rsidP="00D0198E">
      <w:pPr>
        <w:spacing w:after="0" w:line="240" w:lineRule="auto"/>
        <w:jc w:val="both"/>
        <w:rPr>
          <w:rFonts w:ascii="Times New Roman" w:eastAsia="Times New Roman" w:hAnsi="Times New Roman" w:cs="Times New Roman"/>
          <w:b/>
          <w:i/>
          <w:color w:val="000000"/>
        </w:rPr>
      </w:pPr>
    </w:p>
    <w:p w14:paraId="01DA9DC2" w14:textId="77777777" w:rsidR="00832F98" w:rsidRPr="005107DF" w:rsidRDefault="00832F98" w:rsidP="00D0198E">
      <w:pPr>
        <w:spacing w:after="0" w:line="240" w:lineRule="auto"/>
        <w:jc w:val="both"/>
        <w:rPr>
          <w:rFonts w:ascii="Times New Roman" w:eastAsia="Times New Roman" w:hAnsi="Times New Roman" w:cs="Times New Roman"/>
          <w:b/>
          <w:i/>
          <w:color w:val="000000"/>
        </w:rPr>
      </w:pPr>
      <w:r>
        <w:rPr>
          <w:rFonts w:ascii="Times New Roman" w:hAnsi="Times New Roman"/>
          <w:b/>
          <w:i/>
          <w:color w:val="000000"/>
        </w:rPr>
        <w:t>et l’administration de __________________________ (ci-après dénommé l’«État membre») représentée par ________________________________________________________________ _____________________________________________________</w:t>
      </w:r>
      <w:r>
        <w:tab/>
      </w:r>
      <w:r>
        <w:rPr>
          <w:rFonts w:ascii="Times New Roman" w:hAnsi="Times New Roman"/>
          <w:b/>
          <w:i/>
          <w:color w:val="000000"/>
        </w:rPr>
        <w:t xml:space="preserve"> _____________________________________________________</w:t>
      </w:r>
    </w:p>
    <w:p w14:paraId="3AE2C00B" w14:textId="77777777" w:rsidR="00832F98" w:rsidRPr="005107DF" w:rsidRDefault="00832F98" w:rsidP="00D0198E">
      <w:pPr>
        <w:spacing w:after="0" w:line="240" w:lineRule="auto"/>
        <w:jc w:val="both"/>
        <w:rPr>
          <w:rFonts w:ascii="Times New Roman" w:eastAsia="Times New Roman" w:hAnsi="Times New Roman" w:cs="Times New Roman"/>
          <w:b/>
          <w:i/>
          <w:color w:val="000000"/>
        </w:rPr>
      </w:pPr>
    </w:p>
    <w:p w14:paraId="27EE320D" w14:textId="77777777" w:rsidR="00832F98" w:rsidRPr="005107DF" w:rsidRDefault="00832F98" w:rsidP="00D0198E">
      <w:pPr>
        <w:spacing w:after="0" w:line="240" w:lineRule="auto"/>
        <w:jc w:val="both"/>
        <w:rPr>
          <w:rFonts w:ascii="Times New Roman" w:eastAsia="Times New Roman" w:hAnsi="Times New Roman" w:cs="Times New Roman"/>
          <w:b/>
          <w:i/>
          <w:color w:val="000000"/>
        </w:rPr>
      </w:pPr>
      <w:r>
        <w:rPr>
          <w:rFonts w:ascii="Times New Roman" w:hAnsi="Times New Roman"/>
          <w:b/>
          <w:i/>
          <w:color w:val="000000"/>
        </w:rPr>
        <w:t>d’autre part</w:t>
      </w:r>
    </w:p>
    <w:p w14:paraId="7802F536" w14:textId="77777777" w:rsidR="00832F98" w:rsidRPr="005107DF" w:rsidRDefault="00832F98" w:rsidP="00D0198E">
      <w:pPr>
        <w:spacing w:after="0" w:line="240" w:lineRule="auto"/>
        <w:rPr>
          <w:rFonts w:ascii="Times New Roman" w:eastAsia="Times New Roman" w:hAnsi="Times New Roman" w:cs="Times New Roman"/>
          <w:b/>
          <w:i/>
          <w:color w:val="000000"/>
        </w:rPr>
      </w:pPr>
    </w:p>
    <w:p w14:paraId="24860650" w14:textId="77777777" w:rsidR="00832F98" w:rsidRPr="005107DF" w:rsidRDefault="00832F98" w:rsidP="00D0198E">
      <w:pPr>
        <w:spacing w:after="0" w:line="240" w:lineRule="auto"/>
        <w:rPr>
          <w:rFonts w:ascii="Times New Roman" w:eastAsia="Times New Roman" w:hAnsi="Times New Roman" w:cs="Times New Roman"/>
          <w:b/>
          <w:color w:val="000000"/>
        </w:rPr>
      </w:pPr>
    </w:p>
    <w:p w14:paraId="44AD01E8" w14:textId="77777777" w:rsidR="00832F98" w:rsidRPr="005107DF" w:rsidRDefault="00832F98" w:rsidP="00D0198E">
      <w:pPr>
        <w:spacing w:after="0" w:line="240" w:lineRule="auto"/>
        <w:rPr>
          <w:rFonts w:ascii="Times New Roman" w:eastAsia="Times New Roman" w:hAnsi="Times New Roman" w:cs="Times New Roman"/>
          <w:b/>
          <w:color w:val="000000"/>
        </w:rPr>
      </w:pPr>
      <w:r>
        <w:rPr>
          <w:rFonts w:ascii="Times New Roman" w:hAnsi="Times New Roman"/>
          <w:b/>
          <w:sz w:val="24"/>
        </w:rPr>
        <w:t>Le budget doit être paraphé par le chef de projet de l’État membre et le chef de projet du pays bénéficiaire</w:t>
      </w:r>
      <w:r>
        <w:rPr>
          <w:rFonts w:ascii="Times New Roman" w:hAnsi="Times New Roman"/>
          <w:sz w:val="24"/>
        </w:rPr>
        <w:t>.</w:t>
      </w:r>
      <w:r>
        <w:rPr>
          <w:rFonts w:ascii="Times New Roman" w:hAnsi="Times New Roman"/>
          <w:b/>
          <w:color w:val="000000"/>
        </w:rPr>
        <w:t xml:space="preserve"> </w:t>
      </w:r>
    </w:p>
    <w:p w14:paraId="3C2EE8C3" w14:textId="77777777" w:rsidR="00832F98" w:rsidRPr="005107DF" w:rsidRDefault="00832F98" w:rsidP="00D0198E">
      <w:pPr>
        <w:spacing w:after="0" w:line="240" w:lineRule="auto"/>
        <w:ind w:left="5529" w:right="-760" w:hanging="5529"/>
        <w:rPr>
          <w:rFonts w:ascii="Times New Roman" w:eastAsia="Times New Roman" w:hAnsi="Times New Roman" w:cs="Times New Roman"/>
          <w:b/>
          <w:color w:val="000000"/>
          <w:sz w:val="24"/>
          <w:szCs w:val="24"/>
        </w:rPr>
      </w:pPr>
    </w:p>
    <w:p w14:paraId="6EA4659E" w14:textId="77777777" w:rsidR="00832F98" w:rsidRPr="005107DF" w:rsidRDefault="00832F98" w:rsidP="00D0198E">
      <w:pPr>
        <w:spacing w:after="0" w:line="240" w:lineRule="auto"/>
        <w:ind w:left="5529" w:right="-760" w:hanging="5529"/>
        <w:rPr>
          <w:rFonts w:ascii="Times New Roman" w:eastAsia="Times New Roman" w:hAnsi="Times New Roman" w:cs="Times New Roman"/>
          <w:b/>
          <w:color w:val="000000"/>
          <w:sz w:val="24"/>
          <w:szCs w:val="24"/>
        </w:rPr>
      </w:pPr>
    </w:p>
    <w:p w14:paraId="33DB4401" w14:textId="77777777" w:rsidR="00832F98" w:rsidRPr="005107DF" w:rsidRDefault="00832F98" w:rsidP="00D0198E">
      <w:pPr>
        <w:spacing w:after="0" w:line="240" w:lineRule="auto"/>
        <w:ind w:left="5529" w:right="-760" w:hanging="5529"/>
        <w:rPr>
          <w:rFonts w:ascii="Times New Roman" w:eastAsia="Times New Roman" w:hAnsi="Times New Roman" w:cs="Times New Roman"/>
          <w:b/>
          <w:color w:val="000000"/>
          <w:sz w:val="24"/>
          <w:szCs w:val="24"/>
        </w:rPr>
      </w:pPr>
    </w:p>
    <w:p w14:paraId="7DCC9986" w14:textId="77777777" w:rsidR="00832F98" w:rsidRPr="005107DF" w:rsidRDefault="00832F98" w:rsidP="00D0198E">
      <w:pPr>
        <w:spacing w:after="0" w:line="240" w:lineRule="auto"/>
        <w:ind w:left="5529" w:right="-760" w:hanging="5529"/>
        <w:rPr>
          <w:rFonts w:ascii="Times New Roman" w:eastAsia="Times New Roman" w:hAnsi="Times New Roman" w:cs="Times New Roman"/>
          <w:b/>
          <w:color w:val="000000"/>
          <w:sz w:val="24"/>
          <w:szCs w:val="24"/>
        </w:rPr>
      </w:pPr>
    </w:p>
    <w:p w14:paraId="2D2AAE9B" w14:textId="77777777" w:rsidR="00832F98" w:rsidRPr="005107DF" w:rsidRDefault="00832F98" w:rsidP="00D0198E">
      <w:pPr>
        <w:spacing w:after="0" w:line="240" w:lineRule="auto"/>
        <w:ind w:left="5529" w:right="-760" w:hanging="5529"/>
        <w:rPr>
          <w:rFonts w:ascii="Times New Roman" w:eastAsia="Times New Roman" w:hAnsi="Times New Roman" w:cs="Times New Roman"/>
          <w:color w:val="000000"/>
          <w:sz w:val="24"/>
          <w:szCs w:val="24"/>
        </w:rPr>
      </w:pPr>
      <w:r>
        <w:rPr>
          <w:rFonts w:ascii="Times New Roman" w:hAnsi="Times New Roman"/>
          <w:b/>
          <w:color w:val="000000"/>
          <w:sz w:val="24"/>
        </w:rPr>
        <w:t xml:space="preserve">Pour l’administration de l’État membre </w:t>
      </w:r>
      <w:r>
        <w:rPr>
          <w:rFonts w:ascii="Times New Roman" w:hAnsi="Times New Roman"/>
          <w:color w:val="000000"/>
          <w:sz w:val="24"/>
        </w:rPr>
        <w:t xml:space="preserve">                 </w:t>
      </w:r>
    </w:p>
    <w:p w14:paraId="59792CC6" w14:textId="77777777" w:rsidR="00832F98" w:rsidRPr="005107DF" w:rsidRDefault="00832F98" w:rsidP="00D0198E">
      <w:pPr>
        <w:spacing w:after="0" w:line="240" w:lineRule="auto"/>
        <w:ind w:left="6096" w:hanging="6096"/>
        <w:rPr>
          <w:rFonts w:ascii="Times New Roman" w:eastAsia="Times New Roman" w:hAnsi="Times New Roman" w:cs="Times New Roman"/>
          <w:i/>
          <w:color w:val="000000"/>
          <w:szCs w:val="24"/>
          <w:shd w:val="clear" w:color="auto" w:fill="FFFF00"/>
        </w:rPr>
      </w:pPr>
      <w:r>
        <w:rPr>
          <w:rFonts w:ascii="Times New Roman" w:hAnsi="Times New Roman"/>
          <w:i/>
          <w:color w:val="000000"/>
        </w:rPr>
        <w:t xml:space="preserve">[nom et titre de la / des personne(s)                                          </w:t>
      </w:r>
    </w:p>
    <w:p w14:paraId="18B7982D" w14:textId="77777777" w:rsidR="00832F98" w:rsidRPr="005107DF" w:rsidRDefault="00832F98" w:rsidP="00D0198E">
      <w:pPr>
        <w:spacing w:after="0" w:line="240" w:lineRule="auto"/>
        <w:rPr>
          <w:rFonts w:ascii="Times New Roman" w:eastAsia="Times New Roman" w:hAnsi="Times New Roman" w:cs="Times New Roman"/>
          <w:color w:val="000000"/>
          <w:sz w:val="24"/>
          <w:szCs w:val="24"/>
        </w:rPr>
      </w:pPr>
      <w:r>
        <w:rPr>
          <w:rFonts w:ascii="Times New Roman" w:hAnsi="Times New Roman"/>
          <w:i/>
          <w:color w:val="000000"/>
        </w:rPr>
        <w:t xml:space="preserve">habilitée(s) à signer]            </w:t>
      </w:r>
      <w:r>
        <w:tab/>
      </w:r>
      <w:r>
        <w:tab/>
      </w:r>
      <w:r>
        <w:tab/>
      </w:r>
      <w:r>
        <w:tab/>
      </w:r>
      <w:r>
        <w:rPr>
          <w:rFonts w:ascii="Times New Roman" w:hAnsi="Times New Roman"/>
          <w:i/>
          <w:color w:val="000000"/>
        </w:rPr>
        <w:t xml:space="preserve">      </w:t>
      </w:r>
    </w:p>
    <w:p w14:paraId="5655AD92" w14:textId="77777777" w:rsidR="00832F98" w:rsidRPr="005107DF" w:rsidRDefault="00832F98" w:rsidP="00D0198E">
      <w:pPr>
        <w:spacing w:after="0" w:line="240" w:lineRule="auto"/>
        <w:ind w:left="6096" w:hanging="6096"/>
        <w:rPr>
          <w:rFonts w:ascii="Times New Roman" w:eastAsia="Times New Roman" w:hAnsi="Times New Roman" w:cs="Times New Roman"/>
          <w:color w:val="000000"/>
          <w:sz w:val="24"/>
          <w:szCs w:val="24"/>
        </w:rPr>
      </w:pPr>
      <w:r>
        <w:rPr>
          <w:rFonts w:ascii="Times New Roman" w:hAnsi="Times New Roman"/>
          <w:i/>
          <w:color w:val="000000"/>
        </w:rPr>
        <w:t> </w:t>
      </w:r>
    </w:p>
    <w:p w14:paraId="2FF08EDC" w14:textId="77777777" w:rsidR="00832F98" w:rsidRPr="005107DF" w:rsidRDefault="00832F98" w:rsidP="00D0198E">
      <w:pPr>
        <w:spacing w:after="0" w:line="240" w:lineRule="auto"/>
        <w:ind w:left="5812" w:hanging="5812"/>
        <w:rPr>
          <w:rFonts w:ascii="Times New Roman" w:eastAsia="Times New Roman" w:hAnsi="Times New Roman" w:cs="Times New Roman"/>
          <w:color w:val="000000"/>
          <w:sz w:val="24"/>
          <w:szCs w:val="24"/>
        </w:rPr>
      </w:pPr>
      <w:r>
        <w:rPr>
          <w:rFonts w:ascii="Times New Roman" w:hAnsi="Times New Roman"/>
          <w:i/>
          <w:color w:val="000000"/>
        </w:rPr>
        <w:t>[signature]                                                                   </w:t>
      </w:r>
    </w:p>
    <w:p w14:paraId="3AA55913" w14:textId="77777777" w:rsidR="00832F98" w:rsidRPr="005107DF" w:rsidRDefault="00832F98" w:rsidP="00D0198E">
      <w:pPr>
        <w:spacing w:after="0" w:line="240" w:lineRule="auto"/>
        <w:ind w:left="5812" w:hanging="5812"/>
        <w:rPr>
          <w:rFonts w:ascii="Times New Roman" w:eastAsia="Times New Roman" w:hAnsi="Times New Roman" w:cs="Times New Roman"/>
          <w:b/>
          <w:color w:val="000000"/>
          <w:sz w:val="24"/>
          <w:szCs w:val="24"/>
        </w:rPr>
      </w:pPr>
      <w:r>
        <w:rPr>
          <w:rFonts w:ascii="Times New Roman" w:hAnsi="Times New Roman"/>
          <w:i/>
          <w:color w:val="000000"/>
        </w:rPr>
        <w:t> [date]                                                                            </w:t>
      </w:r>
    </w:p>
    <w:p w14:paraId="74570EDB" w14:textId="77777777" w:rsidR="00832F98" w:rsidRPr="005107DF" w:rsidRDefault="00832F98" w:rsidP="00D0198E">
      <w:pPr>
        <w:spacing w:after="0" w:line="240" w:lineRule="auto"/>
        <w:ind w:left="5529" w:right="-760" w:hanging="5529"/>
        <w:rPr>
          <w:rFonts w:ascii="Times New Roman" w:eastAsia="Times New Roman" w:hAnsi="Times New Roman" w:cs="Times New Roman"/>
          <w:b/>
          <w:color w:val="000000"/>
          <w:sz w:val="24"/>
          <w:szCs w:val="24"/>
        </w:rPr>
      </w:pPr>
    </w:p>
    <w:p w14:paraId="4AE1E969" w14:textId="77777777" w:rsidR="00832F98" w:rsidRPr="005107DF" w:rsidRDefault="00832F98" w:rsidP="00D0198E">
      <w:pPr>
        <w:spacing w:after="0" w:line="240" w:lineRule="auto"/>
        <w:ind w:left="5529" w:right="-760" w:hanging="5529"/>
        <w:rPr>
          <w:rFonts w:ascii="Times New Roman" w:eastAsia="Times New Roman" w:hAnsi="Times New Roman" w:cs="Times New Roman"/>
          <w:b/>
          <w:color w:val="000000"/>
          <w:sz w:val="24"/>
          <w:szCs w:val="24"/>
        </w:rPr>
      </w:pPr>
    </w:p>
    <w:p w14:paraId="57C432BE" w14:textId="77777777" w:rsidR="00832F98" w:rsidRPr="005107DF" w:rsidRDefault="00832F98" w:rsidP="00D0198E">
      <w:pPr>
        <w:spacing w:after="0" w:line="240" w:lineRule="auto"/>
        <w:ind w:left="5529" w:right="-760" w:hanging="5529"/>
        <w:rPr>
          <w:rFonts w:ascii="Times New Roman" w:eastAsia="Times New Roman" w:hAnsi="Times New Roman" w:cs="Times New Roman"/>
          <w:b/>
          <w:color w:val="000000"/>
          <w:sz w:val="24"/>
          <w:szCs w:val="24"/>
        </w:rPr>
      </w:pPr>
    </w:p>
    <w:p w14:paraId="1CDB7572" w14:textId="77777777" w:rsidR="00832F98" w:rsidRPr="005107DF" w:rsidRDefault="00832F98" w:rsidP="00D0198E">
      <w:pPr>
        <w:spacing w:after="0" w:line="240" w:lineRule="auto"/>
        <w:ind w:left="5529" w:right="-760" w:hanging="5529"/>
        <w:rPr>
          <w:rFonts w:ascii="Times New Roman" w:eastAsia="Times New Roman" w:hAnsi="Times New Roman" w:cs="Times New Roman"/>
          <w:b/>
          <w:color w:val="000000"/>
          <w:sz w:val="24"/>
          <w:szCs w:val="24"/>
        </w:rPr>
      </w:pPr>
    </w:p>
    <w:p w14:paraId="2A3568C3" w14:textId="77777777" w:rsidR="00832F98" w:rsidRPr="005107DF" w:rsidRDefault="00832F98" w:rsidP="00D0198E">
      <w:pPr>
        <w:spacing w:after="0" w:line="240" w:lineRule="auto"/>
        <w:ind w:left="5529" w:right="-760" w:hanging="5529"/>
        <w:rPr>
          <w:rFonts w:ascii="Times New Roman" w:eastAsia="Times New Roman" w:hAnsi="Times New Roman" w:cs="Times New Roman"/>
          <w:b/>
          <w:color w:val="000000"/>
          <w:sz w:val="24"/>
          <w:szCs w:val="24"/>
        </w:rPr>
      </w:pPr>
    </w:p>
    <w:p w14:paraId="5E00CC37" w14:textId="77777777" w:rsidR="00832F98" w:rsidRPr="005107DF" w:rsidRDefault="00832F98" w:rsidP="00D0198E">
      <w:pPr>
        <w:spacing w:after="0" w:line="240" w:lineRule="auto"/>
        <w:ind w:left="5529" w:right="-760" w:hanging="5529"/>
        <w:rPr>
          <w:rFonts w:ascii="Times New Roman" w:eastAsia="Times New Roman" w:hAnsi="Times New Roman" w:cs="Times New Roman"/>
          <w:b/>
          <w:color w:val="000000"/>
          <w:sz w:val="24"/>
          <w:szCs w:val="24"/>
        </w:rPr>
      </w:pPr>
      <w:r>
        <w:rPr>
          <w:rFonts w:ascii="Times New Roman" w:hAnsi="Times New Roman"/>
          <w:b/>
          <w:color w:val="000000"/>
          <w:sz w:val="24"/>
        </w:rPr>
        <w:t>Pour l’administration du bénéficiaire</w:t>
      </w:r>
    </w:p>
    <w:p w14:paraId="5FA74FD7" w14:textId="77777777" w:rsidR="00832F98" w:rsidRPr="005107DF" w:rsidRDefault="00832F98" w:rsidP="00D0198E">
      <w:pPr>
        <w:spacing w:after="0" w:line="240" w:lineRule="auto"/>
        <w:ind w:left="6096" w:hanging="6096"/>
        <w:rPr>
          <w:rFonts w:ascii="Times New Roman" w:eastAsia="Times New Roman" w:hAnsi="Times New Roman" w:cs="Times New Roman"/>
          <w:i/>
          <w:color w:val="000000"/>
          <w:szCs w:val="24"/>
          <w:shd w:val="clear" w:color="auto" w:fill="FFFF00"/>
        </w:rPr>
      </w:pPr>
      <w:r>
        <w:rPr>
          <w:rFonts w:ascii="Times New Roman" w:hAnsi="Times New Roman"/>
          <w:i/>
          <w:color w:val="000000"/>
        </w:rPr>
        <w:t>[nom et titre de la / des personne(s)</w:t>
      </w:r>
    </w:p>
    <w:p w14:paraId="30AEE098" w14:textId="77777777" w:rsidR="00832F98" w:rsidRPr="005107DF" w:rsidRDefault="00832F98" w:rsidP="00D0198E">
      <w:pPr>
        <w:spacing w:after="0" w:line="240" w:lineRule="auto"/>
        <w:rPr>
          <w:rFonts w:ascii="Times New Roman" w:eastAsia="Times New Roman" w:hAnsi="Times New Roman" w:cs="Times New Roman"/>
          <w:color w:val="000000"/>
          <w:sz w:val="24"/>
          <w:szCs w:val="24"/>
        </w:rPr>
      </w:pPr>
      <w:r>
        <w:rPr>
          <w:rFonts w:ascii="Times New Roman" w:hAnsi="Times New Roman"/>
          <w:i/>
          <w:color w:val="000000"/>
        </w:rPr>
        <w:t xml:space="preserve">habilitée(s) à signer]            </w:t>
      </w:r>
      <w:r>
        <w:tab/>
      </w:r>
      <w:r>
        <w:tab/>
      </w:r>
      <w:r>
        <w:tab/>
      </w:r>
      <w:r>
        <w:tab/>
      </w:r>
    </w:p>
    <w:p w14:paraId="3FEAF9DD" w14:textId="77777777" w:rsidR="00832F98" w:rsidRPr="005107DF" w:rsidRDefault="00832F98" w:rsidP="00D0198E">
      <w:pPr>
        <w:spacing w:after="0" w:line="240" w:lineRule="auto"/>
        <w:ind w:left="6096" w:hanging="6096"/>
        <w:rPr>
          <w:rFonts w:ascii="Times New Roman" w:eastAsia="Times New Roman" w:hAnsi="Times New Roman" w:cs="Times New Roman"/>
          <w:color w:val="000000"/>
          <w:sz w:val="24"/>
          <w:szCs w:val="24"/>
        </w:rPr>
      </w:pPr>
      <w:r>
        <w:rPr>
          <w:rFonts w:ascii="Times New Roman" w:hAnsi="Times New Roman"/>
          <w:i/>
          <w:color w:val="000000"/>
        </w:rPr>
        <w:t> </w:t>
      </w:r>
    </w:p>
    <w:p w14:paraId="34807A8A" w14:textId="77777777" w:rsidR="00832F98" w:rsidRPr="005107DF" w:rsidRDefault="00832F98" w:rsidP="00D0198E">
      <w:pPr>
        <w:spacing w:after="0" w:line="240" w:lineRule="auto"/>
        <w:ind w:left="5812" w:hanging="5812"/>
        <w:rPr>
          <w:rFonts w:ascii="Times New Roman" w:eastAsia="Times New Roman" w:hAnsi="Times New Roman" w:cs="Times New Roman"/>
          <w:color w:val="000000"/>
          <w:sz w:val="24"/>
          <w:szCs w:val="24"/>
        </w:rPr>
      </w:pPr>
      <w:r>
        <w:rPr>
          <w:rFonts w:ascii="Times New Roman" w:hAnsi="Times New Roman"/>
          <w:i/>
          <w:color w:val="000000"/>
        </w:rPr>
        <w:t>[signature]                                                                   </w:t>
      </w:r>
    </w:p>
    <w:p w14:paraId="3FE9BF26" w14:textId="77777777" w:rsidR="00832F98" w:rsidRPr="005107DF" w:rsidRDefault="00832F98" w:rsidP="00D0198E">
      <w:pPr>
        <w:spacing w:after="0" w:line="240" w:lineRule="auto"/>
        <w:rPr>
          <w:rFonts w:ascii="Times New Roman" w:eastAsia="Times New Roman" w:hAnsi="Times New Roman" w:cs="Times New Roman"/>
          <w:i/>
          <w:color w:val="000000"/>
          <w:szCs w:val="24"/>
        </w:rPr>
      </w:pPr>
      <w:r>
        <w:rPr>
          <w:rFonts w:ascii="Times New Roman" w:hAnsi="Times New Roman"/>
          <w:i/>
          <w:color w:val="000000"/>
        </w:rPr>
        <w:t> [date]                   </w:t>
      </w:r>
    </w:p>
    <w:p w14:paraId="0556E56E" w14:textId="77777777" w:rsidR="00832F98" w:rsidRPr="005107DF" w:rsidRDefault="00832F98" w:rsidP="00D0198E">
      <w:pPr>
        <w:spacing w:after="0" w:line="240" w:lineRule="auto"/>
        <w:rPr>
          <w:rFonts w:ascii="Times New Roman" w:eastAsia="Times New Roman" w:hAnsi="Times New Roman" w:cs="Times New Roman"/>
          <w:i/>
          <w:color w:val="000000"/>
          <w:szCs w:val="24"/>
        </w:rPr>
      </w:pPr>
    </w:p>
    <w:p w14:paraId="71AC7185" w14:textId="77777777" w:rsidR="00832F98" w:rsidRPr="005107DF" w:rsidRDefault="00832F98" w:rsidP="00D0198E">
      <w:pPr>
        <w:spacing w:after="0" w:line="240" w:lineRule="auto"/>
        <w:rPr>
          <w:rFonts w:ascii="Times New Roman" w:eastAsia="Times New Roman" w:hAnsi="Times New Roman" w:cs="Times New Roman"/>
          <w:i/>
          <w:color w:val="000000"/>
          <w:szCs w:val="24"/>
        </w:rPr>
      </w:pPr>
    </w:p>
    <w:p w14:paraId="7F8BDCDF" w14:textId="77777777" w:rsidR="00832F98" w:rsidRPr="005107DF" w:rsidRDefault="00832F98" w:rsidP="00D0198E">
      <w:pPr>
        <w:spacing w:after="0" w:line="240" w:lineRule="auto"/>
        <w:rPr>
          <w:rFonts w:ascii="Times New Roman" w:eastAsia="Times New Roman" w:hAnsi="Times New Roman" w:cs="Times New Roman"/>
          <w:i/>
          <w:color w:val="000000"/>
          <w:szCs w:val="24"/>
        </w:rPr>
      </w:pPr>
    </w:p>
    <w:p w14:paraId="33A54409" w14:textId="77777777" w:rsidR="00832F98" w:rsidRPr="005107DF" w:rsidRDefault="00832F98" w:rsidP="00D0198E">
      <w:pPr>
        <w:spacing w:after="0" w:line="240" w:lineRule="auto"/>
        <w:rPr>
          <w:rFonts w:ascii="Times New Roman" w:eastAsia="Times New Roman" w:hAnsi="Times New Roman" w:cs="Times New Roman"/>
          <w:sz w:val="24"/>
          <w:szCs w:val="24"/>
        </w:rPr>
      </w:pPr>
      <w:r>
        <w:rPr>
          <w:rFonts w:ascii="Times New Roman" w:hAnsi="Times New Roman"/>
          <w:b/>
          <w:i/>
          <w:color w:val="000000"/>
        </w:rPr>
        <w:t>Ont adopté le budget suivant</w:t>
      </w:r>
      <w:r>
        <w:br w:type="page"/>
      </w:r>
    </w:p>
    <w:p w14:paraId="662FCBD5" w14:textId="77777777" w:rsidR="00832F98" w:rsidRPr="005107DF" w:rsidRDefault="00832F98" w:rsidP="00D0198E">
      <w:pPr>
        <w:spacing w:after="0" w:line="240" w:lineRule="auto"/>
        <w:rPr>
          <w:rFonts w:ascii="Times New Roman" w:eastAsia="Times New Roman" w:hAnsi="Times New Roman" w:cs="Times New Roman"/>
          <w:sz w:val="24"/>
          <w:szCs w:val="24"/>
        </w:rPr>
      </w:pPr>
      <w:r>
        <w:rPr>
          <w:rFonts w:ascii="Times New Roman" w:hAnsi="Times New Roman" w:cs="Times New Roman"/>
          <w:noProof/>
          <w:lang w:val="en-GB" w:eastAsia="en-GB" w:bidi="ar-SA"/>
        </w:rPr>
        <w:lastRenderedPageBreak/>
        <w:drawing>
          <wp:inline distT="0" distB="0" distL="0" distR="0" wp14:anchorId="47A4A64C" wp14:editId="128C7FC3">
            <wp:extent cx="5891917" cy="6784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5985" cy="6789055"/>
                    </a:xfrm>
                    <a:prstGeom prst="rect">
                      <a:avLst/>
                    </a:prstGeom>
                    <a:noFill/>
                    <a:ln>
                      <a:noFill/>
                    </a:ln>
                  </pic:spPr>
                </pic:pic>
              </a:graphicData>
            </a:graphic>
          </wp:inline>
        </w:drawing>
      </w:r>
      <w:r>
        <w:rPr>
          <w:rFonts w:ascii="Times New Roman" w:hAnsi="Times New Roman"/>
        </w:rPr>
        <w:t xml:space="preserve"> </w:t>
      </w:r>
    </w:p>
    <w:p w14:paraId="52AB9DEB" w14:textId="77777777" w:rsidR="00832F98" w:rsidRPr="005107DF" w:rsidRDefault="00832F98" w:rsidP="00D0198E">
      <w:pPr>
        <w:spacing w:after="0" w:line="240" w:lineRule="auto"/>
        <w:rPr>
          <w:rFonts w:ascii="Times New Roman" w:eastAsia="Times New Roman" w:hAnsi="Times New Roman" w:cs="Times New Roman"/>
          <w:sz w:val="24"/>
          <w:szCs w:val="24"/>
        </w:rPr>
      </w:pPr>
    </w:p>
    <w:p w14:paraId="1CD61DA9" w14:textId="77777777" w:rsidR="00832F98" w:rsidRPr="005107DF" w:rsidRDefault="00832F98" w:rsidP="00D0198E">
      <w:pPr>
        <w:spacing w:after="0" w:line="240" w:lineRule="auto"/>
        <w:rPr>
          <w:rFonts w:ascii="Times New Roman" w:eastAsia="Times New Roman" w:hAnsi="Times New Roman" w:cs="Times New Roman"/>
          <w:sz w:val="24"/>
          <w:szCs w:val="24"/>
        </w:rPr>
      </w:pPr>
    </w:p>
    <w:p w14:paraId="5D3C9557" w14:textId="77777777" w:rsidR="00832F98" w:rsidRPr="005107DF" w:rsidRDefault="00832F98" w:rsidP="00D0198E">
      <w:pPr>
        <w:spacing w:after="0" w:line="240" w:lineRule="auto"/>
        <w:rPr>
          <w:rFonts w:ascii="Times New Roman" w:eastAsia="Times New Roman" w:hAnsi="Times New Roman" w:cs="Times New Roman"/>
          <w:sz w:val="24"/>
          <w:szCs w:val="24"/>
        </w:rPr>
      </w:pPr>
      <w:r>
        <w:rPr>
          <w:rFonts w:ascii="Times New Roman" w:hAnsi="Times New Roman" w:cs="Times New Roman"/>
          <w:noProof/>
          <w:lang w:val="en-GB" w:eastAsia="en-GB" w:bidi="ar-SA"/>
        </w:rPr>
        <w:lastRenderedPageBreak/>
        <w:drawing>
          <wp:inline distT="0" distB="0" distL="0" distR="0" wp14:anchorId="330E20A0" wp14:editId="40066A39">
            <wp:extent cx="5876014" cy="5687683"/>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74479" cy="5686197"/>
                    </a:xfrm>
                    <a:prstGeom prst="rect">
                      <a:avLst/>
                    </a:prstGeom>
                    <a:noFill/>
                    <a:ln>
                      <a:noFill/>
                    </a:ln>
                  </pic:spPr>
                </pic:pic>
              </a:graphicData>
            </a:graphic>
          </wp:inline>
        </w:drawing>
      </w:r>
    </w:p>
    <w:p w14:paraId="783A063D" w14:textId="7EF63D20" w:rsidR="00832F98" w:rsidRDefault="00832F98" w:rsidP="00D0198E">
      <w:pPr>
        <w:spacing w:after="0" w:line="240" w:lineRule="auto"/>
        <w:rPr>
          <w:rFonts w:ascii="Times New Roman" w:eastAsia="Times New Roman" w:hAnsi="Times New Roman" w:cs="Times New Roman"/>
          <w:sz w:val="24"/>
          <w:szCs w:val="24"/>
        </w:rPr>
      </w:pPr>
      <w:r>
        <w:rPr>
          <w:rFonts w:ascii="Times New Roman" w:hAnsi="Times New Roman" w:cs="Times New Roman"/>
          <w:noProof/>
          <w:lang w:val="en-GB" w:eastAsia="en-GB" w:bidi="ar-SA"/>
        </w:rPr>
        <w:lastRenderedPageBreak/>
        <w:drawing>
          <wp:inline distT="0" distB="0" distL="0" distR="0" wp14:anchorId="5125ED37" wp14:editId="370A2F06">
            <wp:extent cx="5357342" cy="360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3428" cy="3604540"/>
                    </a:xfrm>
                    <a:prstGeom prst="rect">
                      <a:avLst/>
                    </a:prstGeom>
                    <a:noFill/>
                    <a:ln>
                      <a:noFill/>
                    </a:ln>
                  </pic:spPr>
                </pic:pic>
              </a:graphicData>
            </a:graphic>
          </wp:inline>
        </w:drawing>
      </w:r>
    </w:p>
    <w:p w14:paraId="7D5DA592" w14:textId="7AF6D722" w:rsidR="00CC3DFC" w:rsidRPr="005107DF" w:rsidRDefault="00CC3DFC" w:rsidP="00CC3D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50E57FB"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893" w:name="_Toc517434464"/>
      <w:bookmarkStart w:id="894" w:name="_Toc2861027"/>
      <w:bookmarkStart w:id="895" w:name="_Ref33607571"/>
      <w:r>
        <w:rPr>
          <w:sz w:val="32"/>
        </w:rPr>
        <w:lastRenderedPageBreak/>
        <w:t>ANNEXE A4: Passation de marchés par les bénéficiaires de subventions</w:t>
      </w:r>
      <w:bookmarkEnd w:id="893"/>
      <w:bookmarkEnd w:id="894"/>
      <w:r>
        <w:rPr>
          <w:sz w:val="32"/>
        </w:rPr>
        <w:t xml:space="preserve"> </w:t>
      </w:r>
    </w:p>
    <w:p w14:paraId="725221E8" w14:textId="77777777" w:rsidR="00832F98" w:rsidRPr="00F0650C" w:rsidRDefault="00832F98" w:rsidP="00F0650C">
      <w:pPr>
        <w:numPr>
          <w:ilvl w:val="0"/>
          <w:numId w:val="154"/>
        </w:numPr>
        <w:spacing w:after="240" w:line="240" w:lineRule="auto"/>
        <w:ind w:left="482" w:hanging="482"/>
        <w:jc w:val="both"/>
        <w:outlineLvl w:val="0"/>
        <w:rPr>
          <w:rFonts w:ascii="Times New Roman" w:eastAsia="Times New Roman" w:hAnsi="Times New Roman" w:cs="Times New Roman"/>
          <w:b/>
          <w:smallCaps/>
          <w:snapToGrid w:val="0"/>
          <w:kern w:val="28"/>
          <w:sz w:val="24"/>
          <w:szCs w:val="24"/>
        </w:rPr>
      </w:pPr>
      <w:bookmarkStart w:id="896" w:name="_Toc2861028"/>
      <w:bookmarkStart w:id="897" w:name="_Ref41360266"/>
      <w:bookmarkStart w:id="898" w:name="_Ref33501318"/>
      <w:bookmarkEnd w:id="895"/>
      <w:r>
        <w:rPr>
          <w:rFonts w:ascii="Times New Roman" w:hAnsi="Times New Roman"/>
          <w:b/>
          <w:smallCaps/>
          <w:snapToGrid w:val="0"/>
          <w:kern w:val="28"/>
          <w:sz w:val="24"/>
        </w:rPr>
        <w:t>Principes</w:t>
      </w:r>
      <w:bookmarkEnd w:id="896"/>
    </w:p>
    <w:p w14:paraId="53EBA66F" w14:textId="77777777" w:rsidR="00832F98" w:rsidRPr="00F0650C" w:rsidRDefault="00832F98" w:rsidP="00F0650C">
      <w:pPr>
        <w:spacing w:after="240" w:line="240" w:lineRule="auto"/>
        <w:jc w:val="both"/>
        <w:rPr>
          <w:rFonts w:ascii="Times New Roman" w:eastAsia="Times New Roman" w:hAnsi="Times New Roman" w:cs="Times New Roman"/>
          <w:snapToGrid w:val="0"/>
        </w:rPr>
      </w:pPr>
      <w:r>
        <w:rPr>
          <w:rFonts w:ascii="Times New Roman" w:hAnsi="Times New Roman"/>
          <w:snapToGrid w:val="0"/>
        </w:rPr>
        <w:t>Lorsque la mise en œuvre d’une action nécessite la passation de marchés par le(s) bénéficiaire(s), celui-ci (ceux-ci) attribue(nt) le marché à l’offre économiquement la plus avantageuse, c’est-à-dire celle qui présente le meilleur rapport entre la qualité et le prix ou, dans certains cas, à l'offre la moins-disante. Les contrats doivent éviter tout conflit d’intérêts et doivent respecter les principes de base suivants:</w:t>
      </w:r>
    </w:p>
    <w:p w14:paraId="125CD28F" w14:textId="77777777" w:rsidR="00832F98" w:rsidRPr="00F0650C" w:rsidRDefault="00832F98" w:rsidP="00F0650C">
      <w:pPr>
        <w:spacing w:after="240" w:line="240" w:lineRule="auto"/>
        <w:ind w:left="284"/>
        <w:jc w:val="both"/>
        <w:rPr>
          <w:rFonts w:ascii="Times New Roman" w:eastAsia="Times New Roman" w:hAnsi="Times New Roman" w:cs="Times New Roman"/>
          <w:snapToGrid w:val="0"/>
        </w:rPr>
      </w:pPr>
      <w:r>
        <w:rPr>
          <w:rFonts w:ascii="Times New Roman" w:hAnsi="Times New Roman"/>
          <w:snapToGrid w:val="0"/>
        </w:rPr>
        <w:t>Lorsque le bénéficiaire ne lance pas d’appel d’offres ouvert, il doit justifier le choix des soumissionnaires invités à soumettre une offre.</w:t>
      </w:r>
    </w:p>
    <w:p w14:paraId="0E067073" w14:textId="77777777" w:rsidR="00832F98" w:rsidRPr="00F0650C" w:rsidRDefault="00832F98" w:rsidP="00F0650C">
      <w:pPr>
        <w:spacing w:after="240" w:line="240" w:lineRule="auto"/>
        <w:ind w:left="284"/>
        <w:jc w:val="both"/>
        <w:rPr>
          <w:rFonts w:ascii="Times New Roman" w:eastAsia="Times New Roman" w:hAnsi="Times New Roman" w:cs="Times New Roman"/>
          <w:snapToGrid w:val="0"/>
        </w:rPr>
      </w:pPr>
      <w:r>
        <w:rPr>
          <w:rFonts w:ascii="Times New Roman" w:hAnsi="Times New Roman"/>
          <w:snapToGrid w:val="0"/>
        </w:rPr>
        <w:t>Le bénéficiaire évalue les offres reçues en fonction de critères objectifs, qui permettent de mesurer la qualité des offres et qui tiennent compte du prix (le score le plus haut est attribué à l’offre la moins chère pour le critère de prix).</w:t>
      </w:r>
    </w:p>
    <w:p w14:paraId="28149D9B" w14:textId="77777777" w:rsidR="00832F98" w:rsidRPr="00F0650C" w:rsidRDefault="00832F98" w:rsidP="00F0650C">
      <w:pPr>
        <w:spacing w:after="240" w:line="240" w:lineRule="auto"/>
        <w:ind w:left="284"/>
        <w:jc w:val="both"/>
        <w:rPr>
          <w:rFonts w:ascii="Times New Roman" w:eastAsia="Times New Roman" w:hAnsi="Times New Roman" w:cs="Times New Roman"/>
          <w:snapToGrid w:val="0"/>
        </w:rPr>
      </w:pPr>
      <w:r>
        <w:rPr>
          <w:rFonts w:ascii="Times New Roman" w:hAnsi="Times New Roman"/>
          <w:snapToGrid w:val="0"/>
        </w:rPr>
        <w:t>Le bénéficiaire conserve une documentation suffisante et appropriée en ce qui concerne les procédures appliquées, laquelle justifie la décision relative à la présélection des soumissionnaires (lorsqu’une procédure d’appel d’offres ouverte n’est pas utilisée) et la décision d’attribution.</w:t>
      </w:r>
    </w:p>
    <w:p w14:paraId="39EF1522" w14:textId="77777777" w:rsidR="00832F98" w:rsidRPr="00F0650C" w:rsidRDefault="00832F98" w:rsidP="00F0650C">
      <w:pPr>
        <w:spacing w:after="240" w:line="240" w:lineRule="auto"/>
        <w:ind w:left="284"/>
        <w:jc w:val="both"/>
        <w:rPr>
          <w:rFonts w:ascii="Times New Roman" w:eastAsia="Times New Roman" w:hAnsi="Times New Roman" w:cs="Times New Roman"/>
          <w:snapToGrid w:val="0"/>
        </w:rPr>
      </w:pPr>
      <w:r>
        <w:rPr>
          <w:rFonts w:ascii="Times New Roman" w:hAnsi="Times New Roman"/>
          <w:snapToGrid w:val="0"/>
        </w:rPr>
        <w:t xml:space="preserve">Conformément à la section 2.4 du Guide pratique des procédures contractuelles applicables à l’action extérieure de l’UE (PRAG), le bénéficiaire </w:t>
      </w:r>
      <w:r>
        <w:rPr>
          <w:rFonts w:ascii="Times New Roman" w:hAnsi="Times New Roman"/>
          <w:snapToGrid w:val="0"/>
          <w:sz w:val="24"/>
        </w:rPr>
        <w:t>est responsable du respect des mesures restrictives de l’UE pour l’attribution des contrats.</w:t>
      </w:r>
    </w:p>
    <w:p w14:paraId="240A7A51" w14:textId="77777777" w:rsidR="00832F98" w:rsidRPr="00F0650C" w:rsidRDefault="00832F98" w:rsidP="00F0650C">
      <w:pPr>
        <w:spacing w:after="240" w:line="240" w:lineRule="auto"/>
        <w:jc w:val="both"/>
        <w:rPr>
          <w:rFonts w:ascii="Times New Roman" w:eastAsia="Times New Roman" w:hAnsi="Times New Roman" w:cs="Times New Roman"/>
          <w:snapToGrid w:val="0"/>
        </w:rPr>
      </w:pPr>
      <w:r>
        <w:rPr>
          <w:rFonts w:ascii="Times New Roman" w:hAnsi="Times New Roman"/>
          <w:snapToGrid w:val="0"/>
        </w:rPr>
        <w:t xml:space="preserve">Le bénéficiaire peut décider d’appliquer les procédures de passation de marché prévues dans le PRAG. Si ces procédures sont correctement suivies, les principes ci-dessus seront considérés comme respectés. </w:t>
      </w:r>
    </w:p>
    <w:p w14:paraId="41033B69" w14:textId="77777777" w:rsidR="00832F98" w:rsidRPr="00F0650C" w:rsidRDefault="00832F98" w:rsidP="00F0650C">
      <w:pPr>
        <w:spacing w:after="240" w:line="240" w:lineRule="auto"/>
        <w:jc w:val="both"/>
        <w:rPr>
          <w:rFonts w:ascii="Times New Roman" w:eastAsia="Times New Roman" w:hAnsi="Times New Roman" w:cs="Times New Roman"/>
          <w:snapToGrid w:val="0"/>
        </w:rPr>
      </w:pPr>
      <w:r>
        <w:rPr>
          <w:rFonts w:ascii="Times New Roman" w:hAnsi="Times New Roman"/>
          <w:snapToGrid w:val="0"/>
        </w:rPr>
        <w:t>La Commission européenne exerce un contrôle ex post sur le respect des principes précités et des dispositions de la section 2 ci-dessous par le(s) bénéficiaire(s). En cas de non-respect de ces principes ou règles, les dépenses concernées sont inéligibles au financement de l’UE/du FED.</w:t>
      </w:r>
    </w:p>
    <w:p w14:paraId="340AF7A6" w14:textId="77777777" w:rsidR="00832F98" w:rsidRDefault="00832F98" w:rsidP="00F0650C">
      <w:pPr>
        <w:spacing w:after="240" w:line="240" w:lineRule="auto"/>
        <w:jc w:val="both"/>
        <w:rPr>
          <w:rFonts w:ascii="Times New Roman" w:eastAsia="Times New Roman" w:hAnsi="Times New Roman" w:cs="Times New Roman"/>
          <w:snapToGrid w:val="0"/>
        </w:rPr>
      </w:pPr>
      <w:r>
        <w:rPr>
          <w:rFonts w:ascii="Times New Roman" w:hAnsi="Times New Roman"/>
          <w:snapToGrid w:val="0"/>
        </w:rPr>
        <w:t xml:space="preserve">Les dispositions de la présente annexe s’appliquent mutatis mutandis aux marchés à conclure par le(s) partenaire(s) du/des bénéficiaire(s). </w:t>
      </w:r>
    </w:p>
    <w:p w14:paraId="23CB603E" w14:textId="77777777" w:rsidR="00832F98" w:rsidRPr="00F0650C" w:rsidRDefault="00832F98" w:rsidP="00F0650C">
      <w:pPr>
        <w:spacing w:after="240" w:line="240" w:lineRule="auto"/>
        <w:jc w:val="both"/>
        <w:rPr>
          <w:rFonts w:ascii="Times New Roman" w:eastAsia="Times New Roman" w:hAnsi="Times New Roman" w:cs="Times New Roman"/>
          <w:snapToGrid w:val="0"/>
        </w:rPr>
      </w:pPr>
    </w:p>
    <w:p w14:paraId="4C37E232" w14:textId="77777777" w:rsidR="00832F98" w:rsidRPr="00F0650C" w:rsidRDefault="00832F98" w:rsidP="00F0650C">
      <w:pPr>
        <w:numPr>
          <w:ilvl w:val="0"/>
          <w:numId w:val="154"/>
        </w:numPr>
        <w:spacing w:after="240" w:line="240" w:lineRule="auto"/>
        <w:ind w:left="482" w:hanging="482"/>
        <w:jc w:val="both"/>
        <w:outlineLvl w:val="0"/>
        <w:rPr>
          <w:rFonts w:ascii="Times New Roman" w:eastAsia="Times New Roman" w:hAnsi="Times New Roman" w:cs="Times New Roman"/>
          <w:b/>
          <w:smallCaps/>
          <w:snapToGrid w:val="0"/>
          <w:kern w:val="28"/>
          <w:sz w:val="24"/>
          <w:szCs w:val="24"/>
        </w:rPr>
      </w:pPr>
      <w:bookmarkStart w:id="899" w:name="_Toc2861029"/>
      <w:r>
        <w:rPr>
          <w:rFonts w:ascii="Times New Roman" w:hAnsi="Times New Roman"/>
          <w:b/>
          <w:smallCaps/>
          <w:snapToGrid w:val="0"/>
          <w:kern w:val="28"/>
          <w:sz w:val="24"/>
        </w:rPr>
        <w:t>Admissibilité aux marchés</w:t>
      </w:r>
      <w:bookmarkEnd w:id="899"/>
    </w:p>
    <w:p w14:paraId="16ED706F" w14:textId="77777777" w:rsidR="00832F98" w:rsidRPr="00F0650C" w:rsidRDefault="00832F98" w:rsidP="00F0650C">
      <w:pPr>
        <w:keepNext/>
        <w:numPr>
          <w:ilvl w:val="1"/>
          <w:numId w:val="0"/>
        </w:numPr>
        <w:tabs>
          <w:tab w:val="left" w:pos="567"/>
        </w:tabs>
        <w:spacing w:after="240" w:line="240" w:lineRule="auto"/>
        <w:ind w:left="567" w:hanging="567"/>
        <w:jc w:val="both"/>
        <w:outlineLvl w:val="1"/>
        <w:rPr>
          <w:rFonts w:ascii="Times New Roman" w:eastAsia="Times New Roman" w:hAnsi="Times New Roman" w:cs="Times New Roman"/>
          <w:b/>
          <w:snapToGrid w:val="0"/>
          <w:sz w:val="24"/>
          <w:szCs w:val="20"/>
        </w:rPr>
      </w:pPr>
      <w:bookmarkStart w:id="900" w:name="_Toc2861030"/>
      <w:r>
        <w:rPr>
          <w:rFonts w:ascii="Times New Roman" w:hAnsi="Times New Roman"/>
          <w:b/>
          <w:snapToGrid w:val="0"/>
          <w:sz w:val="24"/>
        </w:rPr>
        <w:t>Règle de nationalité</w:t>
      </w:r>
      <w:bookmarkEnd w:id="900"/>
    </w:p>
    <w:p w14:paraId="2DFF04C1" w14:textId="77777777" w:rsidR="00832F98" w:rsidRPr="00F0650C" w:rsidRDefault="00832F98"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Pr>
          <w:rFonts w:ascii="Times New Roman" w:hAnsi="Times New Roman"/>
          <w:snapToGrid w:val="0"/>
          <w:sz w:val="24"/>
        </w:rPr>
        <w:t>La participation aux procédures d’appels d’offres gérées par le(s) bénéficiaire(s) est ouverte à égalité de conditions à toutes les personnes physiques ressortissantes de et aux personnes morales effectivement établies dans un État membre ou un pays, territoire ou région expressément éligibles au titre du règlement/de l’acte de base applicable régissant les règles d’éligibilité à la subvention, conformément à l’annexe A2 du PRAG. Les soumissionnaires doivent indiquer leur nationalité dans leur offre et présenter les preuves habituelles en la matière selon leur législation nationale.</w:t>
      </w:r>
    </w:p>
    <w:p w14:paraId="02CFA71B" w14:textId="1BE3528C" w:rsidR="00832F98" w:rsidRPr="00F0650C" w:rsidRDefault="00832F98" w:rsidP="00DB0220">
      <w:pPr>
        <w:tabs>
          <w:tab w:val="left" w:pos="2161"/>
        </w:tabs>
        <w:spacing w:after="240" w:line="240" w:lineRule="auto"/>
        <w:ind w:left="1077"/>
        <w:jc w:val="both"/>
        <w:rPr>
          <w:rFonts w:ascii="Times New Roman" w:eastAsia="Times New Roman" w:hAnsi="Times New Roman" w:cs="Times New Roman"/>
          <w:snapToGrid w:val="0"/>
          <w:sz w:val="24"/>
          <w:szCs w:val="20"/>
        </w:rPr>
      </w:pPr>
      <w:r>
        <w:rPr>
          <w:rFonts w:ascii="Times New Roman" w:hAnsi="Times New Roman"/>
          <w:snapToGrid w:val="0"/>
          <w:sz w:val="24"/>
        </w:rPr>
        <w:t xml:space="preserve">Cette règle ne s’applique pas aux experts proposés dans le cadre des offres de services financées par la subvention. </w:t>
      </w:r>
    </w:p>
    <w:p w14:paraId="734A754C" w14:textId="77777777" w:rsidR="00832F98" w:rsidRPr="00F0650C" w:rsidRDefault="00832F98" w:rsidP="00F0650C">
      <w:pPr>
        <w:numPr>
          <w:ilvl w:val="1"/>
          <w:numId w:val="0"/>
        </w:numPr>
        <w:tabs>
          <w:tab w:val="left" w:pos="567"/>
        </w:tabs>
        <w:spacing w:after="240" w:line="240" w:lineRule="auto"/>
        <w:ind w:left="567" w:hanging="567"/>
        <w:jc w:val="both"/>
        <w:outlineLvl w:val="1"/>
        <w:rPr>
          <w:rFonts w:ascii="Times New Roman" w:eastAsia="Times New Roman" w:hAnsi="Times New Roman" w:cs="Times New Roman"/>
          <w:b/>
          <w:snapToGrid w:val="0"/>
          <w:sz w:val="24"/>
          <w:szCs w:val="20"/>
        </w:rPr>
      </w:pPr>
      <w:bookmarkStart w:id="901" w:name="_Toc2861031"/>
      <w:r>
        <w:rPr>
          <w:rFonts w:ascii="Times New Roman" w:hAnsi="Times New Roman"/>
          <w:b/>
          <w:snapToGrid w:val="0"/>
          <w:sz w:val="24"/>
        </w:rPr>
        <w:lastRenderedPageBreak/>
        <w:t>Règle d’origine</w:t>
      </w:r>
      <w:bookmarkEnd w:id="901"/>
    </w:p>
    <w:p w14:paraId="0A82D130" w14:textId="77777777" w:rsidR="00832F98" w:rsidRPr="00F0650C" w:rsidRDefault="00832F98"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Pr>
          <w:rFonts w:ascii="Times New Roman" w:hAnsi="Times New Roman"/>
          <w:snapToGrid w:val="0"/>
          <w:sz w:val="24"/>
        </w:rPr>
        <w:t>Si l’acte de base ou les autres instruments applicables au programme au titre duquel la subvention est financée contiennent des règles d’origine pour les fournitures acquises par le bénéficiaire dans le cadre de la subvention</w:t>
      </w:r>
      <w:r>
        <w:rPr>
          <w:rFonts w:ascii="Times New Roman" w:hAnsi="Times New Roman"/>
          <w:snapToGrid w:val="0"/>
          <w:vertAlign w:val="superscript"/>
        </w:rPr>
        <w:footnoteReference w:id="37"/>
      </w:r>
      <w:r>
        <w:rPr>
          <w:rFonts w:ascii="Times New Roman" w:hAnsi="Times New Roman"/>
          <w:snapToGrid w:val="0"/>
          <w:sz w:val="24"/>
        </w:rPr>
        <w:t>, le soumissionnaire sera tenu de déclarer l’origine</w:t>
      </w:r>
      <w:r>
        <w:rPr>
          <w:rFonts w:ascii="Times New Roman" w:hAnsi="Times New Roman"/>
          <w:snapToGrid w:val="0"/>
          <w:vertAlign w:val="superscript"/>
        </w:rPr>
        <w:footnoteReference w:id="38"/>
      </w:r>
      <w:r>
        <w:rPr>
          <w:rFonts w:ascii="Times New Roman" w:hAnsi="Times New Roman"/>
          <w:snapToGrid w:val="0"/>
          <w:sz w:val="24"/>
        </w:rPr>
        <w:t xml:space="preserve"> des fournitures et le contractant retenu devra toujours prouver cette origine. </w:t>
      </w:r>
    </w:p>
    <w:p w14:paraId="579FCA1F" w14:textId="77777777" w:rsidR="00832F98" w:rsidRPr="00F0650C" w:rsidRDefault="00832F98"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Pr>
          <w:rFonts w:ascii="Times New Roman" w:hAnsi="Times New Roman"/>
          <w:snapToGrid w:val="0"/>
        </w:rPr>
        <w:t xml:space="preserve">Pour les équipements et les véhicules dont le coût unitaire à l’achat est supérieur à 5 000 EUR, les contractants doivent présenter une preuve de l’origine aux bénéficiaires au plus tard au moment de la présentation de la première facture. </w:t>
      </w:r>
      <w:r>
        <w:rPr>
          <w:rFonts w:ascii="Times New Roman" w:hAnsi="Times New Roman"/>
          <w:snapToGrid w:val="0"/>
          <w:sz w:val="24"/>
        </w:rPr>
        <w:t>Le certificat d’origine doit être établi par les autorités compétentes du pays d’origine des fournitures et doit satisfaire aux règles fixées par la législation applicable de l’Union</w:t>
      </w:r>
      <w:r>
        <w:rPr>
          <w:rFonts w:ascii="Times New Roman" w:hAnsi="Times New Roman"/>
          <w:snapToGrid w:val="0"/>
        </w:rPr>
        <w:t>.</w:t>
      </w:r>
      <w:r>
        <w:rPr>
          <w:rFonts w:ascii="Times New Roman" w:hAnsi="Times New Roman"/>
          <w:snapToGrid w:val="0"/>
          <w:sz w:val="24"/>
        </w:rPr>
        <w:t xml:space="preserve"> Le manquement à cette condition peut aboutir à la résiliation du contrat et/ou à la suspension des paiements. </w:t>
      </w:r>
    </w:p>
    <w:p w14:paraId="2819DD22" w14:textId="77777777" w:rsidR="00832F98" w:rsidRPr="00F0650C" w:rsidRDefault="00832F98"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Pr>
          <w:rFonts w:ascii="Times New Roman" w:hAnsi="Times New Roman"/>
          <w:snapToGrid w:val="0"/>
          <w:sz w:val="24"/>
        </w:rPr>
        <w:t>Dans le cas où les fournitures peuvent être originaires de n’importe quel pays, aucun certificat d’origine ne doit être présenté.</w:t>
      </w:r>
    </w:p>
    <w:p w14:paraId="03451AFA" w14:textId="77777777" w:rsidR="00832F98" w:rsidRPr="00F0650C" w:rsidRDefault="00832F98"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p>
    <w:p w14:paraId="0D289016" w14:textId="77777777" w:rsidR="00832F98" w:rsidRPr="00F0650C" w:rsidRDefault="00832F98" w:rsidP="00F0650C">
      <w:pPr>
        <w:keepNext/>
        <w:numPr>
          <w:ilvl w:val="1"/>
          <w:numId w:val="0"/>
        </w:numPr>
        <w:tabs>
          <w:tab w:val="left" w:pos="567"/>
        </w:tabs>
        <w:spacing w:after="240" w:line="240" w:lineRule="auto"/>
        <w:ind w:left="567" w:hanging="567"/>
        <w:jc w:val="both"/>
        <w:outlineLvl w:val="1"/>
        <w:rPr>
          <w:rFonts w:ascii="Times New Roman" w:eastAsia="Times New Roman" w:hAnsi="Times New Roman" w:cs="Times New Roman"/>
          <w:b/>
          <w:snapToGrid w:val="0"/>
          <w:sz w:val="24"/>
          <w:szCs w:val="20"/>
        </w:rPr>
      </w:pPr>
      <w:bookmarkStart w:id="902" w:name="_Toc2861032"/>
      <w:r>
        <w:rPr>
          <w:rFonts w:ascii="Times New Roman" w:hAnsi="Times New Roman"/>
          <w:b/>
          <w:snapToGrid w:val="0"/>
          <w:sz w:val="24"/>
        </w:rPr>
        <w:t>Exceptions aux règles de nationalité et d’origine</w:t>
      </w:r>
      <w:bookmarkEnd w:id="902"/>
    </w:p>
    <w:p w14:paraId="682C565D" w14:textId="77777777" w:rsidR="00832F98" w:rsidRPr="00F0650C" w:rsidRDefault="00832F98"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Pr>
          <w:rFonts w:ascii="Times New Roman" w:hAnsi="Times New Roman"/>
          <w:snapToGrid w:val="0"/>
          <w:sz w:val="24"/>
        </w:rPr>
        <w:t>Lorsqu’il y a lieu d’appliquer un accord relatif à l’ouverture des marchés de biens, de travaux ou de services, l’accès doit également être accordé aux ressortissants et aux biens de pays tiers selon les conditions fixées par cet accord.</w:t>
      </w:r>
    </w:p>
    <w:p w14:paraId="07FA0B5D" w14:textId="77777777" w:rsidR="00832F98" w:rsidRPr="00F0650C" w:rsidRDefault="00832F98"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Pr>
          <w:rFonts w:ascii="Times New Roman" w:hAnsi="Times New Roman"/>
          <w:snapToGrid w:val="0"/>
          <w:sz w:val="24"/>
        </w:rPr>
        <w:t xml:space="preserve">En outre, dans des cas exceptionnels dûment justifiés et prévus par les règlements applicables, afin de donner accès à des ressortissants ou à des biens provenant de pays autres que ceux visés aux sections 2.1 et 2.2, une autorisation préalable doit être obtenue auprès de la Commission européenne avant le lancement de la procédure, sauf si l’action a lieu dans un pays relevant d’une déclaration de crise; </w:t>
      </w:r>
    </w:p>
    <w:bookmarkEnd w:id="897"/>
    <w:bookmarkEnd w:id="898"/>
    <w:p w14:paraId="1E92B452" w14:textId="77777777" w:rsidR="00832F98" w:rsidRPr="005107DF" w:rsidRDefault="00832F98" w:rsidP="00D0198E">
      <w:pPr>
        <w:pStyle w:val="Text2"/>
      </w:pPr>
    </w:p>
    <w:p w14:paraId="7D1C76D7" w14:textId="77777777" w:rsidR="00832F98" w:rsidRPr="005107DF" w:rsidRDefault="00832F98" w:rsidP="00D0198E">
      <w:pPr>
        <w:pStyle w:val="Text2"/>
        <w:ind w:left="0"/>
      </w:pPr>
    </w:p>
    <w:p w14:paraId="48081A21" w14:textId="77777777" w:rsidR="00832F98" w:rsidRPr="005107DF" w:rsidRDefault="00832F98">
      <w:pPr>
        <w:rPr>
          <w:rFonts w:ascii="Times New Roman" w:hAnsi="Times New Roman" w:cs="Times New Roman"/>
        </w:rPr>
      </w:pPr>
      <w:r>
        <w:br w:type="page"/>
      </w:r>
    </w:p>
    <w:p w14:paraId="79DF3FEC"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903" w:name="_Toc517434465"/>
      <w:bookmarkStart w:id="904" w:name="_Toc2861033"/>
      <w:r>
        <w:rPr>
          <w:sz w:val="32"/>
        </w:rPr>
        <w:lastRenderedPageBreak/>
        <w:t>ANNEXE A5: Demande de paiement pour le contrat de subvention de jumelage, y compris le signalétique financier et la fiche «signalétique entité légale»</w:t>
      </w:r>
      <w:bookmarkEnd w:id="903"/>
      <w:bookmarkEnd w:id="904"/>
      <w:r>
        <w:rPr>
          <w:sz w:val="32"/>
        </w:rPr>
        <w:t xml:space="preserve"> </w:t>
      </w:r>
    </w:p>
    <w:p w14:paraId="04A43C12" w14:textId="77777777" w:rsidR="00832F98" w:rsidRPr="005107DF" w:rsidRDefault="00832F98" w:rsidP="007338F0">
      <w:pPr>
        <w:spacing w:after="0" w:line="240" w:lineRule="auto"/>
        <w:jc w:val="right"/>
        <w:rPr>
          <w:rFonts w:ascii="Times New Roman" w:eastAsia="Times New Roman" w:hAnsi="Times New Roman" w:cs="Times New Roman"/>
          <w:color w:val="000000"/>
          <w:sz w:val="24"/>
          <w:szCs w:val="24"/>
        </w:rPr>
      </w:pPr>
      <w:r>
        <w:tab/>
      </w:r>
      <w:r>
        <w:tab/>
      </w:r>
      <w:r>
        <w:tab/>
      </w:r>
      <w:r>
        <w:tab/>
      </w:r>
      <w:r>
        <w:tab/>
      </w:r>
      <w:r>
        <w:tab/>
      </w:r>
      <w:r>
        <w:tab/>
      </w:r>
      <w:r>
        <w:tab/>
      </w:r>
      <w:r>
        <w:rPr>
          <w:rFonts w:ascii="Times New Roman" w:hAnsi="Times New Roman"/>
          <w:color w:val="000000"/>
          <w:sz w:val="24"/>
        </w:rPr>
        <w:t>[</w:t>
      </w:r>
      <w:r>
        <w:rPr>
          <w:rFonts w:ascii="Times New Roman" w:hAnsi="Times New Roman"/>
          <w:i/>
          <w:color w:val="000000"/>
          <w:sz w:val="24"/>
        </w:rPr>
        <w:t>Date de demande de paiement</w:t>
      </w:r>
      <w:r>
        <w:rPr>
          <w:rFonts w:ascii="Times New Roman" w:hAnsi="Times New Roman"/>
          <w:color w:val="000000"/>
          <w:sz w:val="24"/>
        </w:rPr>
        <w:t>]</w:t>
      </w:r>
    </w:p>
    <w:p w14:paraId="2BA1316B" w14:textId="77777777" w:rsidR="00832F98" w:rsidRPr="005107DF" w:rsidRDefault="00832F98" w:rsidP="007338F0">
      <w:pPr>
        <w:spacing w:after="0" w:line="240" w:lineRule="auto"/>
        <w:jc w:val="right"/>
        <w:rPr>
          <w:rFonts w:ascii="Times New Roman" w:eastAsia="Times New Roman" w:hAnsi="Times New Roman" w:cs="Times New Roman"/>
          <w:color w:val="000000"/>
          <w:sz w:val="24"/>
          <w:szCs w:val="24"/>
        </w:rPr>
      </w:pPr>
    </w:p>
    <w:p w14:paraId="61F19628" w14:textId="77777777" w:rsidR="00832F98" w:rsidRPr="005107DF" w:rsidRDefault="00832F98" w:rsidP="007338F0">
      <w:pPr>
        <w:spacing w:after="0" w:line="240" w:lineRule="auto"/>
        <w:jc w:val="right"/>
        <w:rPr>
          <w:rFonts w:ascii="Times New Roman" w:eastAsia="Times New Roman" w:hAnsi="Times New Roman" w:cs="Times New Roman"/>
          <w:color w:val="000000"/>
          <w:sz w:val="24"/>
          <w:szCs w:val="24"/>
        </w:rPr>
      </w:pPr>
      <w:r>
        <w:tab/>
      </w:r>
      <w:r>
        <w:tab/>
      </w:r>
      <w:r>
        <w:tab/>
      </w:r>
      <w:r>
        <w:tab/>
      </w:r>
      <w:r>
        <w:tab/>
      </w:r>
      <w:r>
        <w:tab/>
      </w:r>
      <w:r>
        <w:tab/>
      </w:r>
      <w:r>
        <w:rPr>
          <w:rFonts w:ascii="Times New Roman" w:hAnsi="Times New Roman"/>
          <w:color w:val="000000"/>
          <w:sz w:val="24"/>
        </w:rPr>
        <w:t>À l’attention de</w:t>
      </w:r>
    </w:p>
    <w:p w14:paraId="0C1A76E5" w14:textId="77777777" w:rsidR="00832F98" w:rsidRPr="005107DF" w:rsidRDefault="00832F98" w:rsidP="007338F0">
      <w:pPr>
        <w:spacing w:after="0" w:line="240" w:lineRule="auto"/>
        <w:jc w:val="right"/>
        <w:rPr>
          <w:rFonts w:ascii="Times New Roman" w:eastAsia="Times New Roman" w:hAnsi="Times New Roman" w:cs="Times New Roman"/>
          <w:color w:val="000000"/>
          <w:sz w:val="24"/>
          <w:szCs w:val="24"/>
        </w:rPr>
      </w:pPr>
      <w:r>
        <w:tab/>
      </w:r>
      <w:r>
        <w:tab/>
      </w:r>
      <w:r>
        <w:tab/>
      </w:r>
      <w:r>
        <w:tab/>
      </w:r>
      <w:r>
        <w:tab/>
      </w:r>
      <w:r>
        <w:rPr>
          <w:rFonts w:ascii="Times New Roman" w:hAnsi="Times New Roman"/>
          <w:color w:val="000000"/>
          <w:sz w:val="24"/>
        </w:rPr>
        <w:t>[</w:t>
      </w:r>
      <w:r>
        <w:rPr>
          <w:rFonts w:ascii="Times New Roman" w:hAnsi="Times New Roman"/>
          <w:i/>
          <w:color w:val="000000"/>
          <w:sz w:val="24"/>
        </w:rPr>
        <w:t>adresse de l’administration contractante</w:t>
      </w:r>
      <w:r>
        <w:rPr>
          <w:rFonts w:ascii="Times New Roman" w:hAnsi="Times New Roman"/>
          <w:color w:val="000000"/>
          <w:sz w:val="24"/>
        </w:rPr>
        <w:t>]</w:t>
      </w:r>
    </w:p>
    <w:p w14:paraId="6E4FD40E" w14:textId="77777777" w:rsidR="00832F98" w:rsidRPr="005107DF" w:rsidRDefault="00832F98" w:rsidP="007338F0">
      <w:pPr>
        <w:spacing w:after="0" w:line="240" w:lineRule="auto"/>
        <w:jc w:val="right"/>
        <w:rPr>
          <w:rFonts w:ascii="Times New Roman" w:eastAsia="Times New Roman" w:hAnsi="Times New Roman" w:cs="Times New Roman"/>
          <w:color w:val="000000"/>
          <w:sz w:val="24"/>
          <w:szCs w:val="24"/>
        </w:rPr>
      </w:pPr>
      <w:r>
        <w:tab/>
      </w:r>
      <w:r>
        <w:rPr>
          <w:rFonts w:ascii="Times New Roman" w:hAnsi="Times New Roman"/>
          <w:color w:val="000000"/>
          <w:sz w:val="24"/>
        </w:rPr>
        <w:t>[</w:t>
      </w:r>
      <w:r>
        <w:rPr>
          <w:rFonts w:ascii="Times New Roman" w:hAnsi="Times New Roman"/>
          <w:i/>
          <w:color w:val="000000"/>
          <w:sz w:val="24"/>
        </w:rPr>
        <w:t>Unité financière indiquée dans le «contrat»</w:t>
      </w:r>
      <w:r>
        <w:rPr>
          <w:rFonts w:ascii="Times New Roman" w:hAnsi="Times New Roman"/>
          <w:color w:val="000000"/>
          <w:sz w:val="24"/>
        </w:rPr>
        <w:t>]</w:t>
      </w:r>
      <w:r>
        <w:rPr>
          <w:rFonts w:ascii="Times New Roman" w:hAnsi="Times New Roman"/>
          <w:color w:val="000000"/>
          <w:sz w:val="24"/>
          <w:vertAlign w:val="superscript"/>
        </w:rPr>
        <w:footnoteReference w:id="39"/>
      </w:r>
    </w:p>
    <w:p w14:paraId="07870504" w14:textId="77777777" w:rsidR="00832F98" w:rsidRPr="005107DF" w:rsidRDefault="00832F98" w:rsidP="00D0198E">
      <w:pPr>
        <w:spacing w:after="0" w:line="240" w:lineRule="auto"/>
        <w:rPr>
          <w:rFonts w:ascii="Times New Roman" w:eastAsia="Times New Roman" w:hAnsi="Times New Roman" w:cs="Times New Roman"/>
          <w:color w:val="000000"/>
          <w:sz w:val="24"/>
          <w:szCs w:val="24"/>
        </w:rPr>
      </w:pPr>
    </w:p>
    <w:p w14:paraId="61D81B88" w14:textId="77777777" w:rsidR="00832F98" w:rsidRPr="005107DF" w:rsidRDefault="00832F98" w:rsidP="00D0198E">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Numéro de référence du contrat de subvention de jumelage: </w:t>
      </w:r>
    </w:p>
    <w:p w14:paraId="3AA50946" w14:textId="77777777" w:rsidR="00832F98" w:rsidRPr="005107DF" w:rsidRDefault="00832F98" w:rsidP="00D0198E">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Intitulé du contrat de subvention de jumelage: </w:t>
      </w:r>
    </w:p>
    <w:p w14:paraId="6861863D" w14:textId="77777777" w:rsidR="00832F98" w:rsidRPr="005107DF" w:rsidRDefault="00832F98" w:rsidP="00D0198E">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Nom et adresse de l’État membre partenaire [principal]</w:t>
      </w:r>
      <w:r>
        <w:rPr>
          <w:rFonts w:ascii="Times New Roman" w:hAnsi="Times New Roman"/>
          <w:color w:val="000000"/>
          <w:sz w:val="24"/>
          <w:vertAlign w:val="superscript"/>
        </w:rPr>
        <w:footnoteReference w:id="40"/>
      </w:r>
      <w:r>
        <w:rPr>
          <w:rFonts w:ascii="Times New Roman" w:hAnsi="Times New Roman"/>
          <w:color w:val="000000"/>
          <w:sz w:val="24"/>
        </w:rPr>
        <w:t xml:space="preserve">: </w:t>
      </w:r>
    </w:p>
    <w:p w14:paraId="0067BAC4" w14:textId="77777777" w:rsidR="00832F98" w:rsidRPr="005107DF" w:rsidRDefault="00832F98" w:rsidP="00D0198E">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Numéro de la demande de paiement: </w:t>
      </w:r>
    </w:p>
    <w:p w14:paraId="26749432" w14:textId="77777777" w:rsidR="00832F98" w:rsidRPr="005107DF" w:rsidRDefault="00832F98" w:rsidP="00D0198E">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Période couverte par la demande de paiement: </w:t>
      </w:r>
    </w:p>
    <w:p w14:paraId="61661556" w14:textId="77777777" w:rsidR="00832F98" w:rsidRPr="005107DF" w:rsidRDefault="00832F98" w:rsidP="00D0198E">
      <w:pPr>
        <w:spacing w:after="0" w:line="240" w:lineRule="auto"/>
        <w:rPr>
          <w:rFonts w:ascii="Times New Roman" w:eastAsia="Times New Roman" w:hAnsi="Times New Roman" w:cs="Times New Roman"/>
          <w:color w:val="000000"/>
          <w:sz w:val="24"/>
          <w:szCs w:val="24"/>
        </w:rPr>
      </w:pPr>
    </w:p>
    <w:p w14:paraId="244D5DEF" w14:textId="77777777" w:rsidR="00832F98" w:rsidRPr="005107DF" w:rsidRDefault="00832F98" w:rsidP="00D0198E">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Madame, Monsieur, </w:t>
      </w:r>
    </w:p>
    <w:p w14:paraId="47195D8F" w14:textId="77777777" w:rsidR="00832F98" w:rsidRPr="005107DF" w:rsidRDefault="00832F98" w:rsidP="00D0198E">
      <w:pPr>
        <w:spacing w:after="0" w:line="240" w:lineRule="auto"/>
        <w:jc w:val="both"/>
        <w:rPr>
          <w:rFonts w:ascii="Times New Roman" w:eastAsia="Times New Roman" w:hAnsi="Times New Roman" w:cs="Times New Roman"/>
          <w:color w:val="000000"/>
          <w:sz w:val="24"/>
          <w:szCs w:val="24"/>
        </w:rPr>
      </w:pPr>
    </w:p>
    <w:p w14:paraId="33271895" w14:textId="77777777" w:rsidR="00832F98" w:rsidRPr="005107DF" w:rsidRDefault="00832F98" w:rsidP="00D0198E">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Par la présente, je sollicite le paiement &lt; [</w:t>
      </w:r>
      <w:r>
        <w:rPr>
          <w:rFonts w:ascii="Times New Roman" w:hAnsi="Times New Roman"/>
          <w:i/>
          <w:color w:val="000000"/>
          <w:sz w:val="24"/>
        </w:rPr>
        <w:t>d’un préfinancement supplémentaire/du solde</w:t>
      </w:r>
      <w:r>
        <w:rPr>
          <w:rFonts w:ascii="Times New Roman" w:hAnsi="Times New Roman"/>
          <w:color w:val="000000"/>
          <w:sz w:val="24"/>
        </w:rPr>
        <w:t xml:space="preserve">] &gt; au titre du contrat de subvention de jumelage mentionné ci-dessus. </w:t>
      </w:r>
    </w:p>
    <w:p w14:paraId="7DE6D99A" w14:textId="77777777" w:rsidR="00832F98" w:rsidRPr="005107DF" w:rsidRDefault="00832F98" w:rsidP="00D0198E">
      <w:pPr>
        <w:spacing w:after="0" w:line="240" w:lineRule="auto"/>
        <w:jc w:val="both"/>
        <w:rPr>
          <w:rFonts w:ascii="Times New Roman" w:eastAsia="Times New Roman" w:hAnsi="Times New Roman" w:cs="Times New Roman"/>
          <w:color w:val="000000"/>
          <w:sz w:val="24"/>
          <w:szCs w:val="24"/>
        </w:rPr>
      </w:pPr>
    </w:p>
    <w:p w14:paraId="008CF4B6" w14:textId="548FCD25" w:rsidR="00832F98" w:rsidRDefault="00832F98" w:rsidP="00DB0220">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montant demandé est &lt;</w:t>
      </w:r>
      <w:r>
        <w:rPr>
          <w:rFonts w:ascii="Times New Roman" w:hAnsi="Times New Roman"/>
          <w:i/>
          <w:color w:val="000000"/>
          <w:sz w:val="24"/>
        </w:rPr>
        <w:t xml:space="preserve">, tel qu’indiqué à l’article 4.1 des conditions particulières du </w:t>
      </w:r>
      <w:r>
        <w:rPr>
          <w:rFonts w:ascii="Times New Roman" w:hAnsi="Times New Roman"/>
          <w:color w:val="000000"/>
          <w:sz w:val="24"/>
        </w:rPr>
        <w:t>contrat de subvention de jumelage,</w:t>
      </w:r>
      <w:r>
        <w:rPr>
          <w:rFonts w:ascii="Times New Roman" w:hAnsi="Times New Roman"/>
          <w:i/>
          <w:color w:val="000000"/>
          <w:sz w:val="24"/>
        </w:rPr>
        <w:t>/le suivant: ...</w:t>
      </w:r>
      <w:r>
        <w:rPr>
          <w:rFonts w:ascii="Times New Roman" w:hAnsi="Times New Roman"/>
          <w:color w:val="000000"/>
          <w:sz w:val="24"/>
        </w:rPr>
        <w:t>&gt;.</w:t>
      </w:r>
    </w:p>
    <w:p w14:paraId="2BBDEEC4" w14:textId="77777777" w:rsidR="00DB0220" w:rsidRPr="00DB0220" w:rsidRDefault="00DB0220" w:rsidP="00DB0220">
      <w:pPr>
        <w:spacing w:after="0" w:line="240" w:lineRule="auto"/>
        <w:jc w:val="both"/>
        <w:rPr>
          <w:rFonts w:ascii="Times New Roman" w:eastAsia="Times New Roman" w:hAnsi="Times New Roman" w:cs="Times New Roman"/>
          <w:color w:val="000000"/>
          <w:sz w:val="24"/>
          <w:szCs w:val="24"/>
        </w:rPr>
      </w:pPr>
    </w:p>
    <w:p w14:paraId="3A94A7DC" w14:textId="77777777" w:rsidR="00832F98" w:rsidRPr="005107DF" w:rsidRDefault="00832F98" w:rsidP="00D0198E">
      <w:pPr>
        <w:widowControl w:val="0"/>
        <w:spacing w:before="120" w:after="100" w:line="240" w:lineRule="auto"/>
        <w:jc w:val="both"/>
        <w:rPr>
          <w:rFonts w:ascii="Times New Roman" w:eastAsia="Times New Roman" w:hAnsi="Times New Roman" w:cs="Times New Roman"/>
          <w:snapToGrid w:val="0"/>
        </w:rPr>
      </w:pPr>
      <w:r>
        <w:rPr>
          <w:rFonts w:ascii="Times New Roman" w:hAnsi="Times New Roman"/>
          <w:snapToGrid w:val="0"/>
        </w:rPr>
        <w:t>Les pièces justificatives jointes sont les suivantes:</w:t>
      </w:r>
    </w:p>
    <w:p w14:paraId="73F8702C" w14:textId="77777777" w:rsidR="00832F98" w:rsidRPr="005107DF" w:rsidRDefault="00832F98"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Pr>
          <w:rFonts w:ascii="Times New Roman" w:hAnsi="Times New Roman"/>
          <w:snapToGrid w:val="0"/>
        </w:rPr>
        <w:t>rapport intermédiaire technique et financier (pour le paiement d’un nouveau versement de préfinancement);</w:t>
      </w:r>
    </w:p>
    <w:p w14:paraId="1CF437B4" w14:textId="77777777" w:rsidR="00832F98" w:rsidRPr="005107DF" w:rsidRDefault="00832F98" w:rsidP="00D0198E">
      <w:pPr>
        <w:widowControl w:val="0"/>
        <w:numPr>
          <w:ilvl w:val="1"/>
          <w:numId w:val="244"/>
        </w:numPr>
        <w:spacing w:before="120" w:after="100" w:line="240" w:lineRule="auto"/>
        <w:ind w:left="567"/>
        <w:rPr>
          <w:rFonts w:ascii="Times New Roman" w:eastAsia="Times New Roman" w:hAnsi="Times New Roman" w:cs="Times New Roman"/>
          <w:snapToGrid w:val="0"/>
        </w:rPr>
      </w:pPr>
      <w:r>
        <w:rPr>
          <w:rFonts w:ascii="Times New Roman" w:hAnsi="Times New Roman"/>
          <w:snapToGrid w:val="0"/>
        </w:rPr>
        <w:t>budget prévisionnel pour la période de référence suivante (pour de nouveaux préfinancements);</w:t>
      </w:r>
    </w:p>
    <w:p w14:paraId="6009C7A2" w14:textId="77777777" w:rsidR="00832F98" w:rsidRPr="005107DF" w:rsidRDefault="00832F98"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Pr>
          <w:rFonts w:ascii="Times New Roman" w:hAnsi="Times New Roman"/>
          <w:snapToGrid w:val="0"/>
        </w:rPr>
        <w:t>rapport final technique et financier (pour le paiement final).</w:t>
      </w:r>
    </w:p>
    <w:p w14:paraId="723C8A7C" w14:textId="77777777" w:rsidR="00832F98" w:rsidRPr="005107DF" w:rsidRDefault="00832F98"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Pr>
          <w:rFonts w:ascii="Times New Roman" w:hAnsi="Times New Roman"/>
          <w:i/>
          <w:snapToGrid w:val="0"/>
          <w:color w:val="000000"/>
          <w:sz w:val="24"/>
        </w:rPr>
        <w:t>&lt;rapport de vérification des dépenses [pour le paiement du solde]&gt;</w:t>
      </w:r>
    </w:p>
    <w:p w14:paraId="1799A1D3" w14:textId="77777777" w:rsidR="00832F98" w:rsidRPr="005107DF" w:rsidRDefault="00832F98" w:rsidP="00D0198E">
      <w:pPr>
        <w:widowControl w:val="0"/>
        <w:spacing w:before="120" w:after="100" w:line="240" w:lineRule="auto"/>
        <w:jc w:val="both"/>
        <w:rPr>
          <w:rFonts w:ascii="Times New Roman" w:eastAsia="Times New Roman" w:hAnsi="Times New Roman" w:cs="Times New Roman"/>
          <w:snapToGrid w:val="0"/>
        </w:rPr>
      </w:pPr>
      <w:r>
        <w:rPr>
          <w:rFonts w:ascii="Times New Roman" w:hAnsi="Times New Roman"/>
          <w:snapToGrid w:val="0"/>
        </w:rPr>
        <w:t>Le paiement doit être effectué sur le compte bancaire suivant: &lt;indiquer le numéro de compte mentionné sur le signalétique financier annexé au contrat de subvention de jumelage</w:t>
      </w:r>
      <w:r>
        <w:rPr>
          <w:rFonts w:ascii="Times New Roman" w:hAnsi="Times New Roman"/>
          <w:snapToGrid w:val="0"/>
          <w:vertAlign w:val="superscript"/>
        </w:rPr>
        <w:footnoteReference w:id="41"/>
      </w:r>
      <w:r>
        <w:rPr>
          <w:rFonts w:ascii="Times New Roman" w:hAnsi="Times New Roman"/>
          <w:snapToGrid w:val="0"/>
        </w:rPr>
        <w:t>&gt;</w:t>
      </w:r>
    </w:p>
    <w:p w14:paraId="7BE1C8FB" w14:textId="77777777" w:rsidR="00832F98" w:rsidRPr="005107DF" w:rsidRDefault="00832F98" w:rsidP="007338F0">
      <w:pPr>
        <w:widowControl w:val="0"/>
        <w:tabs>
          <w:tab w:val="left" w:pos="9921"/>
        </w:tabs>
        <w:spacing w:before="240" w:after="100" w:line="240" w:lineRule="auto"/>
        <w:ind w:right="-2"/>
        <w:jc w:val="both"/>
        <w:rPr>
          <w:rFonts w:ascii="Times New Roman" w:eastAsia="Times New Roman" w:hAnsi="Times New Roman" w:cs="Times New Roman"/>
          <w:snapToGrid w:val="0"/>
        </w:rPr>
      </w:pPr>
      <w:r>
        <w:rPr>
          <w:rFonts w:ascii="Times New Roman" w:hAnsi="Times New Roman"/>
          <w:snapToGrid w:val="0"/>
        </w:rPr>
        <w:t>Veuillez agréer, Madame, Monsieur, l’expression de notre haute considération.</w:t>
      </w:r>
    </w:p>
    <w:p w14:paraId="1FE84144" w14:textId="77777777" w:rsidR="00832F98" w:rsidRPr="005107DF" w:rsidRDefault="00832F98" w:rsidP="00D0198E">
      <w:pPr>
        <w:widowControl w:val="0"/>
        <w:spacing w:before="240" w:after="100" w:line="240" w:lineRule="auto"/>
        <w:jc w:val="both"/>
        <w:rPr>
          <w:rFonts w:ascii="Times New Roman" w:eastAsia="Times New Roman" w:hAnsi="Times New Roman" w:cs="Times New Roman"/>
          <w:b/>
          <w:i/>
          <w:snapToGrid w:val="0"/>
        </w:rPr>
      </w:pPr>
      <w:r>
        <w:rPr>
          <w:rFonts w:ascii="Times New Roman" w:hAnsi="Times New Roman"/>
          <w:b/>
          <w:i/>
          <w:snapToGrid w:val="0"/>
        </w:rPr>
        <w:t>Déclaration sur l’honneur</w:t>
      </w:r>
    </w:p>
    <w:p w14:paraId="2C1C9FC0" w14:textId="77777777" w:rsidR="00832F98" w:rsidRPr="005107DF" w:rsidRDefault="00832F98" w:rsidP="00D0198E">
      <w:pPr>
        <w:widowControl w:val="0"/>
        <w:spacing w:before="120" w:after="100" w:line="240" w:lineRule="auto"/>
        <w:jc w:val="both"/>
        <w:rPr>
          <w:rFonts w:ascii="Times New Roman" w:eastAsia="Times New Roman" w:hAnsi="Times New Roman" w:cs="Times New Roman"/>
          <w:b/>
          <w:i/>
          <w:snapToGrid w:val="0"/>
        </w:rPr>
      </w:pPr>
      <w:r>
        <w:rPr>
          <w:rFonts w:ascii="Times New Roman" w:hAnsi="Times New Roman"/>
          <w:b/>
          <w:i/>
          <w:snapToGrid w:val="0"/>
        </w:rPr>
        <w:t xml:space="preserve">Je certifie que les informations contenues dans la présente demande de paiement sont complètes, fiables et sincères, et étayées par des pièces justificatives adéquates et vérifiables. </w:t>
      </w:r>
    </w:p>
    <w:p w14:paraId="61295E9E" w14:textId="77777777" w:rsidR="00832F98" w:rsidRPr="005107DF" w:rsidRDefault="00832F98" w:rsidP="00D0198E">
      <w:pPr>
        <w:widowControl w:val="0"/>
        <w:spacing w:before="120" w:after="100" w:line="240" w:lineRule="auto"/>
        <w:jc w:val="both"/>
        <w:rPr>
          <w:rFonts w:ascii="Times New Roman" w:eastAsia="Times New Roman" w:hAnsi="Times New Roman" w:cs="Times New Roman"/>
          <w:b/>
          <w:i/>
          <w:snapToGrid w:val="0"/>
          <w:szCs w:val="20"/>
        </w:rPr>
      </w:pPr>
      <w:r>
        <w:rPr>
          <w:rFonts w:ascii="Times New Roman" w:hAnsi="Times New Roman"/>
          <w:b/>
          <w:i/>
          <w:snapToGrid w:val="0"/>
        </w:rPr>
        <w:t>Je certifie également par la présente que les coûts déclarés ont été engagés conformément aux dispositions du présent contrat et qu’ils peuvent être considérés comme éligibles conformément aux dispositions du contrat.</w:t>
      </w:r>
      <w:r>
        <w:rPr>
          <w:rFonts w:ascii="Times New Roman" w:hAnsi="Times New Roman"/>
          <w:snapToGrid w:val="0"/>
          <w:sz w:val="24"/>
        </w:rPr>
        <w:t xml:space="preserve"> </w:t>
      </w:r>
    </w:p>
    <w:p w14:paraId="0B1FB363" w14:textId="77777777" w:rsidR="00832F98" w:rsidRPr="005107DF" w:rsidRDefault="00832F98" w:rsidP="00D0198E">
      <w:pPr>
        <w:spacing w:after="0" w:line="240" w:lineRule="auto"/>
        <w:jc w:val="both"/>
        <w:rPr>
          <w:rFonts w:ascii="Times New Roman" w:eastAsia="Times New Roman" w:hAnsi="Times New Roman" w:cs="Times New Roman"/>
          <w:b/>
          <w:i/>
          <w:color w:val="000000"/>
          <w:sz w:val="24"/>
          <w:szCs w:val="24"/>
        </w:rPr>
      </w:pPr>
    </w:p>
    <w:p w14:paraId="5A31843A" w14:textId="77777777" w:rsidR="00832F98" w:rsidRPr="005107DF" w:rsidRDefault="00832F98" w:rsidP="00D0198E">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Veuillez agréer, Madame, Monsieur, l’expression de notre haute considération. </w:t>
      </w:r>
    </w:p>
    <w:p w14:paraId="38AA85CE" w14:textId="77777777" w:rsidR="00832F98" w:rsidRPr="005107DF" w:rsidRDefault="00832F98" w:rsidP="00D0198E">
      <w:pPr>
        <w:spacing w:after="0" w:line="240" w:lineRule="auto"/>
        <w:jc w:val="both"/>
        <w:rPr>
          <w:rFonts w:ascii="Times New Roman" w:eastAsia="Times New Roman" w:hAnsi="Times New Roman" w:cs="Times New Roman"/>
          <w:color w:val="000000"/>
          <w:sz w:val="24"/>
          <w:szCs w:val="24"/>
        </w:rPr>
      </w:pPr>
    </w:p>
    <w:p w14:paraId="00DBF66C" w14:textId="77777777" w:rsidR="00832F98" w:rsidRPr="005107DF" w:rsidRDefault="00832F98" w:rsidP="00D0198E">
      <w:pPr>
        <w:spacing w:after="0" w:line="240" w:lineRule="auto"/>
        <w:jc w:val="both"/>
        <w:rPr>
          <w:rFonts w:ascii="Times New Roman" w:eastAsia="Times New Roman" w:hAnsi="Times New Roman" w:cs="Times New Roman"/>
          <w:color w:val="000000"/>
          <w:sz w:val="24"/>
          <w:szCs w:val="24"/>
        </w:rPr>
      </w:pPr>
      <w:r>
        <w:tab/>
      </w:r>
      <w:r>
        <w:tab/>
      </w:r>
      <w:r>
        <w:tab/>
      </w:r>
      <w:r>
        <w:tab/>
      </w:r>
      <w:r>
        <w:tab/>
      </w:r>
      <w:r>
        <w:tab/>
      </w:r>
      <w:r>
        <w:tab/>
      </w:r>
      <w:r>
        <w:rPr>
          <w:rFonts w:ascii="Times New Roman" w:hAnsi="Times New Roman"/>
          <w:color w:val="000000"/>
          <w:sz w:val="24"/>
        </w:rPr>
        <w:t xml:space="preserve">[ </w:t>
      </w:r>
      <w:r>
        <w:rPr>
          <w:rFonts w:ascii="Times New Roman" w:hAnsi="Times New Roman"/>
          <w:i/>
          <w:color w:val="000000"/>
          <w:sz w:val="24"/>
        </w:rPr>
        <w:t>signature</w:t>
      </w:r>
      <w:r>
        <w:rPr>
          <w:rFonts w:ascii="Times New Roman" w:hAnsi="Times New Roman"/>
          <w:color w:val="000000"/>
          <w:sz w:val="24"/>
        </w:rPr>
        <w:t xml:space="preserve"> ] </w:t>
      </w:r>
    </w:p>
    <w:p w14:paraId="118944C2" w14:textId="77777777" w:rsidR="00832F98" w:rsidRPr="005107DF" w:rsidRDefault="00832F98" w:rsidP="00D0198E">
      <w:pPr>
        <w:spacing w:after="0" w:line="240" w:lineRule="auto"/>
        <w:jc w:val="both"/>
        <w:rPr>
          <w:rFonts w:ascii="Times New Roman" w:eastAsia="Times New Roman" w:hAnsi="Times New Roman" w:cs="Times New Roman"/>
          <w:color w:val="000000"/>
          <w:sz w:val="24"/>
          <w:szCs w:val="24"/>
        </w:rPr>
      </w:pPr>
    </w:p>
    <w:p w14:paraId="5A1F90CE" w14:textId="77777777" w:rsidR="00832F98" w:rsidRPr="005107DF" w:rsidRDefault="00832F98" w:rsidP="00C66F23">
      <w:pPr>
        <w:jc w:val="both"/>
        <w:rPr>
          <w:rFonts w:ascii="Times New Roman" w:eastAsia="Times New Roman" w:hAnsi="Times New Roman" w:cs="Times New Roman"/>
          <w:snapToGrid w:val="0"/>
        </w:rPr>
      </w:pPr>
      <w:r>
        <w:rPr>
          <w:rFonts w:ascii="Times New Roman" w:hAnsi="Times New Roman"/>
          <w:snapToGrid w:val="0"/>
        </w:rPr>
        <w:t xml:space="preserve">Pour le signalétique financier et la fiche «signalétique entité légale» à utiliser, veuillez utiliser les liens suivants: </w:t>
      </w:r>
    </w:p>
    <w:p w14:paraId="08031B60" w14:textId="7D77EE55" w:rsidR="00832F98" w:rsidRPr="005107DF" w:rsidRDefault="00CC09A6" w:rsidP="00DB0220">
      <w:pPr>
        <w:spacing w:after="0"/>
        <w:rPr>
          <w:rFonts w:ascii="Times New Roman" w:eastAsia="Times New Roman" w:hAnsi="Times New Roman" w:cs="Times New Roman"/>
          <w:snapToGrid w:val="0"/>
        </w:rPr>
      </w:pPr>
      <w:hyperlink r:id="rId39" w:history="1">
        <w:r w:rsidR="00832F98" w:rsidRPr="00CC3DFC">
          <w:rPr>
            <w:rStyle w:val="Hyperlink"/>
            <w:rFonts w:ascii="Times New Roman" w:hAnsi="Times New Roman" w:cstheme="minorBidi"/>
            <w:snapToGrid w:val="0"/>
          </w:rPr>
          <w:t>http://ec.europa.eu/budget/contracts_grants/info_contracts/legal_entities/legal-entities_fr.cfm#en</w:t>
        </w:r>
      </w:hyperlink>
    </w:p>
    <w:p w14:paraId="7A3DD649" w14:textId="518C2CB3" w:rsidR="00832F98" w:rsidRPr="0019382C" w:rsidRDefault="00CC09A6" w:rsidP="00DB0220">
      <w:pPr>
        <w:spacing w:after="0" w:line="240" w:lineRule="auto"/>
        <w:rPr>
          <w:rFonts w:ascii="Times New Roman" w:eastAsia="Times New Roman" w:hAnsi="Times New Roman" w:cs="Times New Roman"/>
          <w:snapToGrid w:val="0"/>
        </w:rPr>
      </w:pPr>
      <w:hyperlink r:id="rId40" w:history="1">
        <w:r w:rsidR="00832F98" w:rsidRPr="00CC3DFC">
          <w:rPr>
            <w:rStyle w:val="Hyperlink"/>
            <w:rFonts w:ascii="Times New Roman" w:hAnsi="Times New Roman" w:cstheme="minorBidi"/>
            <w:snapToGrid w:val="0"/>
          </w:rPr>
          <w:t>http://ec.europa.eu/budget/library/contracts_grants/info_contracts/financial_id/fich_sign_ba_gb_fr.pdf</w:t>
        </w:r>
      </w:hyperlink>
    </w:p>
    <w:p w14:paraId="3152B95D" w14:textId="77777777" w:rsidR="00832F98" w:rsidRPr="005107DF" w:rsidRDefault="00832F98" w:rsidP="0019382C">
      <w:pPr>
        <w:rPr>
          <w:rFonts w:ascii="Times New Roman" w:hAnsi="Times New Roman" w:cs="Times New Roman"/>
        </w:rPr>
      </w:pPr>
      <w:r>
        <w:br w:type="page"/>
      </w:r>
    </w:p>
    <w:p w14:paraId="4D9DEE97" w14:textId="77777777" w:rsidR="00832F98" w:rsidRPr="0019382C" w:rsidRDefault="00832F98" w:rsidP="0031032A">
      <w:pPr>
        <w:spacing w:after="0" w:line="240" w:lineRule="auto"/>
        <w:jc w:val="both"/>
        <w:rPr>
          <w:rFonts w:ascii="Times New Roman" w:hAnsi="Times New Roman" w:cs="Times New Roman"/>
        </w:rPr>
      </w:pPr>
    </w:p>
    <w:p w14:paraId="3ED6ED79"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spacing w:before="0"/>
        <w:ind w:left="1077" w:hanging="1077"/>
      </w:pPr>
      <w:bookmarkStart w:id="905" w:name="_Toc517434467"/>
      <w:bookmarkStart w:id="906" w:name="_Toc2861034"/>
      <w:bookmarkStart w:id="907" w:name="_Toc442374359"/>
      <w:bookmarkStart w:id="908" w:name="_Toc442374849"/>
      <w:bookmarkStart w:id="909" w:name="_Toc443320171"/>
      <w:bookmarkStart w:id="910" w:name="_Toc464460018"/>
      <w:bookmarkStart w:id="911" w:name="_Toc476063365"/>
      <w:bookmarkStart w:id="912" w:name="_Toc476067847"/>
      <w:bookmarkStart w:id="913" w:name="_Toc101950840"/>
      <w:r>
        <w:rPr>
          <w:sz w:val="32"/>
        </w:rPr>
        <w:t>ANNEXE A6: Termes de référence pour une vérification des dépenses dans le cadre d’un contrat de subvention de jumelage</w:t>
      </w:r>
      <w:bookmarkEnd w:id="905"/>
      <w:bookmarkEnd w:id="906"/>
      <w:r>
        <w:rPr>
          <w:sz w:val="32"/>
        </w:rPr>
        <w:t xml:space="preserve"> </w:t>
      </w:r>
      <w:bookmarkEnd w:id="907"/>
      <w:bookmarkEnd w:id="908"/>
      <w:bookmarkEnd w:id="909"/>
      <w:bookmarkEnd w:id="910"/>
      <w:bookmarkEnd w:id="911"/>
      <w:bookmarkEnd w:id="912"/>
      <w:bookmarkEnd w:id="913"/>
    </w:p>
    <w:p w14:paraId="566113E5" w14:textId="77777777" w:rsidR="00832F98" w:rsidRPr="005107DF" w:rsidRDefault="00832F98" w:rsidP="000847EE">
      <w:pPr>
        <w:jc w:val="both"/>
        <w:rPr>
          <w:rFonts w:ascii="Times New Roman" w:hAnsi="Times New Roman" w:cs="Times New Roman"/>
          <w:b/>
        </w:rPr>
      </w:pPr>
      <w:r>
        <w:rPr>
          <w:rFonts w:ascii="Times New Roman" w:hAnsi="Times New Roman"/>
          <w:b/>
        </w:rPr>
        <w:t>À remplir par l’État membre partenaire (EMP) (principal) en accord avec l’auditeur.</w:t>
      </w:r>
    </w:p>
    <w:p w14:paraId="65452955" w14:textId="77777777" w:rsidR="00832F98" w:rsidRPr="005107DF" w:rsidRDefault="00832F98" w:rsidP="000847EE">
      <w:pPr>
        <w:jc w:val="both"/>
        <w:rPr>
          <w:rFonts w:ascii="Times New Roman" w:hAnsi="Times New Roman" w:cs="Times New Roman"/>
          <w:b/>
        </w:rPr>
      </w:pPr>
      <w:r>
        <w:rPr>
          <w:rFonts w:ascii="Times New Roman" w:hAnsi="Times New Roman"/>
          <w:b/>
        </w:rPr>
        <w:t>L’auditeur doit être désigné conformément à la réglementation en vigueur pour l’EMP (principal).</w:t>
      </w:r>
    </w:p>
    <w:p w14:paraId="294F865C" w14:textId="77777777" w:rsidR="00832F98" w:rsidRPr="005107DF" w:rsidRDefault="00832F98" w:rsidP="007338F0">
      <w:pPr>
        <w:rPr>
          <w:rFonts w:ascii="Times New Roman" w:hAnsi="Times New Roman" w:cs="Times New Roman"/>
          <w:b/>
        </w:rPr>
      </w:pPr>
      <w:r>
        <w:rPr>
          <w:rFonts w:ascii="Times New Roman" w:hAnsi="Times New Roman"/>
          <w:b/>
        </w:rPr>
        <w:t>Le rapport de vérification des dépenses doit être établi par l’auditeur.</w:t>
      </w:r>
    </w:p>
    <w:p w14:paraId="6AE24126" w14:textId="77777777" w:rsidR="00832F98" w:rsidRPr="005107DF" w:rsidRDefault="00832F98" w:rsidP="007338F0">
      <w:pPr>
        <w:rPr>
          <w:rFonts w:ascii="Times New Roman" w:hAnsi="Times New Roman" w:cs="Times New Roman"/>
        </w:rPr>
      </w:pPr>
      <w:bookmarkStart w:id="914" w:name="_Toc132001877"/>
    </w:p>
    <w:p w14:paraId="04EA44D2" w14:textId="77777777" w:rsidR="00832F98" w:rsidRPr="005107DF" w:rsidRDefault="00832F98"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32"/>
          <w:szCs w:val="32"/>
        </w:rPr>
      </w:pPr>
      <w:bookmarkStart w:id="915" w:name="_Toc442374360"/>
      <w:bookmarkStart w:id="916" w:name="_Toc442374850"/>
      <w:bookmarkStart w:id="917" w:name="_Toc443320172"/>
      <w:bookmarkStart w:id="918" w:name="_Toc464460019"/>
      <w:bookmarkStart w:id="919" w:name="_Toc476063366"/>
      <w:bookmarkStart w:id="920" w:name="_Toc476067848"/>
      <w:r>
        <w:rPr>
          <w:rFonts w:ascii="Times New Roman" w:hAnsi="Times New Roman"/>
          <w:sz w:val="32"/>
        </w:rPr>
        <w:t>Termes de référence pour une vérification des dépenses dans le cadre d’un</w:t>
      </w:r>
      <w:bookmarkEnd w:id="914"/>
      <w:bookmarkEnd w:id="915"/>
      <w:bookmarkEnd w:id="916"/>
      <w:bookmarkEnd w:id="917"/>
      <w:bookmarkEnd w:id="918"/>
      <w:r>
        <w:rPr>
          <w:rFonts w:ascii="Times New Roman" w:hAnsi="Times New Roman"/>
          <w:sz w:val="32"/>
        </w:rPr>
        <w:t xml:space="preserve"> contrat</w:t>
      </w:r>
      <w:bookmarkEnd w:id="919"/>
      <w:bookmarkEnd w:id="920"/>
      <w:r>
        <w:rPr>
          <w:rFonts w:ascii="Times New Roman" w:hAnsi="Times New Roman"/>
          <w:sz w:val="32"/>
        </w:rPr>
        <w:t xml:space="preserve"> de subvention de jumelage</w:t>
      </w:r>
    </w:p>
    <w:p w14:paraId="2A5EE310" w14:textId="77777777" w:rsidR="00832F98" w:rsidRPr="005107DF" w:rsidRDefault="00832F98"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32"/>
          <w:szCs w:val="32"/>
        </w:rPr>
      </w:pPr>
      <w:bookmarkStart w:id="921" w:name="_Toc442374361"/>
      <w:bookmarkStart w:id="922" w:name="_Toc442374851"/>
      <w:bookmarkStart w:id="923" w:name="_Toc443320173"/>
      <w:bookmarkStart w:id="924" w:name="_Toc464460020"/>
      <w:bookmarkStart w:id="925" w:name="_Toc476063367"/>
      <w:bookmarkStart w:id="926" w:name="_Toc476067849"/>
      <w:r>
        <w:rPr>
          <w:rFonts w:ascii="Times New Roman" w:hAnsi="Times New Roman"/>
          <w:sz w:val="32"/>
        </w:rPr>
        <w:t>– Action extérieure de l’Union européenne -</w:t>
      </w:r>
      <w:bookmarkEnd w:id="921"/>
      <w:bookmarkEnd w:id="922"/>
      <w:bookmarkEnd w:id="923"/>
      <w:bookmarkEnd w:id="924"/>
      <w:bookmarkEnd w:id="925"/>
      <w:bookmarkEnd w:id="926"/>
    </w:p>
    <w:p w14:paraId="1539AE30" w14:textId="77777777" w:rsidR="00832F98" w:rsidRPr="005107DF" w:rsidRDefault="00832F98" w:rsidP="00D0198E">
      <w:pPr>
        <w:spacing w:before="120" w:after="120" w:line="240" w:lineRule="auto"/>
        <w:jc w:val="both"/>
        <w:rPr>
          <w:rFonts w:ascii="Times New Roman" w:eastAsia="Times New Roman" w:hAnsi="Times New Roman" w:cs="Times New Roman"/>
        </w:rPr>
      </w:pPr>
    </w:p>
    <w:tbl>
      <w:tblPr>
        <w:tblW w:w="9362"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362"/>
      </w:tblGrid>
      <w:tr w:rsidR="00832F98" w:rsidRPr="005107DF" w14:paraId="78828359" w14:textId="77777777" w:rsidTr="00CC3DFC">
        <w:trPr>
          <w:trHeight w:val="1108"/>
        </w:trPr>
        <w:tc>
          <w:tcPr>
            <w:tcW w:w="9362" w:type="dxa"/>
            <w:shd w:val="clear" w:color="auto" w:fill="auto"/>
          </w:tcPr>
          <w:p w14:paraId="63C6F107" w14:textId="77777777" w:rsidR="00CC3DFC" w:rsidRDefault="00832F98" w:rsidP="006B3558">
            <w:pPr>
              <w:spacing w:before="120" w:after="120" w:line="240" w:lineRule="auto"/>
              <w:rPr>
                <w:rFonts w:ascii="Times New Roman" w:hAnsi="Times New Roman"/>
                <w:b/>
                <w:i/>
                <w:sz w:val="20"/>
              </w:rPr>
            </w:pPr>
            <w:r>
              <w:rPr>
                <w:rFonts w:ascii="Times New Roman" w:hAnsi="Times New Roman"/>
                <w:b/>
                <w:i/>
                <w:sz w:val="20"/>
              </w:rPr>
              <w:t xml:space="preserve">COMMENT UTILISER LE PRÉSENT MODÈLE DE TERMES DE RÉFÉRENCE? </w:t>
            </w:r>
          </w:p>
          <w:p w14:paraId="60DC24F4" w14:textId="7CDDCB23" w:rsidR="00832F98" w:rsidRPr="005107DF" w:rsidRDefault="00832F98" w:rsidP="005F15DD">
            <w:pPr>
              <w:spacing w:before="120" w:after="120" w:line="240" w:lineRule="auto"/>
              <w:jc w:val="both"/>
              <w:rPr>
                <w:rFonts w:ascii="Times New Roman" w:eastAsia="Times New Roman" w:hAnsi="Times New Roman" w:cs="Times New Roman"/>
                <w:b/>
                <w:i/>
                <w:sz w:val="20"/>
                <w:szCs w:val="20"/>
              </w:rPr>
            </w:pPr>
            <w:r>
              <w:rPr>
                <w:rFonts w:ascii="Times New Roman" w:hAnsi="Times New Roman"/>
                <w:b/>
                <w:i/>
                <w:sz w:val="20"/>
              </w:rPr>
              <w:t xml:space="preserve">Le texte surligné en jaune dans le présent modèle de TdR et ses annexes 1 et 2 est fourni à titre d’instruction uniquement et doit être supprimé par les États membres partenaires (EMP) après utilisation. </w:t>
            </w:r>
            <w:r>
              <w:rPr>
                <w:rFonts w:ascii="Times New Roman" w:eastAsia="Times New Roman" w:hAnsi="Times New Roman" w:cs="Times New Roman"/>
                <w:b/>
                <w:i/>
                <w:sz w:val="20"/>
                <w:szCs w:val="20"/>
              </w:rPr>
              <w:br/>
            </w:r>
            <w:r>
              <w:rPr>
                <w:rFonts w:ascii="Times New Roman" w:hAnsi="Times New Roman"/>
                <w:b/>
                <w:i/>
                <w:sz w:val="20"/>
              </w:rPr>
              <w:t>Les parties des TdR présentées entre &lt;……..&gt; (par exemple &lt;nom de l’État membre partenaire (EMP) (principal)&gt; doivent être complétées par l’EMP (principal).</w:t>
            </w:r>
          </w:p>
        </w:tc>
      </w:tr>
    </w:tbl>
    <w:p w14:paraId="41F5DDF3" w14:textId="77777777" w:rsidR="00832F98" w:rsidRPr="005107DF" w:rsidRDefault="00832F98" w:rsidP="00D0198E">
      <w:pPr>
        <w:spacing w:before="120" w:after="120" w:line="240" w:lineRule="auto"/>
        <w:jc w:val="both"/>
        <w:rPr>
          <w:rFonts w:ascii="Times New Roman" w:eastAsia="Times New Roman" w:hAnsi="Times New Roman" w:cs="Times New Roman"/>
        </w:rPr>
      </w:pPr>
    </w:p>
    <w:p w14:paraId="10508D6B"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Les dispositions ci-après constituent les termes de référence («TdR») selon lesquels &lt;</w:t>
      </w:r>
      <w:r>
        <w:rPr>
          <w:rFonts w:ascii="Times New Roman" w:hAnsi="Times New Roman"/>
          <w:i/>
        </w:rPr>
        <w:t>nom du coordinateur (le terme «coordinateur» désigne l’État membre partenaire (principal</w:t>
      </w:r>
      <w:r>
        <w:rPr>
          <w:rFonts w:ascii="Times New Roman" w:hAnsi="Times New Roman"/>
        </w:rPr>
        <w:t>)&gt; ou l’entité désignée dans les conditions particulières au nom du coordinateur accepte de donner mandat à &lt;</w:t>
      </w:r>
      <w:r>
        <w:rPr>
          <w:rFonts w:ascii="Times New Roman" w:hAnsi="Times New Roman"/>
          <w:i/>
        </w:rPr>
        <w:t>nom du cabinet d’audit</w:t>
      </w:r>
      <w:r>
        <w:rPr>
          <w:rFonts w:ascii="Times New Roman" w:hAnsi="Times New Roman"/>
        </w:rPr>
        <w:t>&gt; (l’«auditeur») pour l’exécution d’une vérification des dépenses et l’établissement d’un rapport portant sur un contrat de subvention de jumelage financé par l’Union européenne pour le renforcement des institutions concernant &lt;</w:t>
      </w:r>
      <w:r>
        <w:rPr>
          <w:rFonts w:ascii="Times New Roman" w:hAnsi="Times New Roman"/>
          <w:i/>
        </w:rPr>
        <w:t>intitulé et numéro de référence du contrat de subvention de jumelage</w:t>
      </w:r>
      <w:r>
        <w:rPr>
          <w:rFonts w:ascii="Times New Roman" w:hAnsi="Times New Roman"/>
        </w:rPr>
        <w:t>&gt; (le «contrat»). La référence à l’«administration contractante» dans les présents termes de référence désigne &lt;</w:t>
      </w:r>
      <w:r>
        <w:rPr>
          <w:rFonts w:ascii="Times New Roman" w:hAnsi="Times New Roman"/>
          <w:i/>
        </w:rPr>
        <w:t>la Commission européenne ou nom d’une autre administration contractante</w:t>
      </w:r>
      <w:r>
        <w:rPr>
          <w:rFonts w:ascii="Times New Roman" w:hAnsi="Times New Roman"/>
        </w:rPr>
        <w:t>&gt; qui a signé le contrat de subvention de jumelage avec l’État membre partenaire (principal) et assure le financement. L’administration contractante n’est pas partie au présent accord.</w:t>
      </w:r>
    </w:p>
    <w:p w14:paraId="7D4E090D" w14:textId="77777777" w:rsidR="00832F98" w:rsidRPr="005107DF" w:rsidRDefault="00832F98" w:rsidP="007338F0">
      <w:pPr>
        <w:rPr>
          <w:rFonts w:ascii="Times New Roman" w:hAnsi="Times New Roman" w:cs="Times New Roman"/>
          <w:b/>
          <w:sz w:val="24"/>
          <w:szCs w:val="24"/>
        </w:rPr>
      </w:pPr>
      <w:bookmarkStart w:id="927" w:name="_Toc442374362"/>
      <w:bookmarkStart w:id="928" w:name="_Toc442374852"/>
      <w:bookmarkStart w:id="929" w:name="_Toc443320174"/>
      <w:bookmarkStart w:id="930" w:name="_Toc464460021"/>
      <w:bookmarkStart w:id="931" w:name="_Toc476063368"/>
      <w:bookmarkStart w:id="932" w:name="_Toc476067850"/>
      <w:r>
        <w:rPr>
          <w:rFonts w:ascii="Times New Roman" w:hAnsi="Times New Roman"/>
          <w:b/>
          <w:sz w:val="24"/>
        </w:rPr>
        <w:t>1.1</w:t>
      </w:r>
      <w:r>
        <w:tab/>
      </w:r>
      <w:r>
        <w:rPr>
          <w:rFonts w:ascii="Times New Roman" w:hAnsi="Times New Roman"/>
          <w:b/>
          <w:sz w:val="24"/>
        </w:rPr>
        <w:t>Responsabilités des parties au mandat</w:t>
      </w:r>
      <w:bookmarkEnd w:id="927"/>
      <w:bookmarkEnd w:id="928"/>
      <w:bookmarkEnd w:id="929"/>
      <w:bookmarkEnd w:id="930"/>
      <w:bookmarkEnd w:id="931"/>
      <w:bookmarkEnd w:id="932"/>
    </w:p>
    <w:p w14:paraId="35BE26FE"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Dans le cas d’un consortium d’États membres partenaires, l’État membre partenaire signant le contrat de subvention de jumelage et à la tête du consortium est appelé l’État membre partenaire principal. </w:t>
      </w:r>
    </w:p>
    <w:p w14:paraId="5AEAAE12"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Le terme «État(s) membre(s) partenaire(s)» désigne collectivement tous les États membres partenaires (EMP), y compris l’État membre partenaire principal. </w:t>
      </w:r>
    </w:p>
    <w:p w14:paraId="7824D389"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Le terme «coordinateur» désigne l’État membre partenaire principal.</w:t>
      </w:r>
    </w:p>
    <w:p w14:paraId="37D4174C"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Lorsqu’il n’y a qu’un seul État membre partenaire, les termes «État(s) membre(s) partenaire(s)» et «coordinateur» sont réputés désigner l’unique État membre partenaire.</w:t>
      </w:r>
    </w:p>
    <w:p w14:paraId="5E8E8112" w14:textId="77777777" w:rsidR="00832F98" w:rsidRPr="005107DF" w:rsidRDefault="00832F98" w:rsidP="00D0198E">
      <w:pPr>
        <w:numPr>
          <w:ilvl w:val="0"/>
          <w:numId w:val="157"/>
        </w:numPr>
        <w:spacing w:before="120" w:after="120" w:line="240" w:lineRule="auto"/>
        <w:jc w:val="both"/>
        <w:rPr>
          <w:rFonts w:ascii="Times New Roman" w:eastAsia="Times New Roman" w:hAnsi="Times New Roman" w:cs="Times New Roman"/>
        </w:rPr>
      </w:pPr>
      <w:r>
        <w:rPr>
          <w:rFonts w:ascii="Times New Roman" w:hAnsi="Times New Roman"/>
        </w:rPr>
        <w:t xml:space="preserve">Il incombe au </w:t>
      </w:r>
      <w:r>
        <w:rPr>
          <w:rFonts w:ascii="Times New Roman" w:hAnsi="Times New Roman"/>
          <w:b/>
        </w:rPr>
        <w:t>coordinateur</w:t>
      </w:r>
      <w:r>
        <w:rPr>
          <w:rFonts w:ascii="Times New Roman" w:hAnsi="Times New Roman"/>
        </w:rPr>
        <w:t xml:space="preserve"> de fournir un rapport financier sur l’action financée grâce au contrat de subvention de jumelage, conforme aux modalités et conditions du contrat de subvention de jumelage, et de veiller à ce que ce rapport corresponde au système de comptabilité, ainsi qu’aux comptes et registres sous-jacents du ou des États membres </w:t>
      </w:r>
      <w:r>
        <w:rPr>
          <w:rFonts w:ascii="Times New Roman" w:hAnsi="Times New Roman"/>
        </w:rPr>
        <w:lastRenderedPageBreak/>
        <w:t>partenaires</w:t>
      </w:r>
      <w:r>
        <w:t>.</w:t>
      </w:r>
      <w:r>
        <w:rPr>
          <w:rFonts w:ascii="Times New Roman" w:hAnsi="Times New Roman"/>
        </w:rPr>
        <w:t xml:space="preserve"> Il appartient aux EMP de fournir des informations suffisantes et adéquates, à la fois financières et non financières, pour étayer le rapport financier.</w:t>
      </w:r>
    </w:p>
    <w:p w14:paraId="1BFA6DCD" w14:textId="77777777" w:rsidR="00832F98" w:rsidRPr="005107DF" w:rsidRDefault="00832F98" w:rsidP="00D0198E">
      <w:pPr>
        <w:numPr>
          <w:ilvl w:val="0"/>
          <w:numId w:val="157"/>
        </w:numPr>
        <w:spacing w:before="120" w:after="120" w:line="240" w:lineRule="auto"/>
        <w:jc w:val="both"/>
        <w:rPr>
          <w:rFonts w:ascii="Times New Roman" w:eastAsia="Times New Roman" w:hAnsi="Times New Roman" w:cs="Times New Roman"/>
        </w:rPr>
      </w:pPr>
      <w:r>
        <w:rPr>
          <w:rFonts w:ascii="Times New Roman" w:hAnsi="Times New Roman"/>
        </w:rPr>
        <w:t>Le coordinateur reconnaît que la capacité de l’auditeur d’exécuter les procédures imposées par le présent mandat dépend effectivement de l’accès total et inconditionnel que le ou les États membres partenaires lui garantissent, à son (leur) personnel et à son (leur) système de comptabilité et de tenue des registres, ainsi qu’à ses (leurs) comptes et relevés.</w:t>
      </w:r>
    </w:p>
    <w:p w14:paraId="71531847" w14:textId="77777777" w:rsidR="00832F98" w:rsidRPr="005107DF" w:rsidRDefault="00832F98" w:rsidP="00D0198E">
      <w:pPr>
        <w:numPr>
          <w:ilvl w:val="0"/>
          <w:numId w:val="156"/>
        </w:numPr>
        <w:spacing w:before="120" w:after="120" w:line="240" w:lineRule="auto"/>
        <w:jc w:val="both"/>
        <w:rPr>
          <w:rFonts w:ascii="Times New Roman" w:eastAsia="Times New Roman" w:hAnsi="Times New Roman" w:cs="Times New Roman"/>
        </w:rPr>
      </w:pPr>
      <w:r>
        <w:rPr>
          <w:rFonts w:ascii="Times New Roman" w:hAnsi="Times New Roman"/>
        </w:rPr>
        <w:t>L’</w:t>
      </w:r>
      <w:r>
        <w:rPr>
          <w:rFonts w:ascii="Times New Roman" w:hAnsi="Times New Roman"/>
          <w:b/>
        </w:rPr>
        <w:t>«auditeur»</w:t>
      </w:r>
      <w:r>
        <w:rPr>
          <w:rFonts w:ascii="Times New Roman" w:hAnsi="Times New Roman"/>
        </w:rPr>
        <w:t xml:space="preserve"> est chargé d’exécuter les procédures convenues de la façon définie dans ces TdR. Le terme «auditeur» désigne le cabinet d’audit engagé par contrat pour exécuter le présent mandat et présenter au coordinateur un rapport d’observations factuelles. Le terme «auditeur» peut désigner la personne ou les personnes qui réalisent la vérification, généralement l’associé responsable du mandat ou d’autres membres de l’équipe responsable dudit mandat. L’associé responsable du mandat est l’associé ou une autre personne du cabinet d’audit qui assume la responsabilité du mandat et du rapport émis au nom dudit cabinet et qui dispose de l’autorité nécessaire conférée par un organe professionnel, juridique ou réglementaire.</w:t>
      </w:r>
    </w:p>
    <w:p w14:paraId="1BD74E96" w14:textId="77777777" w:rsidR="00832F98" w:rsidRPr="005107DF" w:rsidRDefault="00832F98" w:rsidP="007338F0">
      <w:pPr>
        <w:spacing w:before="120" w:after="120" w:line="240" w:lineRule="auto"/>
        <w:jc w:val="both"/>
        <w:rPr>
          <w:rFonts w:ascii="Times New Roman" w:eastAsia="Times New Roman" w:hAnsi="Times New Roman" w:cs="Times New Roman"/>
        </w:rPr>
      </w:pPr>
      <w:r>
        <w:rPr>
          <w:rFonts w:ascii="Times New Roman" w:hAnsi="Times New Roman"/>
        </w:rPr>
        <w:t>En souscrivant à ces TdR, l’auditeur confirme qu’il remplit au moins l’une des conditions suivantes:</w:t>
      </w:r>
    </w:p>
    <w:p w14:paraId="2DEE8E76" w14:textId="77777777" w:rsidR="00832F98" w:rsidRPr="005107DF" w:rsidRDefault="00832F98" w:rsidP="00D0198E">
      <w:pPr>
        <w:numPr>
          <w:ilvl w:val="0"/>
          <w:numId w:val="156"/>
        </w:numPr>
        <w:spacing w:before="120" w:after="120" w:line="240" w:lineRule="auto"/>
        <w:jc w:val="both"/>
        <w:rPr>
          <w:rFonts w:ascii="Times New Roman" w:eastAsia="Times New Roman" w:hAnsi="Times New Roman" w:cs="Times New Roman"/>
        </w:rPr>
      </w:pPr>
      <w:r>
        <w:rPr>
          <w:rFonts w:ascii="Times New Roman" w:hAnsi="Times New Roman"/>
        </w:rPr>
        <w:t>l’auditeur et/ou le cabinet est membre d’une organisation nationale d’experts-comptables, qui est, elle-même, membre de l’International Federation of Accountants (IFAC),</w:t>
      </w:r>
    </w:p>
    <w:p w14:paraId="33DC00A9" w14:textId="77777777" w:rsidR="00832F98" w:rsidRPr="005107DF" w:rsidRDefault="00832F98" w:rsidP="00D0198E">
      <w:pPr>
        <w:numPr>
          <w:ilvl w:val="0"/>
          <w:numId w:val="156"/>
        </w:numPr>
        <w:spacing w:before="120" w:after="120" w:line="240" w:lineRule="auto"/>
        <w:jc w:val="both"/>
        <w:rPr>
          <w:rFonts w:ascii="Times New Roman" w:eastAsia="Times New Roman" w:hAnsi="Times New Roman" w:cs="Times New Roman"/>
        </w:rPr>
      </w:pPr>
      <w:r>
        <w:rPr>
          <w:rFonts w:ascii="Times New Roman" w:hAnsi="Times New Roman"/>
        </w:rPr>
        <w:t>l’auditeur et/ou le cabinet est membre d’une organisation nationale d’experts-comptables. Bien que l’organisation ne soit pas membre de l’International Federation of Accountants (IFAC), l’auditeur s’engage à réaliser cette mission conformément aux normes de l’IFAC et à la déontologie exposée dans les présents TdR;</w:t>
      </w:r>
    </w:p>
    <w:p w14:paraId="1A122B4A" w14:textId="77777777" w:rsidR="00832F98" w:rsidRPr="005107DF" w:rsidRDefault="00832F98" w:rsidP="00D0198E">
      <w:pPr>
        <w:numPr>
          <w:ilvl w:val="0"/>
          <w:numId w:val="156"/>
        </w:numPr>
        <w:spacing w:before="120" w:after="120" w:line="240" w:lineRule="auto"/>
        <w:jc w:val="both"/>
        <w:rPr>
          <w:rFonts w:ascii="Times New Roman" w:eastAsia="Times New Roman" w:hAnsi="Times New Roman" w:cs="Times New Roman"/>
        </w:rPr>
      </w:pPr>
      <w:r>
        <w:rPr>
          <w:rFonts w:ascii="Times New Roman" w:hAnsi="Times New Roman"/>
        </w:rPr>
        <w:t>l’auditeur et/ou le cabinet est inscrit comme contrôleur légal des comptes au registre public d’un organisme de supervision public dans un État membre de l’UE, conformément aux principes de supervision publique exposés dans la directive 2006/43/CE du Parlement européen et du Conseil (cette option s’applique aux auditeurs et cabinets d’audit basés dans un État membre</w:t>
      </w:r>
      <w:r>
        <w:rPr>
          <w:rFonts w:ascii="Times New Roman" w:hAnsi="Times New Roman"/>
          <w:sz w:val="24"/>
          <w:vertAlign w:val="superscript"/>
        </w:rPr>
        <w:footnoteReference w:id="42"/>
      </w:r>
      <w:r>
        <w:rPr>
          <w:rFonts w:ascii="Times New Roman" w:hAnsi="Times New Roman"/>
        </w:rPr>
        <w:t xml:space="preserve">); </w:t>
      </w:r>
    </w:p>
    <w:p w14:paraId="46136BD5" w14:textId="77777777" w:rsidR="00832F98" w:rsidRPr="005107DF" w:rsidRDefault="00832F98" w:rsidP="00D0198E">
      <w:pPr>
        <w:numPr>
          <w:ilvl w:val="0"/>
          <w:numId w:val="156"/>
        </w:numPr>
        <w:spacing w:before="120" w:after="120" w:line="240" w:lineRule="auto"/>
        <w:jc w:val="both"/>
        <w:rPr>
          <w:rFonts w:ascii="Times New Roman" w:eastAsia="Times New Roman" w:hAnsi="Times New Roman" w:cs="Times New Roman"/>
        </w:rPr>
      </w:pPr>
      <w:r>
        <w:rPr>
          <w:rFonts w:ascii="Times New Roman" w:hAnsi="Times New Roman"/>
        </w:rPr>
        <w:t>l’auditeur et/ou le cabinet est inscrit comme contrôleur légal des comptes au registre public d’un organe de supervision public dans un pays tiers, et ce registre applique les principes de supervision publique exposés dans la législation du pays concerné (cette option s’applique aux auditeurs et cabinets d’audit basés dans un pays tiers).</w:t>
      </w:r>
    </w:p>
    <w:p w14:paraId="721C9BD3" w14:textId="77777777" w:rsidR="00832F98" w:rsidRPr="005107DF" w:rsidRDefault="00832F98" w:rsidP="007338F0">
      <w:pPr>
        <w:rPr>
          <w:rFonts w:ascii="Times New Roman" w:hAnsi="Times New Roman" w:cs="Times New Roman"/>
          <w:b/>
          <w:sz w:val="24"/>
          <w:szCs w:val="24"/>
        </w:rPr>
      </w:pPr>
      <w:bookmarkStart w:id="933" w:name="_Toc442374363"/>
      <w:bookmarkStart w:id="934" w:name="_Toc442374853"/>
      <w:bookmarkStart w:id="935" w:name="_Toc443320175"/>
      <w:bookmarkStart w:id="936" w:name="_Toc464460022"/>
      <w:bookmarkStart w:id="937" w:name="_Toc476063369"/>
      <w:bookmarkStart w:id="938" w:name="_Toc476067851"/>
      <w:r>
        <w:rPr>
          <w:rFonts w:ascii="Times New Roman" w:hAnsi="Times New Roman"/>
          <w:b/>
          <w:sz w:val="24"/>
        </w:rPr>
        <w:t>1.2</w:t>
      </w:r>
      <w:r>
        <w:tab/>
      </w:r>
      <w:r>
        <w:rPr>
          <w:rFonts w:ascii="Times New Roman" w:hAnsi="Times New Roman"/>
          <w:b/>
          <w:sz w:val="24"/>
        </w:rPr>
        <w:t>Objet du mandat</w:t>
      </w:r>
      <w:bookmarkEnd w:id="933"/>
      <w:bookmarkEnd w:id="934"/>
      <w:bookmarkEnd w:id="935"/>
      <w:bookmarkEnd w:id="936"/>
      <w:bookmarkEnd w:id="937"/>
      <w:bookmarkEnd w:id="938"/>
    </w:p>
    <w:p w14:paraId="4E92D880"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Le présent mandat a pour objet le rapport financier final relatif au contrat de subvention de jumelage pour la période du &lt;</w:t>
      </w:r>
      <w:r>
        <w:rPr>
          <w:rFonts w:ascii="Times New Roman" w:hAnsi="Times New Roman"/>
          <w:i/>
        </w:rPr>
        <w:t>jj mois aaaa au jj mois aaaa</w:t>
      </w:r>
      <w:r>
        <w:rPr>
          <w:rFonts w:ascii="Times New Roman" w:hAnsi="Times New Roman"/>
        </w:rPr>
        <w:t>&gt; et l’action intitulée &lt;intitulé de l’action&gt;, ci-après l’«action». L’annexe 1 des présents TdR contient des informations sur le contrat de subvention de jumelage.</w:t>
      </w:r>
    </w:p>
    <w:p w14:paraId="7288813C" w14:textId="77777777" w:rsidR="00832F98" w:rsidRPr="005107DF" w:rsidRDefault="00832F98" w:rsidP="007338F0">
      <w:pPr>
        <w:rPr>
          <w:rFonts w:ascii="Times New Roman" w:hAnsi="Times New Roman" w:cs="Times New Roman"/>
          <w:b/>
          <w:sz w:val="24"/>
          <w:szCs w:val="24"/>
        </w:rPr>
      </w:pPr>
      <w:bookmarkStart w:id="939" w:name="_Toc442374364"/>
      <w:bookmarkStart w:id="940" w:name="_Toc442374854"/>
      <w:bookmarkStart w:id="941" w:name="_Toc443320176"/>
      <w:bookmarkStart w:id="942" w:name="_Toc464460023"/>
      <w:bookmarkStart w:id="943" w:name="_Toc476063370"/>
      <w:bookmarkStart w:id="944" w:name="_Toc476067852"/>
      <w:r>
        <w:rPr>
          <w:rFonts w:ascii="Times New Roman" w:hAnsi="Times New Roman"/>
          <w:b/>
          <w:sz w:val="24"/>
        </w:rPr>
        <w:t>1.3</w:t>
      </w:r>
      <w:r>
        <w:tab/>
      </w:r>
      <w:r>
        <w:rPr>
          <w:rFonts w:ascii="Times New Roman" w:hAnsi="Times New Roman"/>
          <w:b/>
          <w:sz w:val="24"/>
        </w:rPr>
        <w:t>Raison du mandat</w:t>
      </w:r>
      <w:bookmarkEnd w:id="939"/>
      <w:bookmarkEnd w:id="940"/>
      <w:bookmarkEnd w:id="941"/>
      <w:bookmarkEnd w:id="942"/>
      <w:bookmarkEnd w:id="943"/>
      <w:bookmarkEnd w:id="944"/>
    </w:p>
    <w:p w14:paraId="79D2D9B9"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Contrat de subvention de jumelage. L’ordonnateur de la Commission a besoin de ce rapport, étant donné que le paiement des dépenses demandé par le coordinateur est subordonné aux observations factuelles qu’il contient.</w:t>
      </w:r>
    </w:p>
    <w:p w14:paraId="28F78306" w14:textId="77777777" w:rsidR="00832F98" w:rsidRPr="005107DF" w:rsidRDefault="00832F98" w:rsidP="007338F0">
      <w:pPr>
        <w:rPr>
          <w:rFonts w:ascii="Times New Roman" w:hAnsi="Times New Roman" w:cs="Times New Roman"/>
          <w:b/>
          <w:sz w:val="24"/>
          <w:szCs w:val="24"/>
        </w:rPr>
      </w:pPr>
      <w:bookmarkStart w:id="945" w:name="_Toc442374365"/>
      <w:bookmarkStart w:id="946" w:name="_Toc442374855"/>
      <w:bookmarkStart w:id="947" w:name="_Toc443320177"/>
      <w:bookmarkStart w:id="948" w:name="_Toc464460024"/>
      <w:bookmarkStart w:id="949" w:name="_Toc476063371"/>
      <w:bookmarkStart w:id="950" w:name="_Toc476067853"/>
      <w:r>
        <w:rPr>
          <w:rFonts w:ascii="Times New Roman" w:hAnsi="Times New Roman"/>
          <w:b/>
          <w:sz w:val="24"/>
        </w:rPr>
        <w:t>1.4</w:t>
      </w:r>
      <w:r>
        <w:tab/>
      </w:r>
      <w:r>
        <w:rPr>
          <w:rFonts w:ascii="Times New Roman" w:hAnsi="Times New Roman"/>
          <w:b/>
          <w:sz w:val="24"/>
        </w:rPr>
        <w:t>Type de mandat et objectif</w:t>
      </w:r>
      <w:bookmarkEnd w:id="945"/>
      <w:bookmarkEnd w:id="946"/>
      <w:bookmarkEnd w:id="947"/>
      <w:bookmarkEnd w:id="948"/>
      <w:bookmarkEnd w:id="949"/>
      <w:bookmarkEnd w:id="950"/>
    </w:p>
    <w:p w14:paraId="3A6A378D"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La vérification des dépenses porte sur l’exécution de certaines procédures spécifiques convenues en ce qui concerne le rapport financier relatif au contrat de subvention de jumelage. Cette vérification doit </w:t>
      </w:r>
      <w:r>
        <w:rPr>
          <w:rFonts w:ascii="Times New Roman" w:hAnsi="Times New Roman"/>
        </w:rPr>
        <w:lastRenderedPageBreak/>
        <w:t>permettre à l’auditeur d’appliquer les procédures spécifiques énumérées à l’annexe 2A des présents TdR et de soumettre au coordinateur un rapport d’observations factuelles en ce qui concerne les procédures spécifiques de vérification mises en œuvre. Dans le cadre de cette vérification, l’auditeur examine les informations factuelles contenues dans le rapport financier du coordinateur et les compare aux conditions du contrat de subvention de jumelage. Ce mandat ne contenant aucun engagement d’assurance, l’auditeur ne fournit aucun avis d’audit et aucune assurance. L’administration contractante évalue les observations factuelles communiquées par l’auditeur et en tire ses propres conclusions.</w:t>
      </w:r>
    </w:p>
    <w:p w14:paraId="4FC6D6B8" w14:textId="1BBA0E21" w:rsidR="00832F98" w:rsidRPr="005107DF" w:rsidRDefault="00832F98" w:rsidP="007338F0">
      <w:pPr>
        <w:rPr>
          <w:rFonts w:ascii="Times New Roman" w:hAnsi="Times New Roman" w:cs="Times New Roman"/>
          <w:b/>
          <w:sz w:val="24"/>
          <w:szCs w:val="24"/>
        </w:rPr>
      </w:pPr>
      <w:bookmarkStart w:id="951" w:name="_Toc442374366"/>
      <w:bookmarkStart w:id="952" w:name="_Toc442374856"/>
      <w:bookmarkStart w:id="953" w:name="_Toc443320178"/>
      <w:bookmarkStart w:id="954" w:name="_Toc464460025"/>
      <w:bookmarkStart w:id="955" w:name="_Toc476063372"/>
      <w:bookmarkStart w:id="956" w:name="_Toc476067854"/>
      <w:r>
        <w:rPr>
          <w:rFonts w:ascii="Times New Roman" w:hAnsi="Times New Roman"/>
          <w:b/>
          <w:sz w:val="24"/>
        </w:rPr>
        <w:t>1.5</w:t>
      </w:r>
      <w:r>
        <w:tab/>
      </w:r>
      <w:r>
        <w:rPr>
          <w:rFonts w:ascii="Times New Roman" w:hAnsi="Times New Roman"/>
          <w:b/>
          <w:sz w:val="24"/>
        </w:rPr>
        <w:t>Normes et éthique</w:t>
      </w:r>
      <w:bookmarkEnd w:id="951"/>
      <w:bookmarkEnd w:id="952"/>
      <w:bookmarkEnd w:id="953"/>
      <w:bookmarkEnd w:id="954"/>
      <w:bookmarkEnd w:id="955"/>
      <w:bookmarkEnd w:id="956"/>
    </w:p>
    <w:p w14:paraId="1A28418A"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exécute ce mandat:</w:t>
      </w:r>
    </w:p>
    <w:p w14:paraId="156705CE"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t>-</w:t>
      </w:r>
      <w:r>
        <w:tab/>
      </w:r>
      <w:r>
        <w:rPr>
          <w:rFonts w:ascii="Times New Roman" w:hAnsi="Times New Roman"/>
        </w:rPr>
        <w:t xml:space="preserve">dans le respect de la norme International Standard on Related Services («ISRS») </w:t>
      </w:r>
      <w:r>
        <w:rPr>
          <w:rFonts w:ascii="Times New Roman" w:hAnsi="Times New Roman"/>
          <w:i/>
        </w:rPr>
        <w:t>4400 Engagements to perform Agreed-upon Procedures regarding Financial Information</w:t>
      </w:r>
      <w:r>
        <w:rPr>
          <w:rFonts w:ascii="Times New Roman" w:hAnsi="Times New Roman"/>
        </w:rPr>
        <w:t xml:space="preserve"> [missions d’exécution de procédures convenues en matière d’information financière], publiée par l’IFAC;  </w:t>
      </w:r>
    </w:p>
    <w:p w14:paraId="2C566BEE" w14:textId="77777777" w:rsidR="00832F98" w:rsidRPr="005107DF" w:rsidRDefault="00832F98" w:rsidP="00D0198E">
      <w:pPr>
        <w:tabs>
          <w:tab w:val="num" w:pos="283"/>
        </w:tabs>
        <w:spacing w:after="240" w:line="240" w:lineRule="auto"/>
        <w:ind w:left="283" w:hanging="283"/>
        <w:jc w:val="both"/>
        <w:rPr>
          <w:rFonts w:ascii="Times New Roman" w:eastAsia="Times New Roman" w:hAnsi="Times New Roman" w:cs="Times New Roman"/>
        </w:rPr>
      </w:pPr>
      <w:r>
        <w:rPr>
          <w:rFonts w:ascii="Times New Roman" w:hAnsi="Times New Roman"/>
        </w:rPr>
        <w:t>- dans le respect du Code of Ethics for Professional Accountants [code d’éthique pour comptables professionnels], élaboré et publié par l’International Ethics Standards Board for Accountants (IESBA) [Conseil international pour les normes éthiques des comptables] de l’IFAC. Ce Code énonce des principes éthiques fondamentaux pour les auditeurs portant sur l’intégrité, l’objectivité, l’indépendance, la compétence professionnelle, l’obligation de prudence et de diligence, la confidentialité, le comportement professionnel et les normes techniques. Bien que l’ISRS 4400 ne prévoie pas l’indépendance comme critère pour les missions convenues, l’administration contractante exige que l’auditeur soit indépendant du ou des États membres partenaires et se conforme aux exigences d’indépendance du code d’éthique pour comptables professionnels de l’IFAC.</w:t>
      </w:r>
    </w:p>
    <w:p w14:paraId="0A7756DE" w14:textId="77777777" w:rsidR="00832F98" w:rsidRPr="005107DF" w:rsidRDefault="00832F98" w:rsidP="007338F0">
      <w:pPr>
        <w:rPr>
          <w:rFonts w:ascii="Times New Roman" w:hAnsi="Times New Roman" w:cs="Times New Roman"/>
          <w:b/>
          <w:sz w:val="24"/>
          <w:szCs w:val="24"/>
        </w:rPr>
      </w:pPr>
      <w:bookmarkStart w:id="957" w:name="_Toc442374367"/>
      <w:bookmarkStart w:id="958" w:name="_Toc442374857"/>
      <w:bookmarkStart w:id="959" w:name="_Toc443320179"/>
      <w:bookmarkStart w:id="960" w:name="_Toc464460026"/>
      <w:bookmarkStart w:id="961" w:name="_Toc476063373"/>
      <w:bookmarkStart w:id="962" w:name="_Toc476067855"/>
      <w:r>
        <w:rPr>
          <w:rFonts w:ascii="Times New Roman" w:hAnsi="Times New Roman"/>
          <w:b/>
          <w:sz w:val="24"/>
        </w:rPr>
        <w:t>1.6</w:t>
      </w:r>
      <w:r>
        <w:tab/>
      </w:r>
      <w:r>
        <w:rPr>
          <w:rFonts w:ascii="Times New Roman" w:hAnsi="Times New Roman"/>
          <w:b/>
          <w:sz w:val="24"/>
        </w:rPr>
        <w:t>Procédures, preuves et documentation</w:t>
      </w:r>
      <w:bookmarkEnd w:id="957"/>
      <w:bookmarkEnd w:id="958"/>
      <w:bookmarkEnd w:id="959"/>
      <w:bookmarkEnd w:id="960"/>
      <w:bookmarkEnd w:id="961"/>
      <w:bookmarkEnd w:id="962"/>
    </w:p>
    <w:p w14:paraId="1F4C281D"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planifie les activités de manière à permettre une vérification efficace des dépenses. L’auditeur met en œuvre les procédures énumérées à l’annexe 2A des présents TdR («Liste des procédures spécifiques à exécuter») et applique les lignes directrices figurant à l’annexe 2B («Lignes directrices relatives aux procédures spécifiques à exécuter»). Les preuves à utiliser pour l’exécution des procédures prévues à l’annexe 2A correspondent à toutes les informations financières et non financières permettant d’examiner les dépenses déclarées par le coordinateur dans le rapport financier. L’auditeur se fonde sur les preuves ainsi obtenues pour établir son rapport d’observations factuelles. Il assortit les points importants de justificatifs qui serviront à étayer le rapport d’observations factuelles et à garantir que le travail a été réalisé dans le respect de l’ISRS 4400 et des présents TdR.</w:t>
      </w:r>
    </w:p>
    <w:p w14:paraId="47ABB37B" w14:textId="77777777" w:rsidR="00832F98" w:rsidRPr="005107DF" w:rsidRDefault="00832F98" w:rsidP="007338F0">
      <w:pPr>
        <w:rPr>
          <w:rFonts w:ascii="Times New Roman" w:hAnsi="Times New Roman" w:cs="Times New Roman"/>
          <w:b/>
          <w:sz w:val="24"/>
          <w:szCs w:val="24"/>
        </w:rPr>
      </w:pPr>
      <w:bookmarkStart w:id="963" w:name="_Toc442374368"/>
      <w:bookmarkStart w:id="964" w:name="_Toc442374858"/>
      <w:bookmarkStart w:id="965" w:name="_Toc443320180"/>
      <w:bookmarkStart w:id="966" w:name="_Toc464460027"/>
      <w:bookmarkStart w:id="967" w:name="_Toc476063374"/>
      <w:bookmarkStart w:id="968" w:name="_Toc476067856"/>
      <w:r>
        <w:rPr>
          <w:rFonts w:ascii="Times New Roman" w:hAnsi="Times New Roman"/>
          <w:b/>
          <w:sz w:val="24"/>
        </w:rPr>
        <w:t>1.7</w:t>
      </w:r>
      <w:r>
        <w:tab/>
      </w:r>
      <w:r>
        <w:rPr>
          <w:rFonts w:ascii="Times New Roman" w:hAnsi="Times New Roman"/>
          <w:b/>
          <w:sz w:val="24"/>
        </w:rPr>
        <w:t>Présentation de rapports</w:t>
      </w:r>
      <w:bookmarkEnd w:id="963"/>
      <w:bookmarkEnd w:id="964"/>
      <w:bookmarkEnd w:id="965"/>
      <w:bookmarkEnd w:id="966"/>
      <w:bookmarkEnd w:id="967"/>
      <w:bookmarkEnd w:id="968"/>
    </w:p>
    <w:p w14:paraId="21115272" w14:textId="77777777" w:rsidR="00832F98" w:rsidRPr="005107DF" w:rsidRDefault="00832F98" w:rsidP="007338F0">
      <w:pPr>
        <w:spacing w:before="120" w:after="120" w:line="240" w:lineRule="auto"/>
        <w:jc w:val="both"/>
        <w:rPr>
          <w:rFonts w:ascii="Times New Roman" w:eastAsia="Times New Roman" w:hAnsi="Times New Roman" w:cs="Times New Roman"/>
        </w:rPr>
      </w:pPr>
      <w:r>
        <w:rPr>
          <w:rFonts w:ascii="Times New Roman" w:hAnsi="Times New Roman"/>
        </w:rPr>
        <w:t>Le rapport de vérification des dépenses devrait décrire l’objectif, les procédures convenues et les observations factuelles du mandat d’une manière suffisamment détaillée pour permettre au coordinateur et à l’administration contractante de comprendre la nature et la portée des procédures exécutées par l’auditeur et des observations factuelles communiquées par celui-ci.</w:t>
      </w:r>
    </w:p>
    <w:p w14:paraId="3094B44F" w14:textId="77777777" w:rsidR="00832F98" w:rsidRPr="005107DF" w:rsidRDefault="00832F98" w:rsidP="007338F0">
      <w:pPr>
        <w:spacing w:before="120" w:after="120" w:line="240" w:lineRule="auto"/>
        <w:jc w:val="both"/>
        <w:rPr>
          <w:rFonts w:ascii="Times New Roman" w:eastAsia="Times New Roman" w:hAnsi="Times New Roman" w:cs="Times New Roman"/>
        </w:rPr>
      </w:pPr>
      <w:r>
        <w:rPr>
          <w:rFonts w:ascii="Times New Roman" w:hAnsi="Times New Roman"/>
        </w:rPr>
        <w:t xml:space="preserve">L’utilisation du modèle de rapport de vérification des dépenses dans le cadre d’un </w:t>
      </w:r>
      <w:r>
        <w:rPr>
          <w:rFonts w:ascii="Times New Roman" w:hAnsi="Times New Roman"/>
          <w:color w:val="000000"/>
          <w:sz w:val="24"/>
        </w:rPr>
        <w:t>contrat de subvention de jumelage</w:t>
      </w:r>
      <w:r>
        <w:rPr>
          <w:rFonts w:ascii="Times New Roman" w:hAnsi="Times New Roman"/>
        </w:rPr>
        <w:t xml:space="preserve"> figurant à l’annexe 3 des présents TdR est </w:t>
      </w:r>
      <w:r>
        <w:rPr>
          <w:rFonts w:ascii="Times New Roman" w:hAnsi="Times New Roman"/>
          <w:u w:val="single"/>
        </w:rPr>
        <w:t>obligatoire</w:t>
      </w:r>
      <w:r>
        <w:rPr>
          <w:rFonts w:ascii="Times New Roman" w:hAnsi="Times New Roman"/>
        </w:rPr>
        <w:t>. Ce rapport devrait être fourni par l’auditeur à &lt;</w:t>
      </w:r>
      <w:r>
        <w:rPr>
          <w:rFonts w:ascii="Times New Roman" w:hAnsi="Times New Roman"/>
          <w:i/>
        </w:rPr>
        <w:t>nom du coordinateur</w:t>
      </w:r>
      <w:r>
        <w:rPr>
          <w:rFonts w:ascii="Times New Roman" w:hAnsi="Times New Roman"/>
        </w:rPr>
        <w:t xml:space="preserve">&gt; dans un délai de &lt;xx; </w:t>
      </w:r>
      <w:r>
        <w:rPr>
          <w:rFonts w:ascii="Times New Roman" w:hAnsi="Times New Roman"/>
          <w:i/>
        </w:rPr>
        <w:t>nombre de jours ouvrables à indiquer par le coordinateur</w:t>
      </w:r>
      <w:r>
        <w:rPr>
          <w:rFonts w:ascii="Times New Roman" w:hAnsi="Times New Roman"/>
        </w:rPr>
        <w:t>&gt; jours ouvrables suivant le jour de la signature des présents termes de référence.</w:t>
      </w:r>
    </w:p>
    <w:p w14:paraId="53D60CD2" w14:textId="77777777" w:rsidR="00832F98" w:rsidRPr="005107DF" w:rsidRDefault="00832F98" w:rsidP="007338F0">
      <w:pPr>
        <w:rPr>
          <w:rFonts w:ascii="Times New Roman" w:hAnsi="Times New Roman" w:cs="Times New Roman"/>
          <w:b/>
          <w:sz w:val="24"/>
          <w:szCs w:val="24"/>
        </w:rPr>
      </w:pPr>
      <w:bookmarkStart w:id="969" w:name="_Toc442374369"/>
      <w:bookmarkStart w:id="970" w:name="_Toc442374859"/>
      <w:bookmarkStart w:id="971" w:name="_Toc443320181"/>
      <w:bookmarkStart w:id="972" w:name="_Toc464460028"/>
      <w:bookmarkStart w:id="973" w:name="_Toc476063375"/>
      <w:bookmarkStart w:id="974" w:name="_Toc476067857"/>
      <w:r>
        <w:rPr>
          <w:rFonts w:ascii="Times New Roman" w:hAnsi="Times New Roman"/>
          <w:b/>
          <w:sz w:val="24"/>
        </w:rPr>
        <w:t>1.8</w:t>
      </w:r>
      <w:r>
        <w:tab/>
      </w:r>
      <w:r>
        <w:rPr>
          <w:rFonts w:ascii="Times New Roman" w:hAnsi="Times New Roman"/>
          <w:b/>
          <w:sz w:val="24"/>
        </w:rPr>
        <w:t>Autres conditions</w:t>
      </w:r>
      <w:bookmarkEnd w:id="969"/>
      <w:bookmarkEnd w:id="970"/>
      <w:bookmarkEnd w:id="971"/>
      <w:bookmarkEnd w:id="972"/>
      <w:bookmarkEnd w:id="973"/>
      <w:bookmarkEnd w:id="974"/>
    </w:p>
    <w:p w14:paraId="55B6B120" w14:textId="77777777" w:rsidR="00832F98" w:rsidRPr="005107DF" w:rsidRDefault="00832F98" w:rsidP="00D0198E">
      <w:pPr>
        <w:spacing w:before="120" w:after="120" w:line="240" w:lineRule="auto"/>
        <w:rPr>
          <w:rFonts w:ascii="Times New Roman" w:eastAsia="Times New Roman" w:hAnsi="Times New Roman" w:cs="Times New Roman"/>
          <w:i/>
        </w:rPr>
      </w:pPr>
      <w:r>
        <w:rPr>
          <w:rFonts w:ascii="Times New Roman" w:hAnsi="Times New Roman"/>
        </w:rPr>
        <w:t>Les honoraires du mandat sont de &lt;</w:t>
      </w:r>
      <w:r>
        <w:rPr>
          <w:rFonts w:ascii="Times New Roman" w:hAnsi="Times New Roman"/>
          <w:i/>
        </w:rPr>
        <w:t>montant des honoraires et devise</w:t>
      </w:r>
      <w:r>
        <w:rPr>
          <w:rFonts w:ascii="Times New Roman" w:hAnsi="Times New Roman"/>
        </w:rPr>
        <w:t>&gt;.</w:t>
      </w:r>
      <w:r>
        <w:rPr>
          <w:rFonts w:ascii="Times New Roman" w:hAnsi="Times New Roman"/>
          <w:i/>
        </w:rPr>
        <w:t xml:space="preserve"> </w:t>
      </w:r>
    </w:p>
    <w:p w14:paraId="5CB5F47C" w14:textId="77777777" w:rsidR="00832F98" w:rsidRPr="005107DF" w:rsidRDefault="00832F98" w:rsidP="00D0198E">
      <w:pPr>
        <w:spacing w:before="120" w:after="120" w:line="240" w:lineRule="auto"/>
        <w:jc w:val="both"/>
        <w:rPr>
          <w:rFonts w:ascii="Times New Roman" w:eastAsia="Times New Roman" w:hAnsi="Times New Roman" w:cs="Times New Roman"/>
          <w:b/>
        </w:rPr>
      </w:pPr>
      <w:r>
        <w:rPr>
          <w:rFonts w:ascii="Times New Roman" w:hAnsi="Times New Roman"/>
        </w:rPr>
        <w:t xml:space="preserve">[Le coordinateur souhaitera peut-être convenir d’honoraires fixes ou autres pour le mandat. Le coordinateur et l’auditeur pourraient souhaiter convenir de conditions spécifiques si l’auditeur a besoin d’étendre la couverture de la vérification de 65 % à 85 %. Le coordinateur devrait préciser l’ensemble </w:t>
      </w:r>
      <w:r>
        <w:rPr>
          <w:rFonts w:ascii="Times New Roman" w:hAnsi="Times New Roman"/>
        </w:rPr>
        <w:lastRenderedPageBreak/>
        <w:t xml:space="preserve">des frais remboursables et des indemnités (par exemple déplacement, autre) convenus avec l’auditeur et indiquer si la TVA et/ou d’autres taxes pertinentes sont incluses dans les honoraires/frais.] </w:t>
      </w:r>
    </w:p>
    <w:p w14:paraId="4B712D69"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[Le coordinateur et l’auditeur peuvent utiliser cette section pour convenir de toute autre condition spécifique.]</w:t>
      </w:r>
    </w:p>
    <w:p w14:paraId="4FE7F25B" w14:textId="082B3653" w:rsidR="00832F98" w:rsidRDefault="00832F98" w:rsidP="00D0198E">
      <w:pPr>
        <w:spacing w:after="0" w:line="240" w:lineRule="auto"/>
        <w:ind w:left="1080" w:hanging="1080"/>
        <w:jc w:val="both"/>
        <w:rPr>
          <w:rFonts w:ascii="Times New Roman" w:eastAsia="Times New Roman" w:hAnsi="Times New Roman" w:cs="Times New Roman"/>
          <w:sz w:val="20"/>
          <w:szCs w:val="20"/>
        </w:rPr>
      </w:pPr>
    </w:p>
    <w:p w14:paraId="3D4879E9" w14:textId="77777777" w:rsidR="00DB0220" w:rsidRPr="005107DF" w:rsidRDefault="00DB0220" w:rsidP="00D0198E">
      <w:pPr>
        <w:spacing w:after="0" w:line="240" w:lineRule="auto"/>
        <w:ind w:left="1080" w:hanging="1080"/>
        <w:jc w:val="both"/>
        <w:rPr>
          <w:rFonts w:ascii="Times New Roman" w:eastAsia="Times New Roman" w:hAnsi="Times New Roman" w:cs="Times New Roman"/>
          <w:sz w:val="20"/>
          <w:szCs w:val="20"/>
        </w:rPr>
      </w:pPr>
    </w:p>
    <w:p w14:paraId="10496567" w14:textId="77777777" w:rsidR="00832F98" w:rsidRPr="005107DF" w:rsidRDefault="00832F98" w:rsidP="00D0198E">
      <w:pPr>
        <w:spacing w:after="0" w:line="240" w:lineRule="auto"/>
        <w:ind w:left="1080" w:hanging="1080"/>
        <w:jc w:val="both"/>
        <w:rPr>
          <w:rFonts w:ascii="Times New Roman" w:eastAsia="Times New Roman" w:hAnsi="Times New Roman" w:cs="Times New Roman"/>
        </w:rPr>
      </w:pPr>
      <w:r>
        <w:rPr>
          <w:rFonts w:ascii="Times New Roman" w:hAnsi="Times New Roman"/>
          <w:b/>
        </w:rPr>
        <w:t>Annexe 1</w:t>
      </w:r>
      <w:r>
        <w:tab/>
      </w:r>
      <w:r>
        <w:rPr>
          <w:rFonts w:ascii="Times New Roman" w:hAnsi="Times New Roman"/>
        </w:rPr>
        <w:t>Informations relatives au contrat de subvention de jumelage</w:t>
      </w:r>
    </w:p>
    <w:p w14:paraId="6AC3D9D0" w14:textId="77777777" w:rsidR="00832F98" w:rsidRPr="005107DF" w:rsidRDefault="00832F98" w:rsidP="00D0198E">
      <w:pPr>
        <w:spacing w:after="0" w:line="240" w:lineRule="auto"/>
        <w:ind w:left="1080" w:hanging="1080"/>
        <w:jc w:val="both"/>
        <w:rPr>
          <w:rFonts w:ascii="Times New Roman" w:eastAsia="Times New Roman" w:hAnsi="Times New Roman" w:cs="Times New Roman"/>
        </w:rPr>
      </w:pPr>
      <w:r>
        <w:rPr>
          <w:rFonts w:ascii="Times New Roman" w:hAnsi="Times New Roman"/>
          <w:b/>
        </w:rPr>
        <w:t>Annexe 2A</w:t>
      </w:r>
      <w:r>
        <w:tab/>
      </w:r>
      <w:r>
        <w:rPr>
          <w:rFonts w:ascii="Times New Roman" w:hAnsi="Times New Roman"/>
        </w:rPr>
        <w:t>Liste des procédures spécifiques à exécuter</w:t>
      </w:r>
    </w:p>
    <w:p w14:paraId="7687DFA5" w14:textId="77777777" w:rsidR="00832F98" w:rsidRPr="005107DF" w:rsidRDefault="00832F98" w:rsidP="00D0198E">
      <w:pPr>
        <w:spacing w:after="0" w:line="240" w:lineRule="auto"/>
        <w:ind w:left="1080" w:hanging="1080"/>
        <w:jc w:val="both"/>
        <w:rPr>
          <w:rFonts w:ascii="Times New Roman" w:eastAsia="Times New Roman" w:hAnsi="Times New Roman" w:cs="Times New Roman"/>
        </w:rPr>
      </w:pPr>
      <w:r>
        <w:rPr>
          <w:rFonts w:ascii="Times New Roman" w:hAnsi="Times New Roman"/>
          <w:b/>
        </w:rPr>
        <w:t>Annexe 2B</w:t>
      </w:r>
      <w:r>
        <w:tab/>
      </w:r>
      <w:r>
        <w:rPr>
          <w:rFonts w:ascii="Times New Roman" w:hAnsi="Times New Roman"/>
        </w:rPr>
        <w:t>Lignes directrices relatives aux procédures spécifiques à exécuter</w:t>
      </w:r>
    </w:p>
    <w:p w14:paraId="559BAA09" w14:textId="77777777" w:rsidR="00832F98" w:rsidRPr="005107DF" w:rsidRDefault="00832F98" w:rsidP="00D0198E">
      <w:pPr>
        <w:spacing w:after="0" w:line="240" w:lineRule="auto"/>
        <w:ind w:left="1080" w:hanging="1080"/>
        <w:jc w:val="both"/>
        <w:rPr>
          <w:rFonts w:ascii="Times New Roman" w:eastAsia="Times New Roman" w:hAnsi="Times New Roman" w:cs="Times New Roman"/>
        </w:rPr>
      </w:pPr>
      <w:r>
        <w:rPr>
          <w:rFonts w:ascii="Times New Roman" w:hAnsi="Times New Roman"/>
          <w:b/>
        </w:rPr>
        <w:t>Annexe 3</w:t>
      </w:r>
      <w:r>
        <w:tab/>
      </w:r>
      <w:r>
        <w:rPr>
          <w:rFonts w:ascii="Times New Roman" w:hAnsi="Times New Roman"/>
        </w:rPr>
        <w:t>Modèle de rapport de vérification des dépenses d’un contrat de subvention de jumelage de l’UE</w:t>
      </w:r>
    </w:p>
    <w:p w14:paraId="4FD70717" w14:textId="77777777" w:rsidR="00832F98" w:rsidRPr="005107DF" w:rsidRDefault="00832F98" w:rsidP="007338F0">
      <w:pPr>
        <w:spacing w:after="0" w:line="240" w:lineRule="auto"/>
        <w:jc w:val="both"/>
        <w:rPr>
          <w:rFonts w:ascii="Times New Roman" w:eastAsia="Times New Roman" w:hAnsi="Times New Roman" w:cs="Times New Roman"/>
          <w:sz w:val="16"/>
          <w:szCs w:val="16"/>
        </w:rPr>
      </w:pPr>
    </w:p>
    <w:tbl>
      <w:tblPr>
        <w:tblW w:w="0" w:type="auto"/>
        <w:tblBorders>
          <w:insideH w:val="single" w:sz="4" w:space="0" w:color="auto"/>
        </w:tblBorders>
        <w:tblLook w:val="01E0" w:firstRow="1" w:lastRow="1" w:firstColumn="1" w:lastColumn="1" w:noHBand="0" w:noVBand="0"/>
      </w:tblPr>
      <w:tblGrid>
        <w:gridCol w:w="4643"/>
        <w:gridCol w:w="4643"/>
      </w:tblGrid>
      <w:tr w:rsidR="00832F98" w:rsidRPr="005107DF" w14:paraId="087C4FE2" w14:textId="77777777" w:rsidTr="006B3558">
        <w:tc>
          <w:tcPr>
            <w:tcW w:w="4643" w:type="dxa"/>
            <w:shd w:val="clear" w:color="auto" w:fill="auto"/>
          </w:tcPr>
          <w:p w14:paraId="0737E5CF" w14:textId="77777777" w:rsidR="00832F98" w:rsidRDefault="00832F98" w:rsidP="006B3558">
            <w:pPr>
              <w:spacing w:before="120" w:after="120" w:line="240" w:lineRule="auto"/>
              <w:jc w:val="both"/>
              <w:rPr>
                <w:rFonts w:ascii="Times New Roman" w:eastAsia="Times New Roman" w:hAnsi="Times New Roman" w:cs="Times New Roman"/>
                <w:b/>
                <w:sz w:val="20"/>
                <w:szCs w:val="20"/>
              </w:rPr>
            </w:pPr>
          </w:p>
          <w:p w14:paraId="53BA971E" w14:textId="77777777" w:rsidR="00832F98" w:rsidRDefault="00832F98" w:rsidP="006B3558">
            <w:pPr>
              <w:spacing w:before="120" w:after="120" w:line="240" w:lineRule="auto"/>
              <w:jc w:val="both"/>
              <w:rPr>
                <w:rFonts w:ascii="Times New Roman" w:eastAsia="Times New Roman" w:hAnsi="Times New Roman" w:cs="Times New Roman"/>
                <w:b/>
                <w:sz w:val="20"/>
                <w:szCs w:val="20"/>
              </w:rPr>
            </w:pPr>
          </w:p>
          <w:p w14:paraId="38442979" w14:textId="77777777" w:rsidR="00832F98" w:rsidRPr="005107DF" w:rsidRDefault="00832F98" w:rsidP="006B3558">
            <w:pPr>
              <w:spacing w:before="120" w:after="120" w:line="240" w:lineRule="auto"/>
              <w:jc w:val="both"/>
              <w:rPr>
                <w:rFonts w:ascii="Times New Roman" w:eastAsia="Times New Roman" w:hAnsi="Times New Roman" w:cs="Times New Roman"/>
                <w:b/>
                <w:sz w:val="20"/>
                <w:szCs w:val="20"/>
              </w:rPr>
            </w:pPr>
            <w:r>
              <w:rPr>
                <w:rFonts w:ascii="Times New Roman" w:hAnsi="Times New Roman"/>
                <w:b/>
                <w:sz w:val="20"/>
              </w:rPr>
              <w:t>Pour l’État membre partenaire:</w:t>
            </w:r>
          </w:p>
          <w:p w14:paraId="29F7DD0D" w14:textId="77777777" w:rsidR="00832F98" w:rsidRPr="005107DF" w:rsidRDefault="00832F98" w:rsidP="006B3558">
            <w:pPr>
              <w:spacing w:before="120" w:after="120" w:line="240" w:lineRule="auto"/>
              <w:jc w:val="both"/>
              <w:rPr>
                <w:rFonts w:ascii="Times New Roman" w:eastAsia="Times New Roman" w:hAnsi="Times New Roman" w:cs="Times New Roman"/>
              </w:rPr>
            </w:pPr>
          </w:p>
          <w:p w14:paraId="24E80A40" w14:textId="77777777" w:rsidR="00832F98" w:rsidRPr="005107DF" w:rsidRDefault="00832F98" w:rsidP="006B3558">
            <w:pPr>
              <w:spacing w:before="120" w:after="120" w:line="240" w:lineRule="auto"/>
              <w:jc w:val="both"/>
              <w:rPr>
                <w:rFonts w:ascii="Times New Roman" w:eastAsia="Times New Roman" w:hAnsi="Times New Roman" w:cs="Times New Roman"/>
              </w:rPr>
            </w:pPr>
            <w:r>
              <w:rPr>
                <w:rFonts w:ascii="Times New Roman" w:hAnsi="Times New Roman"/>
              </w:rPr>
              <w:t>Signature</w:t>
            </w:r>
          </w:p>
          <w:p w14:paraId="74DDFA82" w14:textId="77777777" w:rsidR="00832F98" w:rsidRPr="005107DF" w:rsidRDefault="00832F98" w:rsidP="006B3558">
            <w:pPr>
              <w:spacing w:before="120" w:after="120" w:line="240" w:lineRule="auto"/>
              <w:jc w:val="both"/>
              <w:rPr>
                <w:rFonts w:ascii="Times New Roman" w:eastAsia="Times New Roman" w:hAnsi="Times New Roman" w:cs="Times New Roman"/>
              </w:rPr>
            </w:pPr>
            <w:r>
              <w:rPr>
                <w:rFonts w:ascii="Times New Roman" w:hAnsi="Times New Roman"/>
              </w:rPr>
              <w:t>&lt;</w:t>
            </w:r>
            <w:r>
              <w:rPr>
                <w:rFonts w:ascii="Times New Roman" w:hAnsi="Times New Roman"/>
                <w:i/>
              </w:rPr>
              <w:t>nom et fonction</w:t>
            </w:r>
            <w:r>
              <w:rPr>
                <w:rFonts w:ascii="Times New Roman" w:hAnsi="Times New Roman"/>
              </w:rPr>
              <w:t>&gt;</w:t>
            </w:r>
          </w:p>
          <w:p w14:paraId="02E05573" w14:textId="77777777" w:rsidR="00832F98" w:rsidRPr="005107DF" w:rsidRDefault="00832F98" w:rsidP="006B3558">
            <w:pPr>
              <w:spacing w:before="120" w:after="120" w:line="240" w:lineRule="auto"/>
              <w:jc w:val="both"/>
              <w:rPr>
                <w:rFonts w:ascii="Times New Roman" w:eastAsia="Times New Roman" w:hAnsi="Times New Roman" w:cs="Times New Roman"/>
              </w:rPr>
            </w:pPr>
            <w:r>
              <w:rPr>
                <w:rFonts w:ascii="Times New Roman" w:hAnsi="Times New Roman"/>
              </w:rPr>
              <w:t>&lt;</w:t>
            </w:r>
            <w:r>
              <w:rPr>
                <w:rFonts w:ascii="Times New Roman" w:hAnsi="Times New Roman"/>
                <w:i/>
              </w:rPr>
              <w:t>date</w:t>
            </w:r>
            <w:r>
              <w:rPr>
                <w:rFonts w:ascii="Times New Roman" w:hAnsi="Times New Roman"/>
              </w:rPr>
              <w:t>&gt;</w:t>
            </w:r>
          </w:p>
        </w:tc>
        <w:tc>
          <w:tcPr>
            <w:tcW w:w="4643" w:type="dxa"/>
            <w:shd w:val="clear" w:color="auto" w:fill="auto"/>
          </w:tcPr>
          <w:p w14:paraId="733AD8F1" w14:textId="77777777" w:rsidR="00832F98" w:rsidRDefault="00832F98" w:rsidP="006B3558">
            <w:pPr>
              <w:spacing w:before="120" w:after="120" w:line="240" w:lineRule="auto"/>
              <w:jc w:val="both"/>
              <w:rPr>
                <w:rFonts w:ascii="Times New Roman" w:eastAsia="Times New Roman" w:hAnsi="Times New Roman" w:cs="Times New Roman"/>
                <w:b/>
                <w:sz w:val="20"/>
                <w:szCs w:val="20"/>
              </w:rPr>
            </w:pPr>
          </w:p>
          <w:p w14:paraId="33A19049" w14:textId="77777777" w:rsidR="00832F98" w:rsidRDefault="00832F98" w:rsidP="006B3558">
            <w:pPr>
              <w:spacing w:before="120" w:after="120" w:line="240" w:lineRule="auto"/>
              <w:jc w:val="both"/>
              <w:rPr>
                <w:rFonts w:ascii="Times New Roman" w:eastAsia="Times New Roman" w:hAnsi="Times New Roman" w:cs="Times New Roman"/>
                <w:b/>
                <w:sz w:val="20"/>
                <w:szCs w:val="20"/>
              </w:rPr>
            </w:pPr>
          </w:p>
          <w:p w14:paraId="4B5B77E4" w14:textId="77777777" w:rsidR="00832F98" w:rsidRPr="005107DF" w:rsidRDefault="00832F98" w:rsidP="006B3558">
            <w:pPr>
              <w:spacing w:before="120" w:after="120" w:line="240" w:lineRule="auto"/>
              <w:jc w:val="both"/>
              <w:rPr>
                <w:rFonts w:ascii="Times New Roman" w:eastAsia="Times New Roman" w:hAnsi="Times New Roman" w:cs="Times New Roman"/>
                <w:b/>
                <w:sz w:val="20"/>
                <w:szCs w:val="20"/>
              </w:rPr>
            </w:pPr>
            <w:r>
              <w:rPr>
                <w:rFonts w:ascii="Times New Roman" w:hAnsi="Times New Roman"/>
                <w:b/>
                <w:sz w:val="20"/>
              </w:rPr>
              <w:t>Pour l’auditeur:</w:t>
            </w:r>
          </w:p>
          <w:p w14:paraId="0F134CC8" w14:textId="77777777" w:rsidR="00832F98" w:rsidRPr="005107DF" w:rsidRDefault="00832F98" w:rsidP="006B3558">
            <w:pPr>
              <w:spacing w:before="120" w:after="120" w:line="240" w:lineRule="auto"/>
              <w:jc w:val="both"/>
              <w:rPr>
                <w:rFonts w:ascii="Times New Roman" w:eastAsia="Times New Roman" w:hAnsi="Times New Roman" w:cs="Times New Roman"/>
              </w:rPr>
            </w:pPr>
          </w:p>
          <w:p w14:paraId="72755E28" w14:textId="77777777" w:rsidR="00832F98" w:rsidRPr="005107DF" w:rsidRDefault="00832F98" w:rsidP="006B3558">
            <w:pPr>
              <w:spacing w:before="120" w:after="120" w:line="240" w:lineRule="auto"/>
              <w:jc w:val="both"/>
              <w:rPr>
                <w:rFonts w:ascii="Times New Roman" w:eastAsia="Times New Roman" w:hAnsi="Times New Roman" w:cs="Times New Roman"/>
              </w:rPr>
            </w:pPr>
            <w:r>
              <w:rPr>
                <w:rFonts w:ascii="Times New Roman" w:hAnsi="Times New Roman"/>
              </w:rPr>
              <w:t>Signature</w:t>
            </w:r>
          </w:p>
          <w:p w14:paraId="1BAA2C01" w14:textId="77777777" w:rsidR="00832F98" w:rsidRPr="005107DF" w:rsidRDefault="00832F98" w:rsidP="006B3558">
            <w:pPr>
              <w:spacing w:before="120" w:after="120" w:line="240" w:lineRule="auto"/>
              <w:jc w:val="both"/>
              <w:rPr>
                <w:rFonts w:ascii="Times New Roman" w:eastAsia="Times New Roman" w:hAnsi="Times New Roman" w:cs="Times New Roman"/>
              </w:rPr>
            </w:pPr>
            <w:r>
              <w:rPr>
                <w:rFonts w:ascii="Times New Roman" w:hAnsi="Times New Roman"/>
              </w:rPr>
              <w:t>&lt;</w:t>
            </w:r>
            <w:r>
              <w:rPr>
                <w:rFonts w:ascii="Times New Roman" w:hAnsi="Times New Roman"/>
                <w:i/>
              </w:rPr>
              <w:t>nom et fonction</w:t>
            </w:r>
            <w:r>
              <w:rPr>
                <w:rFonts w:ascii="Times New Roman" w:hAnsi="Times New Roman"/>
              </w:rPr>
              <w:t>&gt;</w:t>
            </w:r>
          </w:p>
          <w:p w14:paraId="6A66E56C" w14:textId="77777777" w:rsidR="00832F98" w:rsidRPr="005107DF" w:rsidRDefault="00832F98" w:rsidP="006B3558">
            <w:pPr>
              <w:spacing w:before="120" w:after="120" w:line="240" w:lineRule="auto"/>
              <w:jc w:val="both"/>
              <w:rPr>
                <w:rFonts w:ascii="Times New Roman" w:eastAsia="Times New Roman" w:hAnsi="Times New Roman" w:cs="Times New Roman"/>
              </w:rPr>
            </w:pPr>
            <w:r>
              <w:rPr>
                <w:rFonts w:ascii="Times New Roman" w:hAnsi="Times New Roman"/>
              </w:rPr>
              <w:t>&lt;</w:t>
            </w:r>
            <w:r>
              <w:rPr>
                <w:rFonts w:ascii="Times New Roman" w:hAnsi="Times New Roman"/>
                <w:i/>
              </w:rPr>
              <w:t>date</w:t>
            </w:r>
            <w:r>
              <w:rPr>
                <w:rFonts w:ascii="Times New Roman" w:hAnsi="Times New Roman"/>
              </w:rPr>
              <w:t>&gt;</w:t>
            </w:r>
          </w:p>
        </w:tc>
      </w:tr>
    </w:tbl>
    <w:p w14:paraId="241136F1" w14:textId="2E5481AC" w:rsidR="00DB0220" w:rsidRDefault="00DB0220" w:rsidP="007338F0">
      <w:pPr>
        <w:rPr>
          <w:rFonts w:ascii="Times New Roman" w:hAnsi="Times New Roman" w:cs="Times New Roman"/>
          <w:b/>
        </w:rPr>
      </w:pPr>
      <w:bookmarkStart w:id="975" w:name="_Toc132001878"/>
      <w:bookmarkStart w:id="976" w:name="_Toc442374370"/>
      <w:bookmarkStart w:id="977" w:name="_Toc442374860"/>
      <w:bookmarkStart w:id="978" w:name="_Toc443320182"/>
      <w:bookmarkStart w:id="979" w:name="_Toc464460029"/>
      <w:bookmarkStart w:id="980" w:name="_Toc476063376"/>
      <w:bookmarkStart w:id="981" w:name="_Toc476067858"/>
    </w:p>
    <w:p w14:paraId="7AFF5E3A" w14:textId="77777777" w:rsidR="00DB0220" w:rsidRDefault="00DB0220">
      <w:pPr>
        <w:rPr>
          <w:rFonts w:ascii="Times New Roman" w:hAnsi="Times New Roman" w:cs="Times New Roman"/>
          <w:b/>
        </w:rPr>
      </w:pPr>
      <w:r>
        <w:rPr>
          <w:rFonts w:ascii="Times New Roman" w:hAnsi="Times New Roman" w:cs="Times New Roman"/>
          <w:b/>
        </w:rPr>
        <w:br w:type="page"/>
      </w:r>
    </w:p>
    <w:p w14:paraId="43758AFA" w14:textId="61F3B7DB" w:rsidR="00832F98" w:rsidRPr="005107DF" w:rsidRDefault="00832F98" w:rsidP="007338F0">
      <w:pPr>
        <w:rPr>
          <w:rFonts w:ascii="Times New Roman" w:hAnsi="Times New Roman" w:cs="Times New Roman"/>
          <w:b/>
        </w:rPr>
      </w:pPr>
      <w:r>
        <w:rPr>
          <w:rFonts w:ascii="Times New Roman" w:hAnsi="Times New Roman"/>
          <w:b/>
        </w:rPr>
        <w:lastRenderedPageBreak/>
        <w:t xml:space="preserve">Annexe 1: Informations relatives au contrat de subvention de </w:t>
      </w:r>
      <w:bookmarkEnd w:id="975"/>
      <w:bookmarkEnd w:id="976"/>
      <w:bookmarkEnd w:id="977"/>
      <w:bookmarkEnd w:id="978"/>
      <w:bookmarkEnd w:id="979"/>
      <w:r>
        <w:rPr>
          <w:rFonts w:ascii="Times New Roman" w:hAnsi="Times New Roman"/>
          <w:b/>
        </w:rPr>
        <w:t>jumelage</w:t>
      </w:r>
      <w:bookmarkEnd w:id="980"/>
      <w:bookmarkEnd w:id="981"/>
    </w:p>
    <w:p w14:paraId="0F6160FB" w14:textId="77777777" w:rsidR="00832F98" w:rsidRPr="005107DF" w:rsidRDefault="00832F98" w:rsidP="007338F0">
      <w:pPr>
        <w:rPr>
          <w:rFonts w:ascii="Times New Roman" w:hAnsi="Times New Roman" w:cs="Times New Roman"/>
          <w:b/>
        </w:rPr>
      </w:pPr>
      <w:r>
        <w:rPr>
          <w:rFonts w:ascii="Times New Roman" w:hAnsi="Times New Roman"/>
          <w:b/>
        </w:rPr>
        <w:t xml:space="preserve">[Annexe à remplir par le coordinateur] </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600"/>
        <w:gridCol w:w="6126"/>
      </w:tblGrid>
      <w:tr w:rsidR="00832F98" w:rsidRPr="005107DF" w14:paraId="0B2BBA5F" w14:textId="77777777" w:rsidTr="006B3558">
        <w:tc>
          <w:tcPr>
            <w:tcW w:w="8726" w:type="dxa"/>
            <w:gridSpan w:val="2"/>
            <w:shd w:val="clear" w:color="auto" w:fill="auto"/>
          </w:tcPr>
          <w:p w14:paraId="25D22D97" w14:textId="77777777" w:rsidR="00832F98" w:rsidRPr="005107DF" w:rsidRDefault="00832F98" w:rsidP="006B3558">
            <w:pPr>
              <w:spacing w:before="120" w:after="120" w:line="240" w:lineRule="auto"/>
              <w:jc w:val="center"/>
              <w:rPr>
                <w:rFonts w:ascii="Times New Roman" w:eastAsia="Times New Roman" w:hAnsi="Times New Roman" w:cs="Times New Roman"/>
                <w:b/>
              </w:rPr>
            </w:pPr>
            <w:r>
              <w:rPr>
                <w:rFonts w:ascii="Times New Roman" w:hAnsi="Times New Roman"/>
                <w:b/>
              </w:rPr>
              <w:t>Informations relatives au contrat de subvention de jumelage</w:t>
            </w:r>
          </w:p>
        </w:tc>
      </w:tr>
      <w:tr w:rsidR="00832F98" w:rsidRPr="005107DF" w14:paraId="445F898B" w14:textId="77777777" w:rsidTr="006B3558">
        <w:tc>
          <w:tcPr>
            <w:tcW w:w="2600" w:type="dxa"/>
            <w:shd w:val="clear" w:color="auto" w:fill="auto"/>
          </w:tcPr>
          <w:p w14:paraId="2799910D"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Numéro de référence et date du contrat de subvention de jumelage</w:t>
            </w:r>
          </w:p>
        </w:tc>
        <w:tc>
          <w:tcPr>
            <w:tcW w:w="6126" w:type="dxa"/>
            <w:shd w:val="clear" w:color="auto" w:fill="auto"/>
          </w:tcPr>
          <w:p w14:paraId="495E5E96" w14:textId="77777777" w:rsidR="00832F98" w:rsidRPr="005107DF" w:rsidRDefault="00832F98" w:rsidP="005F15DD">
            <w:pPr>
              <w:spacing w:before="120" w:after="120" w:line="240" w:lineRule="auto"/>
              <w:jc w:val="both"/>
              <w:rPr>
                <w:rFonts w:ascii="Times New Roman" w:eastAsia="Times New Roman" w:hAnsi="Times New Roman" w:cs="Times New Roman"/>
              </w:rPr>
            </w:pPr>
            <w:r>
              <w:rPr>
                <w:rFonts w:ascii="Times New Roman" w:hAnsi="Times New Roman"/>
              </w:rPr>
              <w:t>&lt;Référence du contrat de subvention de jumelage attribuée par l’administration contractante&gt;</w:t>
            </w:r>
          </w:p>
        </w:tc>
      </w:tr>
      <w:tr w:rsidR="00832F98" w:rsidRPr="005107DF" w14:paraId="312FA06C" w14:textId="77777777" w:rsidTr="006B3558">
        <w:tc>
          <w:tcPr>
            <w:tcW w:w="2600" w:type="dxa"/>
            <w:shd w:val="clear" w:color="auto" w:fill="auto"/>
          </w:tcPr>
          <w:p w14:paraId="202C664D"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 xml:space="preserve">Intitulé du contrat de subvention de jumelage </w:t>
            </w:r>
          </w:p>
        </w:tc>
        <w:tc>
          <w:tcPr>
            <w:tcW w:w="6126" w:type="dxa"/>
            <w:shd w:val="clear" w:color="auto" w:fill="auto"/>
          </w:tcPr>
          <w:p w14:paraId="625D526A" w14:textId="77777777" w:rsidR="00832F98" w:rsidRPr="005107DF" w:rsidRDefault="00832F98" w:rsidP="006B3558">
            <w:pPr>
              <w:spacing w:before="120" w:after="120" w:line="240" w:lineRule="auto"/>
              <w:rPr>
                <w:rFonts w:ascii="Times New Roman" w:eastAsia="Times New Roman" w:hAnsi="Times New Roman" w:cs="Times New Roman"/>
              </w:rPr>
            </w:pPr>
          </w:p>
        </w:tc>
      </w:tr>
      <w:tr w:rsidR="00832F98" w:rsidRPr="005107DF" w14:paraId="502869E7" w14:textId="77777777" w:rsidTr="006B3558">
        <w:tc>
          <w:tcPr>
            <w:tcW w:w="2600" w:type="dxa"/>
            <w:shd w:val="clear" w:color="auto" w:fill="auto"/>
          </w:tcPr>
          <w:p w14:paraId="0B2A2901"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Pays</w:t>
            </w:r>
          </w:p>
        </w:tc>
        <w:tc>
          <w:tcPr>
            <w:tcW w:w="6126" w:type="dxa"/>
            <w:shd w:val="clear" w:color="auto" w:fill="auto"/>
          </w:tcPr>
          <w:p w14:paraId="6B73AFB4" w14:textId="77777777" w:rsidR="00832F98" w:rsidRPr="005107DF" w:rsidRDefault="00832F98" w:rsidP="006B3558">
            <w:pPr>
              <w:spacing w:before="120" w:after="120" w:line="240" w:lineRule="auto"/>
              <w:rPr>
                <w:rFonts w:ascii="Times New Roman" w:eastAsia="Times New Roman" w:hAnsi="Times New Roman" w:cs="Times New Roman"/>
              </w:rPr>
            </w:pPr>
          </w:p>
        </w:tc>
      </w:tr>
      <w:tr w:rsidR="00832F98" w:rsidRPr="005107DF" w14:paraId="1F11ACB1" w14:textId="77777777" w:rsidTr="006B3558">
        <w:tc>
          <w:tcPr>
            <w:tcW w:w="2600" w:type="dxa"/>
            <w:shd w:val="clear" w:color="auto" w:fill="auto"/>
          </w:tcPr>
          <w:p w14:paraId="397390C5" w14:textId="77777777" w:rsidR="00832F98" w:rsidRPr="005107DF" w:rsidRDefault="00832F98" w:rsidP="005F15DD">
            <w:pPr>
              <w:spacing w:before="120" w:after="120" w:line="240" w:lineRule="auto"/>
              <w:jc w:val="both"/>
              <w:rPr>
                <w:rFonts w:ascii="Times New Roman" w:eastAsia="Times New Roman" w:hAnsi="Times New Roman" w:cs="Times New Roman"/>
              </w:rPr>
            </w:pPr>
            <w:r>
              <w:rPr>
                <w:rFonts w:ascii="Times New Roman" w:hAnsi="Times New Roman"/>
              </w:rPr>
              <w:t>État(s) membre(s) partenaire(s) (EMP)</w:t>
            </w:r>
          </w:p>
        </w:tc>
        <w:tc>
          <w:tcPr>
            <w:tcW w:w="6126" w:type="dxa"/>
            <w:shd w:val="clear" w:color="auto" w:fill="auto"/>
          </w:tcPr>
          <w:p w14:paraId="2185A4D8" w14:textId="77777777" w:rsidR="00832F98" w:rsidRPr="005107DF" w:rsidRDefault="00832F98" w:rsidP="005F15DD">
            <w:pPr>
              <w:spacing w:before="120" w:after="120" w:line="240" w:lineRule="auto"/>
              <w:jc w:val="both"/>
              <w:rPr>
                <w:rFonts w:ascii="Times New Roman" w:eastAsia="Times New Roman" w:hAnsi="Times New Roman" w:cs="Times New Roman"/>
              </w:rPr>
            </w:pPr>
            <w:r>
              <w:rPr>
                <w:rFonts w:ascii="Times New Roman" w:hAnsi="Times New Roman"/>
              </w:rPr>
              <w:t>&lt;Nom et adresse complets du ou des États membres partenaires conformément au contrat de subvention de jumelage&gt;</w:t>
            </w:r>
          </w:p>
        </w:tc>
      </w:tr>
      <w:tr w:rsidR="00832F98" w:rsidRPr="005107DF" w14:paraId="0274BB94" w14:textId="77777777" w:rsidTr="006B3558">
        <w:tc>
          <w:tcPr>
            <w:tcW w:w="2600" w:type="dxa"/>
            <w:shd w:val="clear" w:color="auto" w:fill="auto"/>
          </w:tcPr>
          <w:p w14:paraId="041ABAF3"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Date de début de la période de mise en œuvre de l’action</w:t>
            </w:r>
          </w:p>
        </w:tc>
        <w:tc>
          <w:tcPr>
            <w:tcW w:w="6126" w:type="dxa"/>
            <w:shd w:val="clear" w:color="auto" w:fill="auto"/>
          </w:tcPr>
          <w:p w14:paraId="1082BC0B" w14:textId="77777777" w:rsidR="00832F98" w:rsidRPr="005107DF" w:rsidRDefault="00832F98" w:rsidP="006B3558">
            <w:pPr>
              <w:spacing w:before="120" w:after="120" w:line="240" w:lineRule="auto"/>
              <w:rPr>
                <w:rFonts w:ascii="Times New Roman" w:eastAsia="Times New Roman" w:hAnsi="Times New Roman" w:cs="Times New Roman"/>
              </w:rPr>
            </w:pPr>
          </w:p>
        </w:tc>
      </w:tr>
      <w:tr w:rsidR="00832F98" w:rsidRPr="005107DF" w14:paraId="5F6681C8" w14:textId="77777777" w:rsidTr="006B3558">
        <w:tc>
          <w:tcPr>
            <w:tcW w:w="2600" w:type="dxa"/>
            <w:shd w:val="clear" w:color="auto" w:fill="auto"/>
          </w:tcPr>
          <w:p w14:paraId="534CDE7A"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Date de fin de la période de mise en œuvre de l’action</w:t>
            </w:r>
          </w:p>
        </w:tc>
        <w:tc>
          <w:tcPr>
            <w:tcW w:w="6126" w:type="dxa"/>
            <w:shd w:val="clear" w:color="auto" w:fill="auto"/>
          </w:tcPr>
          <w:p w14:paraId="46FFD3A0" w14:textId="77777777" w:rsidR="00832F98" w:rsidRPr="005107DF" w:rsidRDefault="00832F98" w:rsidP="006B3558">
            <w:pPr>
              <w:spacing w:before="120" w:after="120" w:line="240" w:lineRule="auto"/>
              <w:rPr>
                <w:rFonts w:ascii="Times New Roman" w:eastAsia="Times New Roman" w:hAnsi="Times New Roman" w:cs="Times New Roman"/>
              </w:rPr>
            </w:pPr>
          </w:p>
        </w:tc>
      </w:tr>
      <w:tr w:rsidR="00832F98" w:rsidRPr="005107DF" w14:paraId="065CF4AC" w14:textId="77777777" w:rsidTr="006B3558">
        <w:tc>
          <w:tcPr>
            <w:tcW w:w="2600" w:type="dxa"/>
            <w:shd w:val="clear" w:color="auto" w:fill="auto"/>
          </w:tcPr>
          <w:p w14:paraId="7A8DBBA1"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 xml:space="preserve">Objectif spécifique </w:t>
            </w:r>
          </w:p>
        </w:tc>
        <w:tc>
          <w:tcPr>
            <w:tcW w:w="6126" w:type="dxa"/>
            <w:shd w:val="clear" w:color="auto" w:fill="auto"/>
          </w:tcPr>
          <w:p w14:paraId="2A6417DC" w14:textId="77777777" w:rsidR="00832F98" w:rsidRPr="005F15DD" w:rsidRDefault="00832F98" w:rsidP="005F15DD">
            <w:pPr>
              <w:spacing w:after="0" w:line="240" w:lineRule="auto"/>
              <w:jc w:val="both"/>
              <w:rPr>
                <w:rFonts w:ascii="Times New Roman" w:eastAsia="Times New Roman" w:hAnsi="Times New Roman" w:cs="Times New Roman"/>
                <w:bCs/>
              </w:rPr>
            </w:pPr>
            <w:r w:rsidRPr="005F15DD">
              <w:rPr>
                <w:rFonts w:ascii="Times New Roman" w:hAnsi="Times New Roman"/>
              </w:rPr>
              <w:t xml:space="preserve">Il s’agit des effets du projet sur les domaines politiques, sociaux, économiques et environnementaux ciblés par l’intervention de l’UE (ici, le jumelage) ainsi que des modifications des comportements des bénéficiaires de l’intervention de l’UE. </w:t>
            </w:r>
          </w:p>
          <w:p w14:paraId="5CF41CE0" w14:textId="77777777" w:rsidR="00832F98" w:rsidRPr="005F15DD" w:rsidRDefault="00832F98" w:rsidP="005F15DD">
            <w:pPr>
              <w:spacing w:after="0" w:line="240" w:lineRule="auto"/>
              <w:jc w:val="both"/>
              <w:rPr>
                <w:rFonts w:ascii="Times New Roman" w:eastAsia="Times New Roman" w:hAnsi="Times New Roman" w:cs="Times New Roman"/>
                <w:bCs/>
              </w:rPr>
            </w:pPr>
          </w:p>
          <w:p w14:paraId="1C04A1EE" w14:textId="77777777" w:rsidR="00832F98" w:rsidRPr="005F15DD" w:rsidRDefault="00832F98" w:rsidP="005F15DD">
            <w:pPr>
              <w:spacing w:after="0" w:line="240" w:lineRule="auto"/>
              <w:jc w:val="both"/>
              <w:rPr>
                <w:rFonts w:ascii="Times New Roman" w:eastAsia="Times New Roman" w:hAnsi="Times New Roman" w:cs="Times New Roman"/>
                <w:bCs/>
              </w:rPr>
            </w:pPr>
            <w:r w:rsidRPr="005F15DD">
              <w:rPr>
                <w:rFonts w:ascii="Times New Roman" w:hAnsi="Times New Roman"/>
              </w:rPr>
              <w:t xml:space="preserve">Pour obtenir ces effets, d’autres facteurs externes sont nécessaires, de même que la participation, l’adhésion (utilisation) et les actions d’autres acteurs n’ayant pas de lien direct avec l’intervention de l’UE. </w:t>
            </w:r>
          </w:p>
          <w:p w14:paraId="78C4F828" w14:textId="77777777" w:rsidR="00832F98" w:rsidRPr="005F15DD" w:rsidRDefault="00832F98" w:rsidP="005F15DD">
            <w:pPr>
              <w:spacing w:after="0" w:line="240" w:lineRule="auto"/>
              <w:jc w:val="both"/>
              <w:rPr>
                <w:rFonts w:ascii="Times New Roman" w:eastAsia="Times New Roman" w:hAnsi="Times New Roman" w:cs="Times New Roman"/>
              </w:rPr>
            </w:pPr>
          </w:p>
          <w:p w14:paraId="3771086C" w14:textId="77777777" w:rsidR="00832F98" w:rsidRPr="005F15DD" w:rsidRDefault="00832F98" w:rsidP="005F15DD">
            <w:pPr>
              <w:spacing w:before="120" w:after="120" w:line="240" w:lineRule="auto"/>
              <w:jc w:val="both"/>
              <w:rPr>
                <w:rFonts w:ascii="Times New Roman" w:eastAsia="Times New Roman" w:hAnsi="Times New Roman" w:cs="Times New Roman"/>
              </w:rPr>
            </w:pPr>
            <w:r w:rsidRPr="005F15DD">
              <w:rPr>
                <w:rFonts w:ascii="Times New Roman" w:hAnsi="Times New Roman"/>
              </w:rPr>
              <w:t>Veuillez noter que ce qui est indiqué ici ne dépendra PAS UNIQUEMENT du projet de jumelage, mais aussi de ce qui est directement modifié/influencé par ce dernier.</w:t>
            </w:r>
          </w:p>
        </w:tc>
      </w:tr>
      <w:tr w:rsidR="00832F98" w:rsidRPr="005107DF" w14:paraId="693C25EB" w14:textId="77777777" w:rsidTr="006B3558">
        <w:tc>
          <w:tcPr>
            <w:tcW w:w="2600" w:type="dxa"/>
            <w:shd w:val="clear" w:color="auto" w:fill="auto"/>
          </w:tcPr>
          <w:p w14:paraId="3723315E"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Résultats/produits obligatoires</w:t>
            </w:r>
          </w:p>
        </w:tc>
        <w:tc>
          <w:tcPr>
            <w:tcW w:w="6126" w:type="dxa"/>
            <w:shd w:val="clear" w:color="auto" w:fill="auto"/>
          </w:tcPr>
          <w:p w14:paraId="5C29B68B" w14:textId="77777777" w:rsidR="00832F98" w:rsidRPr="005F15DD" w:rsidRDefault="00832F98" w:rsidP="005F15DD">
            <w:pPr>
              <w:spacing w:after="0" w:line="240" w:lineRule="auto"/>
              <w:jc w:val="both"/>
              <w:rPr>
                <w:rFonts w:ascii="Times New Roman" w:hAnsi="Times New Roman"/>
              </w:rPr>
            </w:pPr>
            <w:r w:rsidRPr="005F15DD">
              <w:rPr>
                <w:rFonts w:ascii="Times New Roman" w:hAnsi="Times New Roman"/>
              </w:rPr>
              <w:t>Produits directs de l’intervention (des activités de jumelage, dans le cas présent)</w:t>
            </w:r>
          </w:p>
          <w:p w14:paraId="474CD2B4" w14:textId="77777777" w:rsidR="00832F98" w:rsidRPr="005107DF" w:rsidRDefault="00832F98" w:rsidP="005F15DD">
            <w:pPr>
              <w:spacing w:before="120" w:after="120" w:line="240" w:lineRule="auto"/>
              <w:jc w:val="both"/>
              <w:rPr>
                <w:rFonts w:ascii="Times New Roman" w:eastAsia="Times New Roman" w:hAnsi="Times New Roman" w:cs="Times New Roman"/>
              </w:rPr>
            </w:pPr>
            <w:r w:rsidRPr="005F15DD">
              <w:rPr>
                <w:rFonts w:ascii="Times New Roman" w:hAnsi="Times New Roman"/>
              </w:rPr>
              <w:t>Les partenaires de mise en œuvre (l’État membre de l’UE et l’administration bénéficiaire sont 100 % responsables de l’obtention de ces résultats).</w:t>
            </w:r>
          </w:p>
        </w:tc>
      </w:tr>
      <w:tr w:rsidR="00832F98" w:rsidRPr="005107DF" w14:paraId="35653D46" w14:textId="77777777" w:rsidTr="006B3558">
        <w:tc>
          <w:tcPr>
            <w:tcW w:w="2600" w:type="dxa"/>
            <w:shd w:val="clear" w:color="auto" w:fill="auto"/>
          </w:tcPr>
          <w:p w14:paraId="4387A31B"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Coût total de l’action</w:t>
            </w:r>
          </w:p>
        </w:tc>
        <w:tc>
          <w:tcPr>
            <w:tcW w:w="6126" w:type="dxa"/>
            <w:shd w:val="clear" w:color="auto" w:fill="auto"/>
          </w:tcPr>
          <w:p w14:paraId="45890A84"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&lt;Montant(s) mentionné(s) à l’article 3.1 des conditions particulières du contrat de subvention de jumelage&gt;</w:t>
            </w:r>
          </w:p>
        </w:tc>
      </w:tr>
      <w:tr w:rsidR="00832F98" w:rsidRPr="005107DF" w14:paraId="437FE4ED" w14:textId="77777777" w:rsidTr="006B3558">
        <w:tc>
          <w:tcPr>
            <w:tcW w:w="2600" w:type="dxa"/>
            <w:shd w:val="clear" w:color="auto" w:fill="auto"/>
          </w:tcPr>
          <w:p w14:paraId="07EC7FAC"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Montant maximal de la subvention</w:t>
            </w:r>
          </w:p>
        </w:tc>
        <w:tc>
          <w:tcPr>
            <w:tcW w:w="6126" w:type="dxa"/>
            <w:shd w:val="clear" w:color="auto" w:fill="auto"/>
          </w:tcPr>
          <w:p w14:paraId="16EAA9C7"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&lt;Montant(s) mentionné(s) à l’article 3.2 des conditions particulières du contrat de subvention de jumelage&gt;</w:t>
            </w:r>
          </w:p>
        </w:tc>
      </w:tr>
      <w:tr w:rsidR="00832F98" w:rsidRPr="005107DF" w14:paraId="523549A2" w14:textId="77777777" w:rsidTr="006B3558">
        <w:tc>
          <w:tcPr>
            <w:tcW w:w="2600" w:type="dxa"/>
            <w:shd w:val="clear" w:color="auto" w:fill="auto"/>
          </w:tcPr>
          <w:p w14:paraId="1C7E2354"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 xml:space="preserve">Montant total reçu à ce jour de l’administration contractante par le coordinateur </w:t>
            </w:r>
          </w:p>
        </w:tc>
        <w:tc>
          <w:tcPr>
            <w:tcW w:w="6126" w:type="dxa"/>
            <w:shd w:val="clear" w:color="auto" w:fill="auto"/>
          </w:tcPr>
          <w:p w14:paraId="2E1E0F14"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&lt;Montant total reçu au jj.mm.aaaa&gt;</w:t>
            </w:r>
          </w:p>
        </w:tc>
      </w:tr>
      <w:tr w:rsidR="00832F98" w:rsidRPr="005107DF" w14:paraId="26177970" w14:textId="77777777" w:rsidTr="006B3558">
        <w:tc>
          <w:tcPr>
            <w:tcW w:w="2600" w:type="dxa"/>
            <w:shd w:val="clear" w:color="auto" w:fill="auto"/>
          </w:tcPr>
          <w:p w14:paraId="61569DBF"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lastRenderedPageBreak/>
              <w:t>Montant total de la demande de paiement</w:t>
            </w:r>
          </w:p>
        </w:tc>
        <w:tc>
          <w:tcPr>
            <w:tcW w:w="6126" w:type="dxa"/>
            <w:shd w:val="clear" w:color="auto" w:fill="auto"/>
          </w:tcPr>
          <w:p w14:paraId="52EE96AE" w14:textId="77777777" w:rsidR="00832F98" w:rsidRPr="005107DF" w:rsidRDefault="00832F98" w:rsidP="005F15DD">
            <w:pPr>
              <w:spacing w:before="120" w:after="120" w:line="240" w:lineRule="auto"/>
              <w:jc w:val="both"/>
              <w:rPr>
                <w:rFonts w:ascii="Times New Roman" w:eastAsia="Times New Roman" w:hAnsi="Times New Roman" w:cs="Times New Roman"/>
              </w:rPr>
            </w:pPr>
            <w:r>
              <w:rPr>
                <w:rFonts w:ascii="Times New Roman" w:hAnsi="Times New Roman"/>
              </w:rPr>
              <w:t>&lt;Indiquer le montant total demandé pour le paiement conformément à l’annexe A5 des conditions particulières des contrats de subvention de jumelage (demande de paiement présentée dans le cadre d’un contrat de subvention de jumelage)&gt;</w:t>
            </w:r>
          </w:p>
        </w:tc>
      </w:tr>
      <w:tr w:rsidR="00832F98" w:rsidRPr="005107DF" w14:paraId="3137A1DD" w14:textId="77777777" w:rsidTr="006B3558">
        <w:tc>
          <w:tcPr>
            <w:tcW w:w="2600" w:type="dxa"/>
            <w:shd w:val="clear" w:color="auto" w:fill="auto"/>
          </w:tcPr>
          <w:p w14:paraId="6D9A8A90"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Administration contractante</w:t>
            </w:r>
          </w:p>
        </w:tc>
        <w:tc>
          <w:tcPr>
            <w:tcW w:w="6126" w:type="dxa"/>
            <w:shd w:val="clear" w:color="auto" w:fill="auto"/>
          </w:tcPr>
          <w:p w14:paraId="5CC29E16" w14:textId="77777777" w:rsidR="00832F98" w:rsidRPr="005107DF" w:rsidRDefault="00832F98" w:rsidP="005F15DD">
            <w:pPr>
              <w:spacing w:before="120" w:after="120" w:line="240" w:lineRule="auto"/>
              <w:jc w:val="both"/>
              <w:rPr>
                <w:rFonts w:ascii="Times New Roman" w:eastAsia="Times New Roman" w:hAnsi="Times New Roman" w:cs="Times New Roman"/>
              </w:rPr>
            </w:pPr>
            <w:r>
              <w:rPr>
                <w:rFonts w:ascii="Times New Roman" w:hAnsi="Times New Roman"/>
              </w:rPr>
              <w:t>&lt;Indiquer le nom, la fonction/le titre, le numéro de téléphone et l’adresse électronique de la personne de contact de l’administration contractante&gt;. [À remplir uniquement si la Commission n’est pas l’administration contractante.]</w:t>
            </w:r>
          </w:p>
        </w:tc>
      </w:tr>
      <w:tr w:rsidR="00832F98" w:rsidRPr="005107DF" w14:paraId="37B47A60" w14:textId="77777777" w:rsidTr="006B3558">
        <w:tc>
          <w:tcPr>
            <w:tcW w:w="2600" w:type="dxa"/>
            <w:shd w:val="clear" w:color="auto" w:fill="auto"/>
          </w:tcPr>
          <w:p w14:paraId="3E495608"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Commission européenne</w:t>
            </w:r>
          </w:p>
        </w:tc>
        <w:tc>
          <w:tcPr>
            <w:tcW w:w="6126" w:type="dxa"/>
            <w:shd w:val="clear" w:color="auto" w:fill="auto"/>
          </w:tcPr>
          <w:p w14:paraId="1E7633F8" w14:textId="77777777" w:rsidR="00832F98" w:rsidRPr="005107DF" w:rsidRDefault="00832F98" w:rsidP="005F15DD">
            <w:pPr>
              <w:spacing w:before="120" w:after="120" w:line="240" w:lineRule="auto"/>
              <w:jc w:val="both"/>
              <w:rPr>
                <w:rFonts w:ascii="Times New Roman" w:eastAsia="Times New Roman" w:hAnsi="Times New Roman" w:cs="Times New Roman"/>
              </w:rPr>
            </w:pPr>
            <w:r>
              <w:rPr>
                <w:rFonts w:ascii="Times New Roman" w:hAnsi="Times New Roman"/>
              </w:rPr>
              <w:t>&lt;Indiquer le nom, la fonction/le titre, le numéro de téléphone et l’adresse électronique de la personne de contact au sein de la délégation ou du bureau de l’Union européenne dans le pays concerné ou, le cas échéant, au siège &gt;</w:t>
            </w:r>
          </w:p>
        </w:tc>
      </w:tr>
      <w:tr w:rsidR="00832F98" w:rsidRPr="005107DF" w14:paraId="575A6D75" w14:textId="77777777" w:rsidTr="006B3558">
        <w:tc>
          <w:tcPr>
            <w:tcW w:w="2600" w:type="dxa"/>
            <w:shd w:val="clear" w:color="auto" w:fill="auto"/>
          </w:tcPr>
          <w:p w14:paraId="21C78114"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Auditeur</w:t>
            </w:r>
          </w:p>
        </w:tc>
        <w:tc>
          <w:tcPr>
            <w:tcW w:w="6126" w:type="dxa"/>
            <w:shd w:val="clear" w:color="auto" w:fill="auto"/>
          </w:tcPr>
          <w:p w14:paraId="7DAFABB0" w14:textId="77777777" w:rsidR="00832F98" w:rsidRPr="005107DF" w:rsidRDefault="00832F98" w:rsidP="005F15DD">
            <w:pPr>
              <w:spacing w:before="120" w:after="120" w:line="240" w:lineRule="auto"/>
              <w:jc w:val="both"/>
              <w:rPr>
                <w:rFonts w:ascii="Times New Roman" w:eastAsia="Times New Roman" w:hAnsi="Times New Roman" w:cs="Times New Roman"/>
              </w:rPr>
            </w:pPr>
            <w:r>
              <w:rPr>
                <w:rFonts w:ascii="Times New Roman" w:hAnsi="Times New Roman"/>
              </w:rPr>
              <w:t>&lt;Nom et adresse du cabinet d’audit et nom/fonction des auditeurs&gt;</w:t>
            </w:r>
          </w:p>
        </w:tc>
      </w:tr>
    </w:tbl>
    <w:p w14:paraId="4325F859" w14:textId="77777777" w:rsidR="00832F98" w:rsidRPr="005107DF" w:rsidRDefault="00832F98" w:rsidP="00D0198E">
      <w:pPr>
        <w:spacing w:after="0" w:line="240" w:lineRule="auto"/>
        <w:rPr>
          <w:rFonts w:ascii="Times New Roman" w:eastAsia="Times New Roman" w:hAnsi="Times New Roman" w:cs="Times New Roman"/>
        </w:rPr>
      </w:pPr>
    </w:p>
    <w:p w14:paraId="22B535D1" w14:textId="77777777" w:rsidR="00832F98" w:rsidRPr="005107DF" w:rsidRDefault="00832F98" w:rsidP="00D0198E">
      <w:pPr>
        <w:spacing w:after="0" w:line="240" w:lineRule="auto"/>
        <w:rPr>
          <w:rFonts w:ascii="Times New Roman" w:eastAsia="Times New Roman" w:hAnsi="Times New Roman" w:cs="Times New Roman"/>
        </w:rPr>
      </w:pPr>
      <w:bookmarkStart w:id="982" w:name="_Toc114397497"/>
      <w:bookmarkStart w:id="983" w:name="_Toc114398207"/>
      <w:bookmarkStart w:id="984" w:name="_Toc114398455"/>
      <w:bookmarkStart w:id="985" w:name="_Toc114398497"/>
      <w:bookmarkStart w:id="986" w:name="_Toc167768471"/>
      <w:bookmarkStart w:id="987" w:name="_Toc132001879"/>
    </w:p>
    <w:p w14:paraId="1CDE5158" w14:textId="77777777" w:rsidR="00832F98" w:rsidRPr="005107DF" w:rsidRDefault="00832F98">
      <w:pPr>
        <w:rPr>
          <w:rFonts w:ascii="Times New Roman" w:eastAsia="Times New Roman" w:hAnsi="Times New Roman" w:cs="Times New Roman"/>
          <w:b/>
          <w:sz w:val="24"/>
          <w:szCs w:val="24"/>
        </w:rPr>
      </w:pPr>
      <w:r>
        <w:br w:type="page"/>
      </w:r>
    </w:p>
    <w:p w14:paraId="17E35C36" w14:textId="77777777" w:rsidR="00832F98" w:rsidRPr="005107DF" w:rsidRDefault="00832F98" w:rsidP="00D0198E">
      <w:pPr>
        <w:spacing w:after="0" w:line="240" w:lineRule="auto"/>
        <w:rPr>
          <w:rFonts w:ascii="Times New Roman" w:eastAsia="Times New Roman" w:hAnsi="Times New Roman" w:cs="Times New Roman"/>
          <w:b/>
          <w:sz w:val="24"/>
          <w:szCs w:val="24"/>
        </w:rPr>
      </w:pPr>
      <w:r>
        <w:rPr>
          <w:rFonts w:ascii="Times New Roman" w:hAnsi="Times New Roman"/>
          <w:b/>
          <w:sz w:val="24"/>
        </w:rPr>
        <w:lastRenderedPageBreak/>
        <w:t>Annexe 2A</w:t>
      </w:r>
      <w:r>
        <w:tab/>
      </w:r>
      <w:r>
        <w:rPr>
          <w:rFonts w:ascii="Times New Roman" w:hAnsi="Times New Roman"/>
          <w:b/>
          <w:sz w:val="24"/>
        </w:rPr>
        <w:t>Liste des procédures spécifiques à exécuter</w:t>
      </w:r>
      <w:bookmarkEnd w:id="982"/>
      <w:bookmarkEnd w:id="983"/>
      <w:bookmarkEnd w:id="984"/>
      <w:bookmarkEnd w:id="985"/>
      <w:bookmarkEnd w:id="986"/>
    </w:p>
    <w:p w14:paraId="085542C9" w14:textId="77777777" w:rsidR="00832F98" w:rsidRPr="005107DF" w:rsidRDefault="00832F98" w:rsidP="00D0198E">
      <w:pPr>
        <w:spacing w:before="120" w:after="120" w:line="240" w:lineRule="auto"/>
        <w:jc w:val="both"/>
        <w:rPr>
          <w:rFonts w:ascii="Times New Roman" w:eastAsia="Times New Roman" w:hAnsi="Times New Roman" w:cs="Times New Roman"/>
          <w:sz w:val="24"/>
          <w:szCs w:val="24"/>
        </w:rPr>
      </w:pPr>
      <w:r>
        <w:rPr>
          <w:rFonts w:ascii="Times New Roman" w:hAnsi="Times New Roman"/>
          <w:b/>
          <w:sz w:val="18"/>
        </w:rPr>
        <w:t>[</w:t>
      </w:r>
      <w:r>
        <w:rPr>
          <w:rFonts w:ascii="Times New Roman" w:hAnsi="Times New Roman"/>
          <w:b/>
          <w:i/>
          <w:sz w:val="18"/>
        </w:rPr>
        <w:t>La présente annexe est une énumération standard des procédures spécifiques à exécuter et ne doit pas être modifiée.</w:t>
      </w:r>
      <w:r>
        <w:rPr>
          <w:rFonts w:ascii="Times New Roman" w:hAnsi="Times New Roman"/>
          <w:b/>
          <w:sz w:val="18"/>
        </w:rPr>
        <w:t>]</w:t>
      </w:r>
    </w:p>
    <w:p w14:paraId="070F7CB3" w14:textId="77777777" w:rsidR="004946B7" w:rsidRDefault="004946B7" w:rsidP="007338F0">
      <w:pPr>
        <w:rPr>
          <w:rFonts w:ascii="Times New Roman" w:hAnsi="Times New Roman"/>
          <w:b/>
          <w:sz w:val="24"/>
        </w:rPr>
      </w:pPr>
      <w:bookmarkStart w:id="988" w:name="_Toc442374371"/>
      <w:bookmarkStart w:id="989" w:name="_Toc442374861"/>
      <w:bookmarkStart w:id="990" w:name="_Toc443320183"/>
      <w:bookmarkStart w:id="991" w:name="_Toc464460030"/>
      <w:bookmarkStart w:id="992" w:name="_Toc476063377"/>
      <w:bookmarkStart w:id="993" w:name="_Toc476067859"/>
    </w:p>
    <w:p w14:paraId="49EFD137" w14:textId="4F8D9EBC" w:rsidR="00832F98" w:rsidRPr="005107DF" w:rsidRDefault="00832F98" w:rsidP="007338F0">
      <w:pPr>
        <w:rPr>
          <w:rFonts w:ascii="Times New Roman" w:hAnsi="Times New Roman" w:cs="Times New Roman"/>
          <w:b/>
          <w:sz w:val="24"/>
          <w:szCs w:val="24"/>
        </w:rPr>
      </w:pPr>
      <w:r>
        <w:rPr>
          <w:rFonts w:ascii="Times New Roman" w:hAnsi="Times New Roman"/>
          <w:b/>
          <w:sz w:val="24"/>
        </w:rPr>
        <w:t>2. Procédures générales</w:t>
      </w:r>
      <w:bookmarkEnd w:id="988"/>
      <w:bookmarkEnd w:id="989"/>
      <w:bookmarkEnd w:id="990"/>
      <w:bookmarkEnd w:id="991"/>
      <w:bookmarkEnd w:id="992"/>
      <w:bookmarkEnd w:id="993"/>
    </w:p>
    <w:p w14:paraId="103A0DAA" w14:textId="77777777" w:rsidR="00832F98" w:rsidRPr="005107DF" w:rsidRDefault="00832F98" w:rsidP="007338F0">
      <w:pPr>
        <w:rPr>
          <w:rFonts w:ascii="Times New Roman" w:hAnsi="Times New Roman" w:cs="Times New Roman"/>
          <w:b/>
          <w:sz w:val="24"/>
          <w:szCs w:val="24"/>
        </w:rPr>
      </w:pPr>
      <w:bookmarkStart w:id="994" w:name="_Toc442374372"/>
      <w:bookmarkStart w:id="995" w:name="_Toc442374862"/>
      <w:bookmarkStart w:id="996" w:name="_Toc443320184"/>
      <w:bookmarkStart w:id="997" w:name="_Toc464460031"/>
      <w:bookmarkStart w:id="998" w:name="_Toc476063378"/>
      <w:bookmarkStart w:id="999" w:name="_Toc476067860"/>
      <w:r>
        <w:rPr>
          <w:rFonts w:ascii="Times New Roman" w:hAnsi="Times New Roman"/>
          <w:b/>
          <w:sz w:val="24"/>
        </w:rPr>
        <w:t>2.1</w:t>
      </w:r>
      <w:r>
        <w:tab/>
      </w:r>
      <w:r>
        <w:rPr>
          <w:rFonts w:ascii="Times New Roman" w:hAnsi="Times New Roman"/>
          <w:b/>
          <w:sz w:val="24"/>
        </w:rPr>
        <w:t xml:space="preserve">Conditions du contrat de subvention de </w:t>
      </w:r>
      <w:bookmarkEnd w:id="994"/>
      <w:bookmarkEnd w:id="995"/>
      <w:bookmarkEnd w:id="996"/>
      <w:bookmarkEnd w:id="997"/>
      <w:r>
        <w:rPr>
          <w:rFonts w:ascii="Times New Roman" w:hAnsi="Times New Roman"/>
          <w:b/>
          <w:sz w:val="24"/>
        </w:rPr>
        <w:t>jumelage</w:t>
      </w:r>
      <w:bookmarkEnd w:id="998"/>
      <w:bookmarkEnd w:id="999"/>
    </w:p>
    <w:p w14:paraId="1E2AEEB4"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w:t>
      </w:r>
    </w:p>
    <w:p w14:paraId="70142EDA" w14:textId="77777777" w:rsidR="00832F98" w:rsidRPr="005107DF" w:rsidRDefault="00832F98" w:rsidP="00D0198E">
      <w:pPr>
        <w:numPr>
          <w:ilvl w:val="0"/>
          <w:numId w:val="169"/>
        </w:numPr>
        <w:spacing w:before="120" w:after="120" w:line="240" w:lineRule="auto"/>
        <w:jc w:val="both"/>
        <w:rPr>
          <w:rFonts w:ascii="Times New Roman" w:eastAsia="Times New Roman" w:hAnsi="Times New Roman" w:cs="Times New Roman"/>
        </w:rPr>
      </w:pPr>
      <w:r>
        <w:rPr>
          <w:rFonts w:ascii="Times New Roman" w:hAnsi="Times New Roman"/>
        </w:rPr>
        <w:t>acquiert une connaissance suffisante des conditions du contrat de subvention de jumelage en procédant à un examen attentif de celui-ci et de ses annexes, ainsi que d’autres informations utiles, et en interrogeant le coordinateur;</w:t>
      </w:r>
    </w:p>
    <w:p w14:paraId="51565BA1" w14:textId="77777777" w:rsidR="00832F98" w:rsidRPr="005107DF" w:rsidRDefault="00832F98" w:rsidP="00D0198E">
      <w:pPr>
        <w:numPr>
          <w:ilvl w:val="0"/>
          <w:numId w:val="169"/>
        </w:numPr>
        <w:spacing w:before="120" w:after="120" w:line="240" w:lineRule="auto"/>
        <w:jc w:val="both"/>
        <w:rPr>
          <w:rFonts w:ascii="Times New Roman" w:eastAsia="Times New Roman" w:hAnsi="Times New Roman" w:cs="Times New Roman"/>
        </w:rPr>
      </w:pPr>
      <w:r>
        <w:rPr>
          <w:rFonts w:ascii="Times New Roman" w:hAnsi="Times New Roman"/>
        </w:rPr>
        <w:t>veille à obtenir une copie du contrat de subvention de jumelage original (signé par le coordinateur et l’administration contractante) et de ses annexes;</w:t>
      </w:r>
    </w:p>
    <w:p w14:paraId="790601D5" w14:textId="77777777" w:rsidR="00832F98" w:rsidRPr="005107DF" w:rsidRDefault="00832F98" w:rsidP="00D0198E">
      <w:pPr>
        <w:numPr>
          <w:ilvl w:val="0"/>
          <w:numId w:val="169"/>
        </w:numPr>
        <w:spacing w:before="120" w:after="120" w:line="240" w:lineRule="auto"/>
        <w:jc w:val="both"/>
        <w:rPr>
          <w:rFonts w:ascii="Times New Roman" w:eastAsia="Times New Roman" w:hAnsi="Times New Roman" w:cs="Times New Roman"/>
        </w:rPr>
      </w:pPr>
      <w:r>
        <w:rPr>
          <w:rFonts w:ascii="Times New Roman" w:hAnsi="Times New Roman"/>
        </w:rPr>
        <w:t>se fait remettre et étudie le rapport (qui comporte une section narrative et une section financière), conformément à l’article 2.1 des conditions générales;</w:t>
      </w:r>
    </w:p>
    <w:p w14:paraId="76813A1E" w14:textId="77777777" w:rsidR="00832F98" w:rsidRPr="005107DF" w:rsidRDefault="00832F98" w:rsidP="00D0198E">
      <w:pPr>
        <w:numPr>
          <w:ilvl w:val="0"/>
          <w:numId w:val="169"/>
        </w:numPr>
        <w:spacing w:after="0" w:line="240" w:lineRule="auto"/>
        <w:jc w:val="both"/>
        <w:rPr>
          <w:rFonts w:ascii="Times New Roman" w:eastAsia="Times New Roman" w:hAnsi="Times New Roman" w:cs="Times New Roman"/>
        </w:rPr>
      </w:pPr>
      <w:r>
        <w:rPr>
          <w:rFonts w:ascii="Times New Roman" w:hAnsi="Times New Roman"/>
        </w:rPr>
        <w:t>vérifie si le contrat de subvention de jumelage est signé avec un seul État membre partenaire ou avec un consortium d’États membres partenaires (dans ce cas, le terme «coordinateur» est utilisé);</w:t>
      </w:r>
    </w:p>
    <w:p w14:paraId="569F86E9" w14:textId="77777777" w:rsidR="00832F98" w:rsidRPr="005107DF" w:rsidRDefault="00832F98" w:rsidP="00D0198E">
      <w:pPr>
        <w:numPr>
          <w:ilvl w:val="0"/>
          <w:numId w:val="169"/>
        </w:numPr>
        <w:spacing w:after="0" w:line="240" w:lineRule="auto"/>
        <w:jc w:val="both"/>
        <w:rPr>
          <w:rFonts w:ascii="Times New Roman" w:eastAsia="Times New Roman" w:hAnsi="Times New Roman" w:cs="Times New Roman"/>
        </w:rPr>
      </w:pPr>
      <w:r>
        <w:rPr>
          <w:rFonts w:ascii="Times New Roman" w:hAnsi="Times New Roman"/>
          <w:i/>
        </w:rPr>
        <w:t>Remarques</w:t>
      </w:r>
      <w:r>
        <w:rPr>
          <w:rFonts w:ascii="Times New Roman" w:hAnsi="Times New Roman"/>
        </w:rPr>
        <w:t>: la présente procédure a pour objectif que l’auditeur comprenne les responsabilités du ou des États membres en matière d’établissement de rapports et d’accès au personnel et aux documents.</w:t>
      </w:r>
    </w:p>
    <w:p w14:paraId="410775C8"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Le manuel de jumelage et ses annexes fournissent des informations importantes pour les contrats de subvention de jumelage (par exemple, l’annexe 4 en ce qui concerne les règles de base et les procédures d’attribution). Toute référence nécessaire ou utile au manuel de jumelage et/ou à ses annexes sera faite. </w:t>
      </w:r>
    </w:p>
    <w:p w14:paraId="563E4B07" w14:textId="77777777" w:rsidR="00832F98" w:rsidRPr="005107DF" w:rsidRDefault="00832F98" w:rsidP="00D0198E">
      <w:pPr>
        <w:spacing w:before="120" w:after="0" w:line="240" w:lineRule="auto"/>
        <w:jc w:val="both"/>
        <w:rPr>
          <w:rFonts w:ascii="Times New Roman" w:eastAsia="Times New Roman" w:hAnsi="Times New Roman" w:cs="Times New Roman"/>
        </w:rPr>
      </w:pPr>
      <w:r>
        <w:rPr>
          <w:rFonts w:ascii="Times New Roman" w:hAnsi="Times New Roman"/>
        </w:rPr>
        <w:t>Le manuel de jumelage et ses annexes peuvent être consultés à l’adresse suivante:</w:t>
      </w:r>
    </w:p>
    <w:p w14:paraId="2ED12F6C" w14:textId="5BEF8D20" w:rsidR="00832F98" w:rsidRPr="005107DF" w:rsidRDefault="00CC09A6" w:rsidP="00D0198E">
      <w:pPr>
        <w:spacing w:after="120" w:line="240" w:lineRule="auto"/>
        <w:jc w:val="both"/>
        <w:rPr>
          <w:rFonts w:ascii="Times New Roman" w:eastAsia="Times New Roman" w:hAnsi="Times New Roman" w:cs="Times New Roman"/>
        </w:rPr>
      </w:pPr>
      <w:hyperlink r:id="rId41" w:history="1">
        <w:r w:rsidR="00DB0220" w:rsidRPr="004D148C">
          <w:rPr>
            <w:rStyle w:val="Hyperlink"/>
            <w:rFonts w:ascii="Times New Roman" w:hAnsi="Times New Roman" w:cstheme="minorBidi"/>
          </w:rPr>
          <w:t>https://ec.europa.eu/neighbourhood-enlargement/tenders/twinning_en</w:t>
        </w:r>
      </w:hyperlink>
      <w:r w:rsidR="00DB0220">
        <w:rPr>
          <w:rFonts w:ascii="Times New Roman" w:hAnsi="Times New Roman"/>
        </w:rPr>
        <w:t xml:space="preserve"> </w:t>
      </w:r>
    </w:p>
    <w:p w14:paraId="2A1520F2" w14:textId="77777777" w:rsidR="00832F98" w:rsidRPr="005107DF" w:rsidRDefault="00832F98" w:rsidP="007338F0">
      <w:pPr>
        <w:rPr>
          <w:rFonts w:ascii="Times New Roman" w:hAnsi="Times New Roman" w:cs="Times New Roman"/>
          <w:b/>
          <w:sz w:val="24"/>
          <w:szCs w:val="24"/>
        </w:rPr>
      </w:pPr>
      <w:bookmarkStart w:id="1000" w:name="_Toc442374373"/>
      <w:bookmarkStart w:id="1001" w:name="_Toc442374863"/>
      <w:bookmarkStart w:id="1002" w:name="_Toc443320185"/>
      <w:bookmarkStart w:id="1003" w:name="_Toc464460032"/>
      <w:bookmarkStart w:id="1004" w:name="_Toc476063379"/>
      <w:bookmarkStart w:id="1005" w:name="_Toc476067861"/>
      <w:r>
        <w:rPr>
          <w:rFonts w:ascii="Times New Roman" w:hAnsi="Times New Roman"/>
          <w:b/>
          <w:sz w:val="24"/>
        </w:rPr>
        <w:t>2.2</w:t>
      </w:r>
      <w:r>
        <w:tab/>
      </w:r>
      <w:r>
        <w:rPr>
          <w:rFonts w:ascii="Times New Roman" w:hAnsi="Times New Roman"/>
          <w:b/>
          <w:sz w:val="24"/>
        </w:rPr>
        <w:t xml:space="preserve">Rapport financier relatif au contrat de subvention de </w:t>
      </w:r>
      <w:bookmarkEnd w:id="1000"/>
      <w:bookmarkEnd w:id="1001"/>
      <w:bookmarkEnd w:id="1002"/>
      <w:bookmarkEnd w:id="1003"/>
      <w:r>
        <w:rPr>
          <w:rFonts w:ascii="Times New Roman" w:hAnsi="Times New Roman"/>
          <w:b/>
          <w:sz w:val="24"/>
        </w:rPr>
        <w:t>jumelage</w:t>
      </w:r>
      <w:bookmarkEnd w:id="1004"/>
      <w:bookmarkEnd w:id="1005"/>
      <w:r>
        <w:rPr>
          <w:rFonts w:ascii="Times New Roman" w:hAnsi="Times New Roman"/>
          <w:b/>
          <w:sz w:val="24"/>
        </w:rPr>
        <w:t xml:space="preserve"> </w:t>
      </w:r>
    </w:p>
    <w:p w14:paraId="079DAE2C"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vérifie que le rapport financier remplit les conditions suivantes qui figurent à l’article 2 des conditions générales du contrat de subvention de jumelage:</w:t>
      </w:r>
    </w:p>
    <w:p w14:paraId="472F81AF"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t>-</w:t>
      </w:r>
      <w:r>
        <w:tab/>
      </w:r>
      <w:r>
        <w:rPr>
          <w:rFonts w:ascii="Times New Roman" w:hAnsi="Times New Roman"/>
        </w:rPr>
        <w:t xml:space="preserve">le format du rapport financier doit être conforme au modèle figurant aux annexes A3 et C5 du manuel de jumelage; </w:t>
      </w:r>
    </w:p>
    <w:p w14:paraId="048EFD28"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t>-</w:t>
      </w:r>
      <w:r>
        <w:tab/>
      </w:r>
      <w:r>
        <w:rPr>
          <w:rFonts w:ascii="Times New Roman" w:hAnsi="Times New Roman"/>
        </w:rPr>
        <w:t>le rapport financier doit couvrir la totalité de l’action, indépendamment de la part de financement de l’administration contractante;</w:t>
      </w:r>
    </w:p>
    <w:p w14:paraId="7C928E31"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t>-</w:t>
      </w:r>
      <w:r>
        <w:tab/>
      </w:r>
      <w:r>
        <w:rPr>
          <w:rFonts w:ascii="Times New Roman" w:hAnsi="Times New Roman"/>
        </w:rPr>
        <w:t>le rapport financier doit être établi dans la langue du contrat de subvention de jumelage;</w:t>
      </w:r>
    </w:p>
    <w:p w14:paraId="1D65E384"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t>-</w:t>
      </w:r>
      <w:r>
        <w:tab/>
      </w:r>
      <w:r>
        <w:rPr>
          <w:rFonts w:ascii="Times New Roman" w:hAnsi="Times New Roman"/>
        </w:rPr>
        <w:t xml:space="preserve">la preuve des transferts de propriété du matériel, des véhicules et des fournitures dont le coût d’achat était supérieur à 5 000 EUR par article (article 7.5 des conditions générales du contrat de subvention de jumelage). </w:t>
      </w:r>
    </w:p>
    <w:p w14:paraId="68D60037" w14:textId="77777777" w:rsidR="00832F98" w:rsidRPr="005107DF" w:rsidRDefault="00832F98" w:rsidP="007338F0">
      <w:pPr>
        <w:rPr>
          <w:rFonts w:ascii="Times New Roman" w:hAnsi="Times New Roman" w:cs="Times New Roman"/>
          <w:b/>
          <w:sz w:val="24"/>
          <w:szCs w:val="24"/>
        </w:rPr>
      </w:pPr>
      <w:bookmarkStart w:id="1006" w:name="_Toc442374374"/>
      <w:bookmarkStart w:id="1007" w:name="_Toc442374864"/>
      <w:bookmarkStart w:id="1008" w:name="_Toc443320186"/>
      <w:bookmarkStart w:id="1009" w:name="_Toc464460033"/>
      <w:bookmarkStart w:id="1010" w:name="_Toc476063380"/>
      <w:bookmarkStart w:id="1011" w:name="_Toc476067862"/>
      <w:r>
        <w:rPr>
          <w:rFonts w:ascii="Times New Roman" w:hAnsi="Times New Roman"/>
          <w:b/>
          <w:sz w:val="24"/>
        </w:rPr>
        <w:t>2.3</w:t>
      </w:r>
      <w:r>
        <w:tab/>
      </w:r>
      <w:r>
        <w:rPr>
          <w:rFonts w:ascii="Times New Roman" w:hAnsi="Times New Roman"/>
          <w:b/>
          <w:sz w:val="24"/>
        </w:rPr>
        <w:t>Rapport financier relatif au contrat de jumelage</w:t>
      </w:r>
      <w:bookmarkEnd w:id="1006"/>
      <w:bookmarkEnd w:id="1007"/>
      <w:bookmarkEnd w:id="1008"/>
      <w:bookmarkEnd w:id="1009"/>
      <w:bookmarkEnd w:id="1010"/>
      <w:bookmarkEnd w:id="1011"/>
      <w:r>
        <w:rPr>
          <w:rFonts w:ascii="Times New Roman" w:hAnsi="Times New Roman"/>
          <w:b/>
          <w:sz w:val="24"/>
        </w:rPr>
        <w:t xml:space="preserve"> </w:t>
      </w:r>
    </w:p>
    <w:p w14:paraId="74D31FD5"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vérifie – lors de l’exécution des procédures énumérées dans la présente annexe – que le ou les États membres partenaires ont respecté les règles suivantes de comptabilité et de tenue des comptes prévues à l’article 16 des conditions générales du contrat de subvention de jumelage, à savoir notamment:</w:t>
      </w:r>
    </w:p>
    <w:p w14:paraId="6279371F"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t>-</w:t>
      </w:r>
      <w:r>
        <w:tab/>
      </w:r>
      <w:r>
        <w:rPr>
          <w:rFonts w:ascii="Times New Roman" w:hAnsi="Times New Roman"/>
        </w:rPr>
        <w:t>les comptes tenus par le ou les États membres partenaires pour la mise en œuvre de l’action doivent être précis et actualisés;</w:t>
      </w:r>
    </w:p>
    <w:p w14:paraId="5F448D22"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t>-</w:t>
      </w:r>
      <w:r>
        <w:tab/>
      </w:r>
      <w:r>
        <w:rPr>
          <w:rFonts w:ascii="Times New Roman" w:hAnsi="Times New Roman"/>
        </w:rPr>
        <w:t>le ou les États membres partenaires doivent disposer d’un système de comptabilité à double entrée;</w:t>
      </w:r>
    </w:p>
    <w:p w14:paraId="63E72844"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lastRenderedPageBreak/>
        <w:t>-</w:t>
      </w:r>
      <w:r>
        <w:tab/>
      </w:r>
      <w:r>
        <w:rPr>
          <w:rFonts w:ascii="Times New Roman" w:hAnsi="Times New Roman"/>
        </w:rPr>
        <w:t>les comptes et dépenses relatives à l’action doivent être aisément traçables, identifiables et vérifiables.</w:t>
      </w:r>
    </w:p>
    <w:p w14:paraId="3600AD84" w14:textId="77777777" w:rsidR="00832F98" w:rsidRPr="005107DF" w:rsidRDefault="00832F98" w:rsidP="007338F0">
      <w:pPr>
        <w:rPr>
          <w:rFonts w:ascii="Times New Roman" w:hAnsi="Times New Roman" w:cs="Times New Roman"/>
          <w:b/>
          <w:sz w:val="24"/>
          <w:szCs w:val="24"/>
        </w:rPr>
      </w:pPr>
      <w:bookmarkStart w:id="1012" w:name="_Toc442374375"/>
      <w:bookmarkStart w:id="1013" w:name="_Toc442374865"/>
      <w:bookmarkStart w:id="1014" w:name="_Toc443320187"/>
      <w:bookmarkStart w:id="1015" w:name="_Toc464460034"/>
      <w:bookmarkStart w:id="1016" w:name="_Toc476063381"/>
      <w:bookmarkStart w:id="1017" w:name="_Toc476067863"/>
      <w:r>
        <w:rPr>
          <w:rFonts w:ascii="Times New Roman" w:hAnsi="Times New Roman"/>
          <w:b/>
          <w:sz w:val="24"/>
        </w:rPr>
        <w:t>2.4</w:t>
      </w:r>
      <w:r>
        <w:tab/>
      </w:r>
      <w:r>
        <w:rPr>
          <w:rFonts w:ascii="Times New Roman" w:hAnsi="Times New Roman"/>
          <w:b/>
          <w:sz w:val="24"/>
        </w:rPr>
        <w:t>Comparaison entre le rapport financier et le système et les documents comptables du ou des États membres partenaires</w:t>
      </w:r>
      <w:bookmarkEnd w:id="1012"/>
      <w:bookmarkEnd w:id="1013"/>
      <w:bookmarkEnd w:id="1014"/>
      <w:bookmarkEnd w:id="1015"/>
      <w:bookmarkEnd w:id="1016"/>
      <w:bookmarkEnd w:id="1017"/>
      <w:r>
        <w:tab/>
      </w:r>
    </w:p>
    <w:p w14:paraId="530D819C" w14:textId="77777777" w:rsidR="00832F98" w:rsidRPr="005107DF" w:rsidRDefault="00832F98" w:rsidP="00D0198E">
      <w:pPr>
        <w:spacing w:before="120" w:after="120" w:line="240" w:lineRule="auto"/>
        <w:jc w:val="both"/>
        <w:rPr>
          <w:rFonts w:ascii="Times New Roman" w:eastAsia="Times New Roman" w:hAnsi="Times New Roman" w:cs="Times New Roman"/>
          <w:i/>
        </w:rPr>
      </w:pPr>
      <w:r>
        <w:rPr>
          <w:rFonts w:ascii="Times New Roman" w:hAnsi="Times New Roman"/>
        </w:rPr>
        <w:t xml:space="preserve">L’auditeur compare les informations contenues dans le rapport financier avec le système et les documents comptables du ou des États membres partenaires </w:t>
      </w:r>
      <w:r>
        <w:rPr>
          <w:rFonts w:ascii="Times New Roman" w:hAnsi="Times New Roman"/>
          <w:sz w:val="20"/>
        </w:rPr>
        <w:t>(EMP)</w:t>
      </w:r>
      <w:r>
        <w:rPr>
          <w:rFonts w:ascii="Times New Roman" w:hAnsi="Times New Roman"/>
        </w:rPr>
        <w:t xml:space="preserve"> (par exemple, balance générale des comptes, comptes du grand livre, journaux auxiliaires, etc.). </w:t>
      </w:r>
    </w:p>
    <w:p w14:paraId="483223A6" w14:textId="77777777" w:rsidR="00832F98" w:rsidRPr="005107DF" w:rsidRDefault="00832F98" w:rsidP="007338F0">
      <w:pPr>
        <w:rPr>
          <w:rFonts w:ascii="Times New Roman" w:hAnsi="Times New Roman" w:cs="Times New Roman"/>
          <w:b/>
          <w:sz w:val="24"/>
          <w:szCs w:val="24"/>
        </w:rPr>
      </w:pPr>
      <w:bookmarkStart w:id="1018" w:name="_Toc442374376"/>
      <w:bookmarkStart w:id="1019" w:name="_Toc442374866"/>
      <w:bookmarkStart w:id="1020" w:name="_Toc443320188"/>
      <w:bookmarkStart w:id="1021" w:name="_Toc464460035"/>
      <w:bookmarkStart w:id="1022" w:name="_Toc476063382"/>
      <w:bookmarkStart w:id="1023" w:name="_Toc476067864"/>
      <w:r>
        <w:rPr>
          <w:rFonts w:ascii="Times New Roman" w:hAnsi="Times New Roman"/>
          <w:b/>
          <w:sz w:val="24"/>
        </w:rPr>
        <w:t>2.5</w:t>
      </w:r>
      <w:r>
        <w:tab/>
      </w:r>
      <w:r>
        <w:rPr>
          <w:rFonts w:ascii="Times New Roman" w:hAnsi="Times New Roman"/>
          <w:b/>
          <w:sz w:val="24"/>
        </w:rPr>
        <w:t>Taux de change</w:t>
      </w:r>
      <w:bookmarkEnd w:id="1018"/>
      <w:bookmarkEnd w:id="1019"/>
      <w:bookmarkEnd w:id="1020"/>
      <w:bookmarkEnd w:id="1021"/>
      <w:bookmarkEnd w:id="1022"/>
      <w:bookmarkEnd w:id="1023"/>
      <w:r>
        <w:rPr>
          <w:rFonts w:ascii="Times New Roman" w:hAnsi="Times New Roman"/>
          <w:b/>
          <w:sz w:val="24"/>
        </w:rPr>
        <w:t xml:space="preserve"> </w:t>
      </w:r>
      <w:r>
        <w:tab/>
      </w:r>
    </w:p>
    <w:p w14:paraId="468E7950" w14:textId="77777777" w:rsidR="00832F98" w:rsidRPr="005107DF" w:rsidRDefault="00832F98" w:rsidP="00D0198E">
      <w:pPr>
        <w:spacing w:after="0" w:line="240" w:lineRule="auto"/>
        <w:jc w:val="both"/>
        <w:rPr>
          <w:rFonts w:ascii="Times New Roman" w:eastAsia="Times New Roman" w:hAnsi="Times New Roman" w:cs="Times New Roman"/>
        </w:rPr>
      </w:pPr>
      <w:r>
        <w:rPr>
          <w:rFonts w:ascii="Times New Roman" w:hAnsi="Times New Roman"/>
        </w:rPr>
        <w:t>L’auditeur vérifie que le rapport financier sur l’action est rempli dans la devise indiquée à l’article 15.9 des conditions générales. L’auditeur s’assure que les frais exposés dans d’autres devises que celle utilisée dans les comptes du bénéficiaire pour l’action ont été convertis conformément aux pratiques comptables habituelles du bénéficiaire et à l’article 15.10 des conditions générales, sauf disposition contraire prévue dans les conditions particulières.</w:t>
      </w:r>
    </w:p>
    <w:p w14:paraId="62D0BC04"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s’assure que les montants des dépenses encourues dans une devise autre que l’euro ont été convertis conformément à l’article 15.9 des conditions générales.</w:t>
      </w:r>
    </w:p>
    <w:p w14:paraId="7CC9CA01" w14:textId="77777777" w:rsidR="00832F98" w:rsidRPr="005107DF" w:rsidRDefault="00832F98" w:rsidP="00D0198E">
      <w:pPr>
        <w:spacing w:before="120" w:after="120" w:line="240" w:lineRule="auto"/>
        <w:jc w:val="both"/>
        <w:rPr>
          <w:rFonts w:ascii="Times New Roman" w:eastAsia="Times New Roman" w:hAnsi="Times New Roman" w:cs="Times New Roman"/>
          <w:b/>
        </w:rPr>
      </w:pPr>
      <w:r>
        <w:rPr>
          <w:rFonts w:ascii="Times New Roman" w:hAnsi="Times New Roman"/>
          <w:b/>
        </w:rPr>
        <w:t>2.6</w:t>
      </w:r>
      <w:r>
        <w:tab/>
      </w:r>
      <w:r>
        <w:rPr>
          <w:rFonts w:ascii="Times New Roman" w:hAnsi="Times New Roman"/>
          <w:b/>
        </w:rPr>
        <w:t>Options de coûts simplifiés</w:t>
      </w:r>
    </w:p>
    <w:p w14:paraId="64577F6C" w14:textId="77777777" w:rsidR="00832F98" w:rsidRPr="005107DF" w:rsidRDefault="00832F98" w:rsidP="00D0198E">
      <w:pPr>
        <w:widowControl w:val="0"/>
        <w:numPr>
          <w:ilvl w:val="0"/>
          <w:numId w:val="170"/>
        </w:numPr>
        <w:spacing w:before="100" w:after="100" w:line="240" w:lineRule="auto"/>
        <w:ind w:left="284" w:hanging="284"/>
        <w:jc w:val="both"/>
        <w:rPr>
          <w:rFonts w:ascii="Times New Roman" w:eastAsia="Times New Roman" w:hAnsi="Times New Roman" w:cs="Times New Roman"/>
        </w:rPr>
      </w:pPr>
      <w:r>
        <w:rPr>
          <w:rFonts w:ascii="Times New Roman" w:hAnsi="Times New Roman"/>
        </w:rPr>
        <w:t xml:space="preserve">Comme le prévoit le manuel de jumelage, le contrat de subvention de jumelage comporte un système de coûts simplifiés sous la forme de coûts unitaires (indemnité journalière forfaitaire par jour travaillé dans le </w:t>
      </w:r>
      <w:r>
        <w:rPr>
          <w:rFonts w:ascii="Times New Roman" w:hAnsi="Times New Roman"/>
          <w:color w:val="000000"/>
          <w:sz w:val="24"/>
        </w:rPr>
        <w:t>pays bénéficiaire</w:t>
      </w:r>
      <w:r>
        <w:rPr>
          <w:rFonts w:ascii="Times New Roman" w:hAnsi="Times New Roman"/>
        </w:rPr>
        <w:t>, indemnité journalière) et de financements à taux forfaitaire (coûts de soutien aux projets de jumelage).</w:t>
      </w:r>
    </w:p>
    <w:p w14:paraId="0BC04434" w14:textId="77777777" w:rsidR="00832F98" w:rsidRPr="005107DF" w:rsidRDefault="00832F98" w:rsidP="00D0198E">
      <w:pPr>
        <w:widowControl w:val="0"/>
        <w:numPr>
          <w:ilvl w:val="0"/>
          <w:numId w:val="170"/>
        </w:numPr>
        <w:spacing w:before="100" w:after="100" w:line="240" w:lineRule="auto"/>
        <w:ind w:left="284" w:hanging="284"/>
        <w:jc w:val="both"/>
        <w:rPr>
          <w:rFonts w:ascii="Times New Roman" w:eastAsia="Times New Roman" w:hAnsi="Times New Roman" w:cs="Times New Roman"/>
        </w:rPr>
      </w:pPr>
      <w:r>
        <w:rPr>
          <w:rFonts w:ascii="Times New Roman" w:hAnsi="Times New Roman"/>
        </w:rPr>
        <w:t>S’agissant desdits coûts simplifiés, l’auditeur prend connaissance des conditions énoncées:</w:t>
      </w:r>
    </w:p>
    <w:p w14:paraId="6A053CEE" w14:textId="77777777" w:rsidR="00832F98" w:rsidRPr="005107DF" w:rsidRDefault="00832F98" w:rsidP="00D0198E">
      <w:pPr>
        <w:spacing w:after="0" w:line="240" w:lineRule="auto"/>
        <w:ind w:left="567" w:hanging="283"/>
        <w:jc w:val="both"/>
        <w:rPr>
          <w:rFonts w:ascii="Times New Roman" w:eastAsia="Times New Roman" w:hAnsi="Times New Roman" w:cs="Times New Roman"/>
        </w:rPr>
      </w:pPr>
      <w:r>
        <w:rPr>
          <w:rFonts w:ascii="Times New Roman" w:hAnsi="Times New Roman"/>
        </w:rPr>
        <w:t>-</w:t>
      </w:r>
      <w:r>
        <w:tab/>
      </w:r>
      <w:r>
        <w:rPr>
          <w:rFonts w:ascii="Times New Roman" w:hAnsi="Times New Roman"/>
          <w:b/>
        </w:rPr>
        <w:t>à l’article 2.1 c) des conditions générales</w:t>
      </w:r>
      <w:r>
        <w:rPr>
          <w:rFonts w:ascii="Times New Roman" w:hAnsi="Times New Roman"/>
        </w:rPr>
        <w:t xml:space="preserve">. Ledit article dispose qu’en cas d’application des options de coûts simplifiés, le rapport relatif à l’action (parties narrative et financière) livre les informations qualitatives et quantitatives nécessaires pour démontrer le respect des conditions de remboursement prévues dans les conditions particulières;  </w:t>
      </w:r>
    </w:p>
    <w:p w14:paraId="65FF5F95" w14:textId="77777777" w:rsidR="00832F98" w:rsidRPr="005107DF" w:rsidRDefault="00832F98" w:rsidP="00D0198E">
      <w:pPr>
        <w:spacing w:after="0" w:line="240" w:lineRule="auto"/>
        <w:ind w:left="567" w:hanging="283"/>
        <w:jc w:val="both"/>
        <w:rPr>
          <w:rFonts w:ascii="Times New Roman" w:eastAsia="Times New Roman" w:hAnsi="Times New Roman" w:cs="Times New Roman"/>
        </w:rPr>
      </w:pPr>
    </w:p>
    <w:p w14:paraId="1102D144" w14:textId="77777777" w:rsidR="00832F98" w:rsidRPr="005107DF" w:rsidRDefault="00832F98" w:rsidP="00D0198E">
      <w:pPr>
        <w:spacing w:after="0" w:line="240" w:lineRule="auto"/>
        <w:ind w:left="567" w:hanging="283"/>
        <w:jc w:val="both"/>
        <w:rPr>
          <w:rFonts w:ascii="Times New Roman" w:eastAsia="Times New Roman" w:hAnsi="Times New Roman" w:cs="Times New Roman"/>
        </w:rPr>
      </w:pPr>
      <w:r>
        <w:rPr>
          <w:rFonts w:ascii="Times New Roman" w:hAnsi="Times New Roman"/>
        </w:rPr>
        <w:t>-</w:t>
      </w:r>
      <w:r>
        <w:tab/>
      </w:r>
      <w:r>
        <w:rPr>
          <w:rFonts w:ascii="Times New Roman" w:hAnsi="Times New Roman"/>
          <w:b/>
        </w:rPr>
        <w:t>à la section 6 du manuel de jumelage</w:t>
      </w:r>
      <w:r>
        <w:rPr>
          <w:rFonts w:ascii="Times New Roman" w:hAnsi="Times New Roman"/>
        </w:rPr>
        <w:t xml:space="preserve">, </w:t>
      </w:r>
    </w:p>
    <w:p w14:paraId="3422D407" w14:textId="77777777" w:rsidR="00832F98" w:rsidRPr="005107DF" w:rsidRDefault="00832F98" w:rsidP="00D0198E">
      <w:pPr>
        <w:spacing w:after="0" w:line="240" w:lineRule="auto"/>
        <w:jc w:val="both"/>
        <w:rPr>
          <w:rFonts w:ascii="Times New Roman" w:eastAsia="Times New Roman" w:hAnsi="Times New Roman" w:cs="Times New Roman"/>
        </w:rPr>
      </w:pPr>
    </w:p>
    <w:p w14:paraId="372CDE78" w14:textId="77777777" w:rsidR="00832F98" w:rsidRPr="005107DF" w:rsidRDefault="00832F98" w:rsidP="00D0198E">
      <w:pPr>
        <w:spacing w:after="0" w:line="240" w:lineRule="auto"/>
        <w:jc w:val="both"/>
        <w:rPr>
          <w:rFonts w:ascii="Times New Roman" w:eastAsia="Times New Roman" w:hAnsi="Times New Roman" w:cs="Times New Roman"/>
        </w:rPr>
      </w:pPr>
      <w:r>
        <w:rPr>
          <w:rFonts w:ascii="Times New Roman" w:hAnsi="Times New Roman"/>
        </w:rPr>
        <w:t>Par conséquent, l’auditeur exécute les procédures spécifiques relatives à la vérification des options de coûts simplifiés énoncées à l’article 4.1.(</w:t>
      </w:r>
      <w:r>
        <w:rPr>
          <w:rFonts w:ascii="Times New Roman" w:hAnsi="Times New Roman"/>
          <w:i/>
        </w:rPr>
        <w:t>2</w:t>
      </w:r>
      <w:r>
        <w:rPr>
          <w:rFonts w:ascii="Times New Roman" w:hAnsi="Times New Roman"/>
        </w:rPr>
        <w:t>) ci-dessous.</w:t>
      </w:r>
    </w:p>
    <w:p w14:paraId="4F5F77D6" w14:textId="77777777" w:rsidR="00832F98" w:rsidRPr="005107DF" w:rsidRDefault="00832F98" w:rsidP="00D0198E">
      <w:pPr>
        <w:spacing w:after="0" w:line="240" w:lineRule="auto"/>
        <w:jc w:val="both"/>
        <w:rPr>
          <w:rFonts w:ascii="Times New Roman" w:eastAsia="Times New Roman" w:hAnsi="Times New Roman" w:cs="Times New Roman"/>
        </w:rPr>
      </w:pPr>
    </w:p>
    <w:p w14:paraId="1C852935" w14:textId="77777777" w:rsidR="00832F98" w:rsidRPr="005107DF" w:rsidRDefault="00832F98" w:rsidP="007338F0">
      <w:pPr>
        <w:rPr>
          <w:rFonts w:ascii="Times New Roman" w:hAnsi="Times New Roman" w:cs="Times New Roman"/>
          <w:b/>
          <w:smallCaps/>
          <w:sz w:val="24"/>
          <w:szCs w:val="24"/>
        </w:rPr>
      </w:pPr>
      <w:bookmarkStart w:id="1024" w:name="_Toc442374377"/>
      <w:bookmarkStart w:id="1025" w:name="_Toc442374867"/>
      <w:bookmarkStart w:id="1026" w:name="_Toc443320189"/>
      <w:bookmarkStart w:id="1027" w:name="_Toc464460036"/>
      <w:bookmarkStart w:id="1028" w:name="_Toc476063383"/>
      <w:bookmarkStart w:id="1029" w:name="_Toc476067865"/>
      <w:r>
        <w:rPr>
          <w:rFonts w:ascii="Times New Roman" w:hAnsi="Times New Roman"/>
          <w:b/>
          <w:smallCaps/>
          <w:sz w:val="24"/>
        </w:rPr>
        <w:t>3. Procédures de vérification de la conformité des dépenses avec le budget et contrôle analytique</w:t>
      </w:r>
      <w:bookmarkEnd w:id="1024"/>
      <w:bookmarkEnd w:id="1025"/>
      <w:bookmarkEnd w:id="1026"/>
      <w:bookmarkEnd w:id="1027"/>
      <w:bookmarkEnd w:id="1028"/>
      <w:bookmarkEnd w:id="1029"/>
    </w:p>
    <w:p w14:paraId="3B8A8F46" w14:textId="77777777" w:rsidR="00832F98" w:rsidRPr="005107DF" w:rsidRDefault="00832F98" w:rsidP="007338F0">
      <w:pPr>
        <w:rPr>
          <w:rFonts w:ascii="Times New Roman" w:hAnsi="Times New Roman" w:cs="Times New Roman"/>
          <w:b/>
          <w:sz w:val="24"/>
          <w:szCs w:val="24"/>
        </w:rPr>
      </w:pPr>
      <w:bookmarkStart w:id="1030" w:name="_Toc442374378"/>
      <w:bookmarkStart w:id="1031" w:name="_Toc442374868"/>
      <w:bookmarkStart w:id="1032" w:name="_Toc443320190"/>
      <w:bookmarkStart w:id="1033" w:name="_Toc464460037"/>
      <w:bookmarkStart w:id="1034" w:name="_Toc476063384"/>
      <w:bookmarkStart w:id="1035" w:name="_Toc476067866"/>
      <w:r>
        <w:rPr>
          <w:rFonts w:ascii="Times New Roman" w:hAnsi="Times New Roman"/>
          <w:b/>
          <w:sz w:val="24"/>
        </w:rPr>
        <w:t>3.1</w:t>
      </w:r>
      <w:r>
        <w:tab/>
      </w:r>
      <w:r>
        <w:rPr>
          <w:rFonts w:ascii="Times New Roman" w:hAnsi="Times New Roman"/>
          <w:b/>
          <w:sz w:val="24"/>
        </w:rPr>
        <w:t xml:space="preserve">Budget du </w:t>
      </w:r>
      <w:bookmarkEnd w:id="1030"/>
      <w:bookmarkEnd w:id="1031"/>
      <w:bookmarkEnd w:id="1032"/>
      <w:bookmarkEnd w:id="1033"/>
      <w:r>
        <w:rPr>
          <w:rFonts w:ascii="Times New Roman" w:hAnsi="Times New Roman"/>
          <w:b/>
          <w:sz w:val="24"/>
        </w:rPr>
        <w:t>contrat de subvention de jumelage</w:t>
      </w:r>
      <w:bookmarkEnd w:id="1034"/>
      <w:bookmarkEnd w:id="1035"/>
    </w:p>
    <w:p w14:paraId="4DA75309"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L’auditeur réalise un contrôle analytique des rubriques de dépenses du rapport financier. </w:t>
      </w:r>
    </w:p>
    <w:p w14:paraId="27295B9C"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Il vérifie que le budget mentionné dans le rapport financier correspond à celui du contrat de subvention de jumelage (authenticité et autorisation du budget initial) et que les dépenses encourues étaient prévues dans le budget du contrat de subvention de jumelage.</w:t>
      </w:r>
    </w:p>
    <w:p w14:paraId="78AC3341" w14:textId="77777777" w:rsidR="00832F98" w:rsidRPr="005107DF" w:rsidRDefault="00832F98" w:rsidP="007338F0">
      <w:pPr>
        <w:rPr>
          <w:rFonts w:ascii="Times New Roman" w:hAnsi="Times New Roman" w:cs="Times New Roman"/>
          <w:b/>
          <w:sz w:val="24"/>
          <w:szCs w:val="24"/>
        </w:rPr>
      </w:pPr>
      <w:bookmarkStart w:id="1036" w:name="_Toc442374379"/>
      <w:bookmarkStart w:id="1037" w:name="_Toc442374869"/>
      <w:bookmarkStart w:id="1038" w:name="_Toc443320191"/>
      <w:bookmarkStart w:id="1039" w:name="_Toc464460038"/>
      <w:bookmarkStart w:id="1040" w:name="_Toc476063385"/>
      <w:bookmarkStart w:id="1041" w:name="_Toc476067867"/>
      <w:r>
        <w:rPr>
          <w:rFonts w:ascii="Times New Roman" w:hAnsi="Times New Roman"/>
          <w:b/>
          <w:sz w:val="24"/>
        </w:rPr>
        <w:t>3.2</w:t>
      </w:r>
      <w:r>
        <w:tab/>
      </w:r>
      <w:r>
        <w:rPr>
          <w:rFonts w:ascii="Times New Roman" w:hAnsi="Times New Roman"/>
          <w:b/>
          <w:sz w:val="24"/>
        </w:rPr>
        <w:t xml:space="preserve">Modification du budget du </w:t>
      </w:r>
      <w:bookmarkEnd w:id="1036"/>
      <w:bookmarkEnd w:id="1037"/>
      <w:bookmarkEnd w:id="1038"/>
      <w:bookmarkEnd w:id="1039"/>
      <w:r>
        <w:rPr>
          <w:rFonts w:ascii="Times New Roman" w:hAnsi="Times New Roman"/>
          <w:b/>
          <w:sz w:val="24"/>
        </w:rPr>
        <w:t>contrat de subvention de jumelage</w:t>
      </w:r>
      <w:bookmarkEnd w:id="1040"/>
      <w:bookmarkEnd w:id="1041"/>
    </w:p>
    <w:p w14:paraId="01373EAD"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vérifie si des modifications ont été apportées au budget du contrat de subvention de jumelage. Si tel est le cas, l’auditeur vérifie que le coordinateur:</w:t>
      </w:r>
    </w:p>
    <w:p w14:paraId="3F6C2247"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t>-</w:t>
      </w:r>
      <w:r>
        <w:tab/>
      </w:r>
      <w:r>
        <w:rPr>
          <w:rFonts w:ascii="Times New Roman" w:hAnsi="Times New Roman"/>
        </w:rPr>
        <w:t>a demandé une modification du budget et obtenu un avenant au contrat de subvention de jumelage, lorsque cet avenant était nécessaire (article 9 des conditions générales telles que dérogées et complétées par la section 5.9 du manuel de jumelage et l’annexe A7 au contrat de subvention de jumelage);</w:t>
      </w:r>
    </w:p>
    <w:p w14:paraId="326BD6CF"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lastRenderedPageBreak/>
        <w:t>-</w:t>
      </w:r>
      <w:r>
        <w:tab/>
      </w:r>
      <w:r>
        <w:rPr>
          <w:rFonts w:ascii="Times New Roman" w:hAnsi="Times New Roman"/>
        </w:rPr>
        <w:t>a notifié à l’administration contractante la modification lorsque celle-ci était limitée par la portée de l’article 9.4 des conditions générales (section 5.9 du manuel de jumelage et annexe A7 du contrat de subvention de jumelage) et qu’un avenant au contrat de subvention de jumelage n’était pas nécessaire.</w:t>
      </w:r>
    </w:p>
    <w:p w14:paraId="6E1CA068" w14:textId="77777777" w:rsidR="00832F98" w:rsidRPr="005107DF" w:rsidRDefault="00832F98">
      <w:pPr>
        <w:rPr>
          <w:rFonts w:ascii="Times New Roman" w:eastAsia="Times New Roman" w:hAnsi="Times New Roman" w:cs="Times New Roman"/>
        </w:rPr>
      </w:pPr>
      <w:r>
        <w:br w:type="page"/>
      </w:r>
    </w:p>
    <w:p w14:paraId="5B42B47C" w14:textId="77777777" w:rsidR="00832F98" w:rsidRPr="005107DF" w:rsidRDefault="00832F98" w:rsidP="007338F0">
      <w:pPr>
        <w:rPr>
          <w:rFonts w:ascii="Times New Roman" w:hAnsi="Times New Roman" w:cs="Times New Roman"/>
          <w:b/>
          <w:smallCaps/>
          <w:sz w:val="24"/>
          <w:szCs w:val="24"/>
        </w:rPr>
      </w:pPr>
      <w:bookmarkStart w:id="1042" w:name="_Toc442374380"/>
      <w:bookmarkStart w:id="1043" w:name="_Toc442374870"/>
      <w:bookmarkStart w:id="1044" w:name="_Toc443320192"/>
      <w:bookmarkStart w:id="1045" w:name="_Toc464460039"/>
      <w:bookmarkStart w:id="1046" w:name="_Toc476063386"/>
      <w:bookmarkStart w:id="1047" w:name="_Toc476067868"/>
      <w:r>
        <w:rPr>
          <w:rFonts w:ascii="Times New Roman" w:hAnsi="Times New Roman"/>
          <w:b/>
          <w:smallCaps/>
          <w:sz w:val="24"/>
        </w:rPr>
        <w:lastRenderedPageBreak/>
        <w:t>4. Procédures de vérification des dépenses sélectionnées</w:t>
      </w:r>
      <w:bookmarkEnd w:id="1042"/>
      <w:bookmarkEnd w:id="1043"/>
      <w:bookmarkEnd w:id="1044"/>
      <w:bookmarkEnd w:id="1045"/>
      <w:bookmarkEnd w:id="1046"/>
      <w:bookmarkEnd w:id="1047"/>
    </w:p>
    <w:p w14:paraId="2912D8E2" w14:textId="77777777" w:rsidR="00832F98" w:rsidRPr="005107DF" w:rsidRDefault="00832F98" w:rsidP="007338F0">
      <w:pPr>
        <w:rPr>
          <w:rFonts w:ascii="Times New Roman" w:hAnsi="Times New Roman" w:cs="Times New Roman"/>
          <w:b/>
          <w:sz w:val="24"/>
          <w:szCs w:val="24"/>
        </w:rPr>
      </w:pPr>
      <w:bookmarkStart w:id="1048" w:name="_Toc442374381"/>
      <w:bookmarkStart w:id="1049" w:name="_Toc442374871"/>
      <w:bookmarkStart w:id="1050" w:name="_Toc443320193"/>
      <w:bookmarkStart w:id="1051" w:name="_Toc464460040"/>
      <w:bookmarkStart w:id="1052" w:name="_Toc476063387"/>
      <w:bookmarkStart w:id="1053" w:name="_Toc476067869"/>
      <w:r>
        <w:rPr>
          <w:rFonts w:ascii="Times New Roman" w:hAnsi="Times New Roman"/>
          <w:b/>
          <w:sz w:val="24"/>
        </w:rPr>
        <w:t>4.1</w:t>
      </w:r>
      <w:r>
        <w:tab/>
      </w:r>
      <w:r>
        <w:rPr>
          <w:rFonts w:ascii="Times New Roman" w:hAnsi="Times New Roman"/>
          <w:b/>
          <w:sz w:val="24"/>
        </w:rPr>
        <w:t>Éligibilité des coûts</w:t>
      </w:r>
      <w:bookmarkEnd w:id="1048"/>
      <w:bookmarkEnd w:id="1049"/>
      <w:bookmarkEnd w:id="1050"/>
      <w:bookmarkEnd w:id="1051"/>
      <w:bookmarkEnd w:id="1052"/>
      <w:bookmarkEnd w:id="1053"/>
      <w:r>
        <w:rPr>
          <w:rFonts w:ascii="Times New Roman" w:hAnsi="Times New Roman"/>
          <w:b/>
          <w:sz w:val="24"/>
        </w:rPr>
        <w:t xml:space="preserve"> </w:t>
      </w:r>
    </w:p>
    <w:p w14:paraId="531715CA"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vérifie, pour chaque poste de dépenses sélectionné, les critères d’éligibilité exposés ci-dessous.</w:t>
      </w:r>
    </w:p>
    <w:p w14:paraId="37ABCF5C"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i/>
          <w:sz w:val="20"/>
          <w:szCs w:val="20"/>
        </w:rPr>
      </w:pPr>
      <w:r>
        <w:rPr>
          <w:rFonts w:ascii="Times New Roman" w:hAnsi="Times New Roman"/>
          <w:i/>
          <w:sz w:val="20"/>
        </w:rPr>
        <w:t>(1)</w:t>
      </w:r>
      <w:r>
        <w:tab/>
      </w:r>
      <w:r>
        <w:rPr>
          <w:rFonts w:ascii="Times New Roman" w:hAnsi="Times New Roman"/>
          <w:i/>
          <w:sz w:val="20"/>
        </w:rPr>
        <w:t>Coûts effectivement encourus (article 14.1 des conditions générales)</w:t>
      </w:r>
    </w:p>
    <w:p w14:paraId="553EC241"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vérifie que les dépenses réelles relatives à un poste sélectionné ont été encourues par le ou les États membres partenaires. L’auditeur doit tenir compte des conditions détaillées en matière de coûts réels telles qu’exposées à l’article 14.1 i) à iii). À cette fin, l’auditeur examine les justificatifs (par exemple, factures, contrats) et la preuve de paiement. Il examine également les justificatifs des travaux effectués, des biens reçus ou des services fournis et il vérifie l’existence d’actifs, le cas échéant.</w:t>
      </w:r>
    </w:p>
    <w:p w14:paraId="63AF1C8A"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Au stade du rapport final, les coûts encourus au cours de la période de mise en œuvre, mais non encore acquittés, peuvent être acceptés en tant que coûts réels encourus, pour autant 1) qu’un passif existe (commande, facture ou document équivalent) pour les services ou biens fournis au cours de la période de mise en œuvre de l’action, 2) que les coûts définitifs soient connus et 3) que ces coûts apparaissent dans le rapport financier final (annexe C5 au manuel de jumelage) aux côtés de la date de paiement estimée (voir article 14.1.a) ii) des conditions générales). L’auditeur vérifie que tous les postes de dépenses ont été effectivement réglés au moment de sa vérification.</w:t>
      </w:r>
    </w:p>
    <w:p w14:paraId="4FE6CDAC"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i/>
          <w:sz w:val="20"/>
          <w:szCs w:val="20"/>
        </w:rPr>
      </w:pPr>
      <w:r>
        <w:rPr>
          <w:rFonts w:ascii="Times New Roman" w:hAnsi="Times New Roman"/>
          <w:i/>
          <w:sz w:val="20"/>
        </w:rPr>
        <w:t>(2)</w:t>
      </w:r>
      <w:r>
        <w:tab/>
      </w:r>
      <w:r>
        <w:rPr>
          <w:rFonts w:ascii="Times New Roman" w:hAnsi="Times New Roman"/>
          <w:i/>
          <w:sz w:val="20"/>
        </w:rPr>
        <w:t>Options de coûts simplifiés</w:t>
      </w:r>
      <w:r>
        <w:rPr>
          <w:rFonts w:ascii="Times New Roman" w:hAnsi="Times New Roman"/>
          <w:i/>
          <w:vertAlign w:val="superscript"/>
        </w:rPr>
        <w:footnoteReference w:id="43"/>
      </w:r>
      <w:r>
        <w:rPr>
          <w:rFonts w:ascii="Times New Roman" w:hAnsi="Times New Roman"/>
          <w:i/>
          <w:sz w:val="20"/>
        </w:rPr>
        <w:t xml:space="preserve"> (section 6 et annexe B du manuel de jumelage et articles 14.3 à 14.5 des conditions générales telles que dérogées par l’article 7.2.6 des conditions particulières)</w:t>
      </w:r>
    </w:p>
    <w:p w14:paraId="646D1CC5" w14:textId="77777777" w:rsidR="00832F98" w:rsidRPr="005107DF" w:rsidRDefault="00832F98" w:rsidP="00D0198E">
      <w:pPr>
        <w:spacing w:after="0" w:line="240" w:lineRule="auto"/>
        <w:jc w:val="both"/>
        <w:rPr>
          <w:rFonts w:ascii="Times New Roman" w:eastAsia="Times New Roman" w:hAnsi="Times New Roman" w:cs="Times New Roman"/>
        </w:rPr>
      </w:pPr>
      <w:r>
        <w:rPr>
          <w:rFonts w:ascii="Times New Roman" w:hAnsi="Times New Roman"/>
        </w:rPr>
        <w:t>Comme le prévoit le manuel de jumelage, le contrat de subvention de jumelage comporte un système de coûts simplifiés sous la forme de coûts unitaires (honoraires par jour travaillé dans le pays bénéficiaire et indemnités journalières) et de financements à taux forfaitaire (coûts de soutien aux projets de jumelage). À cet égard, l’auditeur vérifie:</w:t>
      </w:r>
    </w:p>
    <w:p w14:paraId="48F590E0" w14:textId="77777777" w:rsidR="00832F98" w:rsidRPr="005107DF" w:rsidRDefault="00832F98" w:rsidP="00D0198E">
      <w:pPr>
        <w:spacing w:after="0" w:line="240" w:lineRule="auto"/>
        <w:jc w:val="both"/>
        <w:rPr>
          <w:rFonts w:ascii="Times New Roman" w:eastAsia="Times New Roman" w:hAnsi="Times New Roman" w:cs="Times New Roman"/>
        </w:rPr>
      </w:pPr>
    </w:p>
    <w:p w14:paraId="0FC3BD04" w14:textId="77777777" w:rsidR="00832F98" w:rsidRPr="005107DF" w:rsidRDefault="00832F98" w:rsidP="00D0198E">
      <w:pPr>
        <w:spacing w:after="0" w:line="240" w:lineRule="auto"/>
        <w:ind w:left="284" w:hanging="284"/>
        <w:jc w:val="both"/>
        <w:rPr>
          <w:rFonts w:ascii="Times New Roman" w:eastAsia="Times New Roman" w:hAnsi="Times New Roman" w:cs="Times New Roman"/>
        </w:rPr>
      </w:pPr>
      <w:r>
        <w:rPr>
          <w:rFonts w:ascii="Times New Roman" w:hAnsi="Times New Roman"/>
        </w:rPr>
        <w:t>-</w:t>
      </w:r>
      <w:r>
        <w:tab/>
      </w:r>
      <w:r>
        <w:rPr>
          <w:rFonts w:ascii="Times New Roman" w:hAnsi="Times New Roman"/>
        </w:rPr>
        <w:t>à quelles (sous-)rubriques de coût et/ou quels postes de dépenses [annexe A3 (budget) du contrat de subvention de jumelage] s’applique ce système de coûts simplifiés;</w:t>
      </w:r>
    </w:p>
    <w:p w14:paraId="6336FB8C" w14:textId="77777777" w:rsidR="00832F98" w:rsidRPr="005107DF" w:rsidRDefault="00832F98" w:rsidP="00D0198E">
      <w:pPr>
        <w:spacing w:after="0" w:line="240" w:lineRule="auto"/>
        <w:ind w:left="284" w:hanging="284"/>
        <w:jc w:val="both"/>
        <w:rPr>
          <w:rFonts w:ascii="Times New Roman" w:eastAsia="Times New Roman" w:hAnsi="Times New Roman" w:cs="Times New Roman"/>
        </w:rPr>
      </w:pPr>
      <w:r>
        <w:rPr>
          <w:rFonts w:ascii="Times New Roman" w:hAnsi="Times New Roman"/>
        </w:rPr>
        <w:t>-</w:t>
      </w:r>
      <w:r>
        <w:tab/>
      </w:r>
      <w:r>
        <w:rPr>
          <w:rFonts w:ascii="Times New Roman" w:hAnsi="Times New Roman"/>
        </w:rPr>
        <w:t>quels montants, coûts unitaires et taux forfaitaires ont été contractuellement prévus [annexe A3 (budget) du contrat de subvention de jumelage];</w:t>
      </w:r>
    </w:p>
    <w:p w14:paraId="4F5D136F" w14:textId="77777777" w:rsidR="00832F98" w:rsidRPr="005107DF" w:rsidRDefault="00832F98" w:rsidP="00D0198E">
      <w:pPr>
        <w:spacing w:after="0" w:line="240" w:lineRule="auto"/>
        <w:ind w:left="284" w:hanging="284"/>
        <w:jc w:val="both"/>
        <w:rPr>
          <w:rFonts w:ascii="Times New Roman" w:eastAsia="Times New Roman" w:hAnsi="Times New Roman" w:cs="Times New Roman"/>
        </w:rPr>
      </w:pPr>
      <w:r>
        <w:rPr>
          <w:rFonts w:ascii="Times New Roman" w:hAnsi="Times New Roman"/>
        </w:rPr>
        <w:t>-</w:t>
      </w:r>
      <w:r>
        <w:tab/>
      </w:r>
      <w:r>
        <w:rPr>
          <w:rFonts w:ascii="Times New Roman" w:hAnsi="Times New Roman"/>
        </w:rPr>
        <w:t>quelles informations quantitatives et/ou qualitatives ont servi à déterminer et à justifier les coûts déclarés (par exemple effectifs, nombre d’articles achetés, type de coûts et d’activités financé par des coûts unitaires);</w:t>
      </w:r>
    </w:p>
    <w:p w14:paraId="40BF608B" w14:textId="77777777" w:rsidR="00832F98" w:rsidRPr="005107DF" w:rsidRDefault="00832F98" w:rsidP="00D0198E">
      <w:pPr>
        <w:spacing w:after="0" w:line="240" w:lineRule="auto"/>
        <w:ind w:left="284" w:hanging="284"/>
        <w:jc w:val="both"/>
        <w:rPr>
          <w:rFonts w:ascii="Times New Roman" w:eastAsia="Times New Roman" w:hAnsi="Times New Roman" w:cs="Times New Roman"/>
        </w:rPr>
      </w:pPr>
      <w:r>
        <w:rPr>
          <w:rFonts w:ascii="Times New Roman" w:hAnsi="Times New Roman"/>
        </w:rPr>
        <w:t>-</w:t>
      </w:r>
      <w:r>
        <w:tab/>
      </w:r>
      <w:r>
        <w:rPr>
          <w:rFonts w:ascii="Times New Roman" w:hAnsi="Times New Roman"/>
        </w:rPr>
        <w:t>si les montants maximaux des options de coûts simplifiés pour chaque État membre partenaire ne sont pas dépassés, conformément aux conditions établies dans le contrat;</w:t>
      </w:r>
    </w:p>
    <w:p w14:paraId="08E77876" w14:textId="77777777" w:rsidR="00832F98" w:rsidRPr="005107DF" w:rsidRDefault="00832F98" w:rsidP="00D0198E">
      <w:pPr>
        <w:spacing w:after="0" w:line="240" w:lineRule="auto"/>
        <w:ind w:left="284" w:hanging="284"/>
        <w:jc w:val="both"/>
        <w:rPr>
          <w:rFonts w:ascii="Times New Roman" w:eastAsia="Times New Roman" w:hAnsi="Times New Roman" w:cs="Times New Roman"/>
        </w:rPr>
      </w:pPr>
      <w:r>
        <w:rPr>
          <w:rFonts w:ascii="Times New Roman" w:hAnsi="Times New Roman"/>
        </w:rPr>
        <w:t>-</w:t>
      </w:r>
      <w:r>
        <w:tab/>
      </w:r>
      <w:r>
        <w:rPr>
          <w:rFonts w:ascii="Times New Roman" w:hAnsi="Times New Roman"/>
        </w:rPr>
        <w:t>la plausibilité (c’est-à-dire la nécessité, le caractère raisonnable, la réalité) des informations quantitatives et qualitatives relatives aux coûts déclarés;</w:t>
      </w:r>
    </w:p>
    <w:p w14:paraId="3304F0AE" w14:textId="77777777" w:rsidR="00832F98" w:rsidRPr="005107DF" w:rsidRDefault="00832F98" w:rsidP="00D0198E">
      <w:pPr>
        <w:spacing w:after="0" w:line="240" w:lineRule="auto"/>
        <w:ind w:left="284" w:hanging="284"/>
        <w:jc w:val="both"/>
        <w:rPr>
          <w:rFonts w:ascii="Times New Roman" w:eastAsia="Times New Roman" w:hAnsi="Times New Roman" w:cs="Times New Roman"/>
        </w:rPr>
      </w:pPr>
      <w:r>
        <w:rPr>
          <w:rFonts w:ascii="Times New Roman" w:hAnsi="Times New Roman"/>
        </w:rPr>
        <w:t>-</w:t>
      </w:r>
      <w:r>
        <w:tab/>
      </w:r>
      <w:r>
        <w:rPr>
          <w:rFonts w:ascii="Times New Roman" w:hAnsi="Times New Roman"/>
        </w:rPr>
        <w:t>que les coûts couverts par des coûts unitaires et/ou des taux forfaitaires ne sont pas inclus (pas de double financement) dans d’autres coûts directs, qu’ils soient réels ou s’inscrivent dans le cadre d’options de coûts simplifiés;</w:t>
      </w:r>
    </w:p>
    <w:p w14:paraId="5F920452" w14:textId="77777777" w:rsidR="00832F98" w:rsidRPr="005107DF" w:rsidRDefault="00832F98" w:rsidP="00D0198E">
      <w:pPr>
        <w:spacing w:after="0" w:line="240" w:lineRule="auto"/>
        <w:ind w:left="284" w:hanging="284"/>
        <w:jc w:val="both"/>
        <w:rPr>
          <w:rFonts w:ascii="Times New Roman" w:eastAsia="Times New Roman" w:hAnsi="Times New Roman" w:cs="Times New Roman"/>
        </w:rPr>
      </w:pPr>
      <w:r>
        <w:rPr>
          <w:rFonts w:ascii="Times New Roman" w:hAnsi="Times New Roman"/>
        </w:rPr>
        <w:t>-</w:t>
      </w:r>
      <w:r>
        <w:tab/>
      </w:r>
      <w:r>
        <w:rPr>
          <w:rFonts w:ascii="Times New Roman" w:hAnsi="Times New Roman"/>
        </w:rPr>
        <w:t>que les coûts totaux déclarés dans le rapport financier ont été correctement déterminés.</w:t>
      </w:r>
    </w:p>
    <w:p w14:paraId="7FBCB812" w14:textId="77777777" w:rsidR="00832F98" w:rsidRPr="005107DF" w:rsidRDefault="00832F98" w:rsidP="00D0198E">
      <w:pPr>
        <w:spacing w:after="0" w:line="240" w:lineRule="auto"/>
        <w:ind w:left="284" w:hanging="284"/>
        <w:jc w:val="both"/>
        <w:rPr>
          <w:rFonts w:ascii="Times New Roman" w:eastAsia="Times New Roman" w:hAnsi="Times New Roman" w:cs="Times New Roman"/>
        </w:rPr>
      </w:pPr>
    </w:p>
    <w:p w14:paraId="05EE752A" w14:textId="77777777" w:rsidR="00832F98" w:rsidRPr="005107DF" w:rsidRDefault="00832F98" w:rsidP="0019382C">
      <w:pPr>
        <w:spacing w:after="0" w:line="240" w:lineRule="auto"/>
        <w:ind w:left="284"/>
        <w:jc w:val="both"/>
        <w:rPr>
          <w:rFonts w:ascii="Times New Roman" w:eastAsia="Times New Roman" w:hAnsi="Times New Roman" w:cs="Times New Roman"/>
        </w:rPr>
      </w:pPr>
      <w:r>
        <w:rPr>
          <w:rFonts w:ascii="Times New Roman" w:hAnsi="Times New Roman"/>
          <w:b/>
          <w:i/>
        </w:rPr>
        <w:t>Remarques</w:t>
      </w:r>
      <w:r>
        <w:rPr>
          <w:rFonts w:ascii="Times New Roman" w:hAnsi="Times New Roman"/>
        </w:rPr>
        <w:t>: l’auditeur n’est pas tenu de vérifier les coûts réels sur lesquels sont basés les coûts unitaires et/ou les taux forfaitaires.</w:t>
      </w:r>
    </w:p>
    <w:p w14:paraId="28119205" w14:textId="77777777" w:rsidR="00832F98" w:rsidRPr="005107DF" w:rsidRDefault="00832F98" w:rsidP="00D0198E">
      <w:pPr>
        <w:spacing w:after="0" w:line="240" w:lineRule="auto"/>
        <w:ind w:left="284"/>
        <w:jc w:val="both"/>
        <w:rPr>
          <w:rFonts w:ascii="Times New Roman" w:eastAsia="Times New Roman" w:hAnsi="Times New Roman" w:cs="Times New Roman"/>
        </w:rPr>
      </w:pPr>
    </w:p>
    <w:p w14:paraId="451B816A"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i/>
          <w:sz w:val="20"/>
          <w:szCs w:val="20"/>
        </w:rPr>
      </w:pPr>
      <w:r>
        <w:rPr>
          <w:rFonts w:ascii="Times New Roman" w:hAnsi="Times New Roman"/>
          <w:i/>
          <w:sz w:val="20"/>
        </w:rPr>
        <w:t>(3)</w:t>
      </w:r>
      <w:r>
        <w:tab/>
      </w:r>
      <w:r>
        <w:rPr>
          <w:rFonts w:ascii="Times New Roman" w:hAnsi="Times New Roman"/>
          <w:i/>
          <w:sz w:val="20"/>
        </w:rPr>
        <w:t>Séparation des exercices - Période de mise en œuvre [article 14.1 a) des conditions générales]</w:t>
      </w:r>
    </w:p>
    <w:p w14:paraId="4B4090CE"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L’auditeur vérifie que les dépenses relatives à un poste sélectionné ont été encourues durant la période de mise en œuvre de l’action. Une exception est prévue pour les coûts liés aux rapports finaux, y compris le rapport de vérification des dépenses, et susceptibles d’être encourus après la période de mise en œuvre du contrat de subvention de jumelage. </w:t>
      </w:r>
    </w:p>
    <w:p w14:paraId="07000BC0"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i/>
          <w:sz w:val="20"/>
          <w:szCs w:val="20"/>
        </w:rPr>
      </w:pPr>
      <w:r>
        <w:rPr>
          <w:rFonts w:ascii="Times New Roman" w:hAnsi="Times New Roman"/>
          <w:i/>
          <w:sz w:val="20"/>
        </w:rPr>
        <w:lastRenderedPageBreak/>
        <w:t>(4)</w:t>
      </w:r>
      <w:r>
        <w:tab/>
      </w:r>
      <w:r>
        <w:rPr>
          <w:rFonts w:ascii="Times New Roman" w:hAnsi="Times New Roman"/>
          <w:i/>
          <w:sz w:val="20"/>
        </w:rPr>
        <w:t>Budget [article 14.1 b) des conditions générales]</w:t>
      </w:r>
    </w:p>
    <w:p w14:paraId="27CF8138"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vérifie que les dépenses relatives à un poste sélectionné ont été indiquées dans le budget de l’action.</w:t>
      </w:r>
    </w:p>
    <w:p w14:paraId="5E9D0B39"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i/>
          <w:sz w:val="20"/>
          <w:szCs w:val="20"/>
        </w:rPr>
      </w:pPr>
      <w:r>
        <w:rPr>
          <w:rFonts w:ascii="Times New Roman" w:hAnsi="Times New Roman"/>
          <w:i/>
          <w:sz w:val="20"/>
        </w:rPr>
        <w:t>(5)</w:t>
      </w:r>
      <w:r>
        <w:tab/>
      </w:r>
      <w:r>
        <w:rPr>
          <w:rFonts w:ascii="Times New Roman" w:hAnsi="Times New Roman"/>
          <w:i/>
          <w:sz w:val="20"/>
        </w:rPr>
        <w:t>Dépenses nécessaires [article 14.1 c) des conditions générales]</w:t>
      </w:r>
    </w:p>
    <w:p w14:paraId="49C4674B" w14:textId="77777777" w:rsidR="00832F98" w:rsidRPr="005107DF" w:rsidRDefault="00832F98" w:rsidP="007338F0">
      <w:pPr>
        <w:tabs>
          <w:tab w:val="left" w:pos="709"/>
        </w:tabs>
        <w:spacing w:before="120" w:after="120" w:line="240" w:lineRule="auto"/>
        <w:jc w:val="both"/>
        <w:rPr>
          <w:rFonts w:ascii="Times New Roman" w:eastAsia="Times New Roman" w:hAnsi="Times New Roman" w:cs="Times New Roman"/>
          <w:i/>
          <w:sz w:val="20"/>
          <w:szCs w:val="20"/>
        </w:rPr>
      </w:pPr>
      <w:r>
        <w:rPr>
          <w:rFonts w:ascii="Times New Roman" w:hAnsi="Times New Roman"/>
        </w:rPr>
        <w:t>L’auditeur vérifie si, selon toute vraisemblance, les dépenses relatives à un poste sélectionné étaient nécessaires à la mise en œuvre de l’action et si elles devaient être encourues pour les activités sous-traitées de l’action, en examinant la nature des dépenses à l’aide des pièces justificatives, notamment au regard des dispositions du manuel commun de jumelage.</w:t>
      </w:r>
    </w:p>
    <w:p w14:paraId="0EBB7D11"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i/>
          <w:sz w:val="20"/>
          <w:szCs w:val="20"/>
        </w:rPr>
      </w:pPr>
      <w:r>
        <w:rPr>
          <w:rFonts w:ascii="Times New Roman" w:hAnsi="Times New Roman"/>
          <w:i/>
          <w:sz w:val="20"/>
        </w:rPr>
        <w:t>(6)</w:t>
      </w:r>
      <w:r>
        <w:tab/>
      </w:r>
      <w:r>
        <w:rPr>
          <w:rFonts w:ascii="Times New Roman" w:hAnsi="Times New Roman"/>
          <w:i/>
          <w:sz w:val="20"/>
        </w:rPr>
        <w:t>États de compte [article 14.1 d) des conditions générales]</w:t>
      </w:r>
    </w:p>
    <w:p w14:paraId="49B9C054" w14:textId="77777777" w:rsidR="00832F98" w:rsidRPr="005107DF" w:rsidRDefault="00832F98" w:rsidP="00D0198E">
      <w:pPr>
        <w:tabs>
          <w:tab w:val="left" w:pos="709"/>
        </w:tabs>
        <w:spacing w:before="120" w:after="120" w:line="240" w:lineRule="auto"/>
        <w:jc w:val="both"/>
        <w:rPr>
          <w:rFonts w:ascii="Times New Roman" w:eastAsia="Times New Roman" w:hAnsi="Times New Roman" w:cs="Times New Roman"/>
        </w:rPr>
      </w:pPr>
      <w:r>
        <w:rPr>
          <w:rFonts w:ascii="Times New Roman" w:hAnsi="Times New Roman"/>
        </w:rPr>
        <w:t>L’auditeur vérifie que les dépenses relatives à un poste sélectionné sont enregistrées dans le système de comptabilité du ou des États membres partenaires, conformément aux normes de comptabilité applicables dans le pays d’établissement de ce ou ces derniers et à ses ou leurs pratiques comptables habituelles.</w:t>
      </w:r>
    </w:p>
    <w:p w14:paraId="76143778"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i/>
          <w:sz w:val="20"/>
          <w:szCs w:val="20"/>
        </w:rPr>
      </w:pPr>
      <w:r>
        <w:rPr>
          <w:rFonts w:ascii="Times New Roman" w:hAnsi="Times New Roman"/>
          <w:i/>
          <w:sz w:val="20"/>
        </w:rPr>
        <w:t>(7)</w:t>
      </w:r>
      <w:r>
        <w:tab/>
      </w:r>
      <w:r>
        <w:rPr>
          <w:rFonts w:ascii="Times New Roman" w:hAnsi="Times New Roman"/>
          <w:i/>
          <w:sz w:val="20"/>
        </w:rPr>
        <w:t>Législation applicable [article 14.1 e) des conditions générales]</w:t>
      </w:r>
    </w:p>
    <w:p w14:paraId="00A0F873" w14:textId="77777777" w:rsidR="00832F98" w:rsidRPr="005107DF" w:rsidRDefault="00832F98" w:rsidP="00D0198E">
      <w:pPr>
        <w:tabs>
          <w:tab w:val="left" w:pos="709"/>
        </w:tabs>
        <w:spacing w:before="120" w:after="120" w:line="240" w:lineRule="auto"/>
        <w:jc w:val="both"/>
        <w:rPr>
          <w:rFonts w:ascii="Times New Roman" w:eastAsia="Times New Roman" w:hAnsi="Times New Roman" w:cs="Times New Roman"/>
        </w:rPr>
      </w:pPr>
      <w:r>
        <w:rPr>
          <w:rFonts w:ascii="Times New Roman" w:hAnsi="Times New Roman"/>
        </w:rPr>
        <w:t>L’auditeur vérifie que les dépenses satisfont aux exigences imposées par la législation fiscale et la législation en matière de sécurité sociale, le cas échéant (par exemple, la part des employeurs à l’impôt, les cotisations de retraite et les cotisations de sécurité sociale).</w:t>
      </w:r>
    </w:p>
    <w:p w14:paraId="3A67FF03"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i/>
          <w:sz w:val="20"/>
          <w:szCs w:val="20"/>
        </w:rPr>
      </w:pPr>
      <w:r>
        <w:rPr>
          <w:rFonts w:ascii="Times New Roman" w:hAnsi="Times New Roman"/>
          <w:i/>
          <w:sz w:val="20"/>
        </w:rPr>
        <w:t>(8)</w:t>
      </w:r>
      <w:r>
        <w:tab/>
      </w:r>
      <w:r>
        <w:rPr>
          <w:rFonts w:ascii="Times New Roman" w:hAnsi="Times New Roman"/>
          <w:i/>
          <w:sz w:val="20"/>
        </w:rPr>
        <w:t>Dépenses justifiées [article 14.1 e) des conditions générales]</w:t>
      </w:r>
    </w:p>
    <w:p w14:paraId="42AEE883" w14:textId="77777777" w:rsidR="00832F98" w:rsidRPr="005107DF" w:rsidRDefault="00832F98" w:rsidP="00D0198E">
      <w:pPr>
        <w:tabs>
          <w:tab w:val="left" w:pos="709"/>
        </w:tabs>
        <w:spacing w:before="120" w:after="120" w:line="240" w:lineRule="auto"/>
        <w:jc w:val="both"/>
        <w:rPr>
          <w:rFonts w:ascii="Times New Roman" w:eastAsia="Times New Roman" w:hAnsi="Times New Roman" w:cs="Times New Roman"/>
        </w:rPr>
      </w:pPr>
      <w:r>
        <w:rPr>
          <w:rFonts w:ascii="Times New Roman" w:hAnsi="Times New Roman"/>
        </w:rPr>
        <w:t>L’auditeur vérifie que les dépenses relatives à un poste sélectionné sont étayées par des preuves (voir section 1 de l’annexe 2B, lignes directrices relatives aux procédures spécifiques à exécuter) et des justificatifs spécifiés dans les annexes au contrat de subvention de jumelage, dans le manuel de jumelage et aux articles 16.1, 16.2, 16.7, 16.8 et 16.9 des conditions générales du contrat de subvention de jumelage.</w:t>
      </w:r>
    </w:p>
    <w:p w14:paraId="4B1AC766" w14:textId="77777777" w:rsidR="00832F98" w:rsidRPr="005107DF" w:rsidRDefault="00832F98" w:rsidP="00D0198E">
      <w:pPr>
        <w:spacing w:before="120" w:after="120" w:line="240" w:lineRule="auto"/>
        <w:ind w:left="360" w:hanging="360"/>
        <w:rPr>
          <w:rFonts w:ascii="Times New Roman" w:eastAsia="Times New Roman" w:hAnsi="Times New Roman" w:cs="Times New Roman"/>
          <w:i/>
          <w:sz w:val="20"/>
          <w:szCs w:val="20"/>
        </w:rPr>
      </w:pPr>
      <w:r>
        <w:rPr>
          <w:rFonts w:ascii="Times New Roman" w:hAnsi="Times New Roman"/>
          <w:i/>
          <w:sz w:val="20"/>
        </w:rPr>
        <w:t>(9)</w:t>
      </w:r>
      <w:r>
        <w:tab/>
      </w:r>
      <w:r>
        <w:rPr>
          <w:rFonts w:ascii="Times New Roman" w:hAnsi="Times New Roman"/>
          <w:i/>
          <w:sz w:val="20"/>
        </w:rPr>
        <w:t>Détermination de la valeur</w:t>
      </w:r>
    </w:p>
    <w:p w14:paraId="5D607DC7"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vérifie que la valeur monétaire d’un poste de dépenses sélectionné est conforme aux justificatifs (par exemple, factures, bulletins de salaire) et que les taux de change corrects sont utilisés, le cas échéant.</w:t>
      </w:r>
    </w:p>
    <w:p w14:paraId="59C62072" w14:textId="77777777" w:rsidR="00832F98" w:rsidRPr="005107DF" w:rsidRDefault="00832F98" w:rsidP="00D0198E">
      <w:pPr>
        <w:spacing w:before="120" w:after="120" w:line="240" w:lineRule="auto"/>
        <w:ind w:left="360" w:hanging="360"/>
        <w:rPr>
          <w:rFonts w:ascii="Times New Roman" w:eastAsia="Times New Roman" w:hAnsi="Times New Roman" w:cs="Times New Roman"/>
          <w:i/>
          <w:sz w:val="20"/>
          <w:szCs w:val="20"/>
        </w:rPr>
      </w:pPr>
      <w:r>
        <w:rPr>
          <w:rFonts w:ascii="Times New Roman" w:hAnsi="Times New Roman"/>
          <w:i/>
          <w:sz w:val="20"/>
        </w:rPr>
        <w:t>(10)</w:t>
      </w:r>
      <w:r>
        <w:tab/>
      </w:r>
      <w:r>
        <w:rPr>
          <w:rFonts w:ascii="Times New Roman" w:hAnsi="Times New Roman"/>
          <w:i/>
          <w:sz w:val="20"/>
        </w:rPr>
        <w:t>Classement</w:t>
      </w:r>
    </w:p>
    <w:p w14:paraId="20D7977F"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examine la nature des dépenses relatives à un poste sélectionné et vérifie que le poste de dépenses a été classé dans la (sous-)rubrique adéquate du rapport financier.</w:t>
      </w:r>
    </w:p>
    <w:p w14:paraId="09DBB410" w14:textId="77777777" w:rsidR="00832F98" w:rsidRPr="005107DF" w:rsidRDefault="00832F98" w:rsidP="00D0198E">
      <w:pPr>
        <w:spacing w:before="120" w:after="120" w:line="240" w:lineRule="auto"/>
        <w:ind w:left="360" w:hanging="360"/>
        <w:rPr>
          <w:rFonts w:ascii="Times New Roman" w:eastAsia="Times New Roman" w:hAnsi="Times New Roman" w:cs="Times New Roman"/>
          <w:i/>
          <w:sz w:val="20"/>
          <w:szCs w:val="20"/>
        </w:rPr>
      </w:pPr>
      <w:r>
        <w:rPr>
          <w:rFonts w:ascii="Times New Roman" w:hAnsi="Times New Roman"/>
          <w:i/>
          <w:sz w:val="20"/>
        </w:rPr>
        <w:t>(11)</w:t>
      </w:r>
      <w:r>
        <w:tab/>
      </w:r>
      <w:r>
        <w:rPr>
          <w:rFonts w:ascii="Times New Roman" w:hAnsi="Times New Roman"/>
          <w:i/>
          <w:sz w:val="20"/>
        </w:rPr>
        <w:t>Conformité avec les règles de marché public, de nationalité et d’origine</w:t>
      </w:r>
    </w:p>
    <w:p w14:paraId="4C9783E2"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Le cas échéant, l’auditeur examine les règles de marché public, de nationalité et d’origine qui s’appliquent à une (sous-)rubrique, une catégorie de postes ou un poste de dépenses donnés. Il vérifie que les dépenses ont été encourues conformément à ces règles, en examinant les justificatifs du processus de passation et d’achat. Lorsque l’auditeur relève des points de non-conformité, il en notifie la nature ainsi que leur incidence financière sur le plan des dépenses non éligibles. Lors de l’examen des documents relatifs à une passation de marché, l’auditeur prend en considération les indicateurs de risque énumérés à l’annexe 2B et notifie, le cas échéant, l'/les indicateur(s) identifié(s).</w:t>
      </w:r>
    </w:p>
    <w:p w14:paraId="6BAB462C" w14:textId="77777777" w:rsidR="00832F98" w:rsidRPr="005107DF" w:rsidRDefault="00832F98" w:rsidP="007338F0">
      <w:pPr>
        <w:rPr>
          <w:rFonts w:ascii="Times New Roman" w:hAnsi="Times New Roman" w:cs="Times New Roman"/>
          <w:b/>
          <w:sz w:val="24"/>
          <w:szCs w:val="24"/>
        </w:rPr>
      </w:pPr>
      <w:bookmarkStart w:id="1054" w:name="_Toc442374382"/>
      <w:bookmarkStart w:id="1055" w:name="_Toc442374872"/>
      <w:bookmarkStart w:id="1056" w:name="_Toc443320194"/>
      <w:bookmarkStart w:id="1057" w:name="_Toc464460041"/>
      <w:bookmarkStart w:id="1058" w:name="_Toc476063388"/>
      <w:bookmarkStart w:id="1059" w:name="_Toc476067870"/>
      <w:r>
        <w:rPr>
          <w:rFonts w:ascii="Times New Roman" w:hAnsi="Times New Roman"/>
          <w:b/>
          <w:sz w:val="24"/>
        </w:rPr>
        <w:t>4.2</w:t>
      </w:r>
      <w:r>
        <w:tab/>
      </w:r>
      <w:r>
        <w:rPr>
          <w:rFonts w:ascii="Times New Roman" w:hAnsi="Times New Roman"/>
          <w:b/>
          <w:sz w:val="24"/>
        </w:rPr>
        <w:t>Éligibilité des coûts directs (article 14.2 des conditions générales)</w:t>
      </w:r>
      <w:bookmarkEnd w:id="1054"/>
      <w:bookmarkEnd w:id="1055"/>
      <w:bookmarkEnd w:id="1056"/>
      <w:bookmarkEnd w:id="1057"/>
      <w:bookmarkEnd w:id="1058"/>
      <w:bookmarkEnd w:id="1059"/>
    </w:p>
    <w:p w14:paraId="24AFF45B"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(1)</w:t>
      </w:r>
      <w:r>
        <w:tab/>
      </w:r>
      <w:r>
        <w:rPr>
          <w:rFonts w:ascii="Times New Roman" w:hAnsi="Times New Roman"/>
        </w:rPr>
        <w:t>L’auditeur vérifie que les dépenses relatives à des postes sélectionnés qui sont enregistrées dans l’une des rubriques des coûts directs du rapport financier sont bien couvertes par les coûts directs, tels qu’ils sont définis à l’article 14.2, en examinant la nature de ces éléments de dépenses.</w:t>
      </w:r>
    </w:p>
    <w:p w14:paraId="0D3E0FF8" w14:textId="77777777" w:rsidR="00832F98" w:rsidRPr="005107DF" w:rsidRDefault="00832F98" w:rsidP="00D0198E">
      <w:pPr>
        <w:spacing w:before="120" w:after="120" w:line="240" w:lineRule="auto"/>
        <w:ind w:left="720" w:hanging="720"/>
        <w:jc w:val="both"/>
        <w:rPr>
          <w:rFonts w:ascii="Times New Roman" w:eastAsia="Times New Roman" w:hAnsi="Times New Roman" w:cs="Times New Roman"/>
        </w:rPr>
      </w:pPr>
      <w:r>
        <w:rPr>
          <w:rFonts w:ascii="Times New Roman" w:hAnsi="Times New Roman"/>
        </w:rPr>
        <w:t>(2)</w:t>
      </w:r>
      <w:r>
        <w:tab/>
      </w:r>
      <w:r>
        <w:rPr>
          <w:rFonts w:ascii="Times New Roman" w:hAnsi="Times New Roman"/>
        </w:rPr>
        <w:t xml:space="preserve">L’auditeur vérifie que les impôts, taxes et droits, y compris la TVA, qui sont enregistrés dans les coûts directs ne peuvent </w:t>
      </w:r>
      <w:r>
        <w:rPr>
          <w:rFonts w:ascii="Times New Roman" w:hAnsi="Times New Roman"/>
          <w:b/>
        </w:rPr>
        <w:t>pas être recouvrés</w:t>
      </w:r>
      <w:r>
        <w:rPr>
          <w:rFonts w:ascii="Times New Roman" w:hAnsi="Times New Roman"/>
        </w:rPr>
        <w:t xml:space="preserve"> par le ou les États membres partenaires [voir article 14.2 g) des conditions générales]. Cette procédure n’est pas nécessaire lorsque l’article 7.1 des conditions particulières dispose que les impôts, taxes et droits, y compris la TVA, ne sont </w:t>
      </w:r>
      <w:r>
        <w:rPr>
          <w:rFonts w:ascii="Times New Roman" w:hAnsi="Times New Roman"/>
          <w:b/>
        </w:rPr>
        <w:t>pas</w:t>
      </w:r>
      <w:r>
        <w:rPr>
          <w:rFonts w:ascii="Times New Roman" w:hAnsi="Times New Roman"/>
        </w:rPr>
        <w:t xml:space="preserve"> éligibles.</w:t>
      </w:r>
    </w:p>
    <w:p w14:paraId="20F74675" w14:textId="77777777" w:rsidR="00832F98" w:rsidRPr="005107DF" w:rsidRDefault="00832F98" w:rsidP="00D0198E">
      <w:pPr>
        <w:spacing w:before="120" w:after="0" w:line="240" w:lineRule="auto"/>
        <w:ind w:left="720"/>
        <w:jc w:val="both"/>
        <w:rPr>
          <w:rFonts w:ascii="Times New Roman" w:eastAsia="Times New Roman" w:hAnsi="Times New Roman" w:cs="Times New Roman"/>
        </w:rPr>
      </w:pPr>
      <w:r>
        <w:rPr>
          <w:rFonts w:ascii="Times New Roman" w:hAnsi="Times New Roman"/>
        </w:rPr>
        <w:lastRenderedPageBreak/>
        <w:t xml:space="preserve">L’auditeur rassemble des éléments prouvant que le ou les États membres partenaires ne peuvent pas réclamer les impôts, taxes et droits, y compris la TVA, au moyen d’un système d’exonération et/ou d’un remboursement a posteriori. À cet effet, l’auditeur doit se reporter à l’annexe E3a1 (Informations sur le régime fiscal) du PRAG, qui contient des informations sur le régime fiscal applicable aux contrats de subvention (Remarque: le modèle/texte type est joint au PRAG et se trouve à l’adresse </w:t>
      </w:r>
    </w:p>
    <w:p w14:paraId="4956B42B" w14:textId="77777777" w:rsidR="00832F98" w:rsidRPr="005107DF" w:rsidRDefault="00CC09A6" w:rsidP="005D6E1C">
      <w:pPr>
        <w:spacing w:after="120" w:line="240" w:lineRule="auto"/>
        <w:ind w:left="720"/>
        <w:jc w:val="both"/>
        <w:rPr>
          <w:rFonts w:ascii="Times New Roman" w:eastAsia="Times New Roman" w:hAnsi="Times New Roman" w:cs="Times New Roman"/>
        </w:rPr>
      </w:pPr>
      <w:hyperlink r:id="rId42">
        <w:r w:rsidR="00832F98">
          <w:rPr>
            <w:rFonts w:ascii="Times New Roman" w:hAnsi="Times New Roman"/>
            <w:color w:val="0000FF"/>
            <w:u w:val="single"/>
          </w:rPr>
          <w:t>http://ec.europa.eu/europeaid/funding/about-funding-and-procedures/procedures-and-practical-guide-prag_en</w:t>
        </w:r>
      </w:hyperlink>
      <w:r w:rsidR="00832F98">
        <w:rPr>
          <w:rFonts w:ascii="Times New Roman" w:hAnsi="Times New Roman"/>
        </w:rPr>
        <w:t>).</w:t>
      </w:r>
    </w:p>
    <w:p w14:paraId="1E4AC245" w14:textId="77777777" w:rsidR="00832F98" w:rsidRPr="005107DF" w:rsidRDefault="00832F98">
      <w:pPr>
        <w:rPr>
          <w:rFonts w:ascii="Times New Roman" w:hAnsi="Times New Roman" w:cs="Times New Roman"/>
          <w:b/>
          <w:sz w:val="24"/>
          <w:szCs w:val="24"/>
        </w:rPr>
      </w:pPr>
      <w:bookmarkStart w:id="1060" w:name="_Toc476063389"/>
      <w:bookmarkStart w:id="1061" w:name="_Toc476067871"/>
      <w:bookmarkStart w:id="1062" w:name="_Toc442374383"/>
      <w:bookmarkStart w:id="1063" w:name="_Toc442374873"/>
      <w:bookmarkStart w:id="1064" w:name="_Toc443320195"/>
      <w:bookmarkStart w:id="1065" w:name="_Toc464460042"/>
      <w:r>
        <w:br w:type="page"/>
      </w:r>
    </w:p>
    <w:p w14:paraId="350B9314" w14:textId="77777777" w:rsidR="00832F98" w:rsidRPr="005107DF" w:rsidRDefault="00832F98" w:rsidP="007338F0">
      <w:pPr>
        <w:rPr>
          <w:rFonts w:ascii="Times New Roman" w:hAnsi="Times New Roman" w:cs="Times New Roman"/>
          <w:b/>
          <w:sz w:val="24"/>
          <w:szCs w:val="24"/>
        </w:rPr>
      </w:pPr>
      <w:r>
        <w:rPr>
          <w:rFonts w:ascii="Times New Roman" w:hAnsi="Times New Roman"/>
          <w:b/>
          <w:sz w:val="24"/>
        </w:rPr>
        <w:lastRenderedPageBreak/>
        <w:t>4.3</w:t>
      </w:r>
      <w:r>
        <w:tab/>
      </w:r>
      <w:r>
        <w:rPr>
          <w:rFonts w:ascii="Times New Roman" w:hAnsi="Times New Roman"/>
          <w:b/>
          <w:sz w:val="24"/>
        </w:rPr>
        <w:t>Réserves</w:t>
      </w:r>
      <w:bookmarkEnd w:id="1060"/>
      <w:bookmarkEnd w:id="1061"/>
    </w:p>
    <w:p w14:paraId="18164115" w14:textId="77777777" w:rsidR="00832F98" w:rsidRPr="005107DF" w:rsidRDefault="00832F98" w:rsidP="007338F0">
      <w:pPr>
        <w:rPr>
          <w:rFonts w:ascii="Times New Roman" w:eastAsia="SimSun" w:hAnsi="Times New Roman" w:cs="Times New Roman"/>
          <w:b/>
          <w:color w:val="000000"/>
          <w:sz w:val="24"/>
          <w:szCs w:val="24"/>
        </w:rPr>
      </w:pPr>
      <w:bookmarkStart w:id="1066" w:name="_Toc476063390"/>
      <w:bookmarkStart w:id="1067" w:name="_Toc476067872"/>
      <w:r>
        <w:rPr>
          <w:rFonts w:ascii="Times New Roman" w:hAnsi="Times New Roman"/>
          <w:b/>
          <w:sz w:val="24"/>
        </w:rPr>
        <w:t xml:space="preserve">Provisions pour </w:t>
      </w:r>
      <w:r>
        <w:rPr>
          <w:rFonts w:ascii="Times New Roman" w:hAnsi="Times New Roman"/>
          <w:b/>
          <w:color w:val="000000"/>
          <w:sz w:val="24"/>
        </w:rPr>
        <w:t>variations des prix</w:t>
      </w:r>
      <w:bookmarkEnd w:id="1062"/>
      <w:bookmarkEnd w:id="1063"/>
      <w:bookmarkEnd w:id="1064"/>
      <w:bookmarkEnd w:id="1065"/>
      <w:bookmarkEnd w:id="1066"/>
      <w:bookmarkEnd w:id="1067"/>
    </w:p>
    <w:p w14:paraId="28CB7BCD"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L’auditeur vérifie que les provisions pour réserves ne dépassent pas 2,5 % des coûts directs éligibles. </w:t>
      </w:r>
      <w:bookmarkStart w:id="1068" w:name="_Toc442374384"/>
      <w:bookmarkStart w:id="1069" w:name="_Toc442374874"/>
      <w:bookmarkStart w:id="1070" w:name="_Toc443320196"/>
      <w:bookmarkStart w:id="1071" w:name="_Toc464460043"/>
      <w:r>
        <w:rPr>
          <w:rFonts w:ascii="Times New Roman" w:hAnsi="Times New Roman"/>
        </w:rPr>
        <w:t xml:space="preserve"> Les coûts directement liés à la pérennisation des résultats peuvent être éligibles au financement sur les réserves moyennant un accord entre les parties contractantes. Les coûts peuvent également être réactivés à d’autres fins opérationnelles s’il en est convenu ainsi dans un plan de travail ou un avenant. </w:t>
      </w:r>
    </w:p>
    <w:p w14:paraId="215931A7" w14:textId="77777777" w:rsidR="00832F98" w:rsidRPr="005107DF" w:rsidRDefault="00832F98" w:rsidP="00D0198E">
      <w:pPr>
        <w:spacing w:before="120" w:after="120" w:line="240" w:lineRule="auto"/>
        <w:jc w:val="both"/>
        <w:rPr>
          <w:rFonts w:ascii="Times New Roman" w:eastAsia="Times New Roman" w:hAnsi="Times New Roman" w:cs="Times New Roman"/>
          <w:sz w:val="24"/>
          <w:szCs w:val="24"/>
        </w:rPr>
      </w:pPr>
      <w:r>
        <w:rPr>
          <w:rFonts w:ascii="Times New Roman" w:hAnsi="Times New Roman"/>
          <w:b/>
          <w:sz w:val="24"/>
        </w:rPr>
        <w:t>4.4</w:t>
      </w:r>
      <w:r>
        <w:tab/>
      </w:r>
      <w:r>
        <w:rPr>
          <w:rFonts w:ascii="Times New Roman" w:hAnsi="Times New Roman"/>
          <w:b/>
          <w:sz w:val="24"/>
        </w:rPr>
        <w:t>Coûts indirects</w:t>
      </w:r>
      <w:r>
        <w:rPr>
          <w:rFonts w:ascii="Times New Roman" w:hAnsi="Times New Roman"/>
          <w:sz w:val="24"/>
        </w:rPr>
        <w:t xml:space="preserve"> (</w:t>
      </w:r>
      <w:r>
        <w:rPr>
          <w:rFonts w:ascii="Times New Roman" w:hAnsi="Times New Roman"/>
          <w:b/>
          <w:color w:val="000000"/>
          <w:sz w:val="24"/>
        </w:rPr>
        <w:t>article 14.7 des conditions générales</w:t>
      </w:r>
      <w:r>
        <w:rPr>
          <w:rFonts w:ascii="Times New Roman" w:hAnsi="Times New Roman"/>
          <w:sz w:val="24"/>
        </w:rPr>
        <w:t>)</w:t>
      </w:r>
    </w:p>
    <w:p w14:paraId="75D2A6C3" w14:textId="77777777" w:rsidR="00832F98" w:rsidRPr="005107DF" w:rsidRDefault="00832F98" w:rsidP="00D0198E">
      <w:pPr>
        <w:spacing w:after="0" w:line="240" w:lineRule="auto"/>
        <w:jc w:val="both"/>
        <w:rPr>
          <w:rFonts w:ascii="Times New Roman" w:eastAsia="Times New Roman" w:hAnsi="Times New Roman" w:cs="Times New Roman"/>
        </w:rPr>
      </w:pPr>
      <w:r>
        <w:rPr>
          <w:rFonts w:ascii="Times New Roman" w:hAnsi="Times New Roman"/>
        </w:rPr>
        <w:t>L’auditeur vérifie que les coûts indirects (rubrique 10 du rapport financier) n’excèdent pas le pourcentage maximum de 6 % du total définitif des coûts éligibles directs de l’action ou le pourcentage établi à l’article 3 des conditions particulières du contrat de subvention de jumelage, le cas échéant.</w:t>
      </w:r>
    </w:p>
    <w:p w14:paraId="2D54718A" w14:textId="77777777" w:rsidR="00832F98" w:rsidRPr="005107DF" w:rsidRDefault="00832F98" w:rsidP="00D0198E">
      <w:pPr>
        <w:spacing w:before="120" w:after="120" w:line="240" w:lineRule="auto"/>
        <w:jc w:val="both"/>
        <w:rPr>
          <w:rFonts w:ascii="Times New Roman" w:eastAsia="Times New Roman" w:hAnsi="Times New Roman" w:cs="Times New Roman"/>
          <w:sz w:val="24"/>
          <w:szCs w:val="24"/>
        </w:rPr>
      </w:pPr>
    </w:p>
    <w:p w14:paraId="1B9487C9" w14:textId="77777777" w:rsidR="00832F98" w:rsidRPr="005107DF" w:rsidRDefault="00832F98" w:rsidP="007338F0">
      <w:pPr>
        <w:rPr>
          <w:rFonts w:ascii="Times New Roman" w:hAnsi="Times New Roman" w:cs="Times New Roman"/>
          <w:b/>
          <w:sz w:val="24"/>
          <w:szCs w:val="24"/>
        </w:rPr>
      </w:pPr>
      <w:bookmarkStart w:id="1072" w:name="_Toc476063391"/>
      <w:bookmarkStart w:id="1073" w:name="_Toc476067873"/>
      <w:r>
        <w:rPr>
          <w:rFonts w:ascii="Times New Roman" w:hAnsi="Times New Roman"/>
          <w:b/>
          <w:sz w:val="24"/>
        </w:rPr>
        <w:t>4.5</w:t>
      </w:r>
      <w:r>
        <w:tab/>
      </w:r>
      <w:r>
        <w:rPr>
          <w:rFonts w:ascii="Times New Roman" w:hAnsi="Times New Roman"/>
          <w:b/>
          <w:sz w:val="24"/>
        </w:rPr>
        <w:t>Apports en nature (article 14.8 des conditions générales)</w:t>
      </w:r>
      <w:bookmarkEnd w:id="1068"/>
      <w:bookmarkEnd w:id="1069"/>
      <w:bookmarkEnd w:id="1070"/>
      <w:bookmarkEnd w:id="1071"/>
      <w:bookmarkEnd w:id="1072"/>
      <w:bookmarkEnd w:id="1073"/>
    </w:p>
    <w:p w14:paraId="2C29FCE4"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vérifie que les coûts figurant dans le rapport financier ne comprennent pas d’apports en nature. Tout apport en nature (pouvant être énuméré séparément à l’annexe A3, budget du contrat de subvention de jumelage) ne représente pas une dépense effective et ne constitue pas un coût éligible.</w:t>
      </w:r>
    </w:p>
    <w:p w14:paraId="61D78C9F" w14:textId="77777777" w:rsidR="00832F98" w:rsidRPr="005107DF" w:rsidRDefault="00832F98" w:rsidP="00D0198E">
      <w:pPr>
        <w:spacing w:before="120" w:after="120" w:line="240" w:lineRule="auto"/>
        <w:ind w:left="720" w:hanging="720"/>
        <w:jc w:val="both"/>
        <w:rPr>
          <w:rFonts w:ascii="Times New Roman" w:eastAsia="Times New Roman" w:hAnsi="Times New Roman" w:cs="Times New Roman"/>
          <w:b/>
          <w:sz w:val="24"/>
          <w:szCs w:val="24"/>
        </w:rPr>
      </w:pPr>
      <w:r>
        <w:rPr>
          <w:rFonts w:ascii="Times New Roman" w:hAnsi="Times New Roman"/>
          <w:b/>
          <w:sz w:val="24"/>
        </w:rPr>
        <w:t>4.6</w:t>
      </w:r>
      <w:r>
        <w:tab/>
      </w:r>
      <w:r>
        <w:rPr>
          <w:rFonts w:ascii="Times New Roman" w:hAnsi="Times New Roman"/>
          <w:b/>
          <w:sz w:val="24"/>
        </w:rPr>
        <w:t>Coûts non éligibles (article 14.9 des conditions générales)</w:t>
      </w:r>
    </w:p>
    <w:p w14:paraId="253A88C7" w14:textId="77777777" w:rsidR="00832F98" w:rsidRPr="005107DF" w:rsidRDefault="00832F98" w:rsidP="00D0198E">
      <w:pPr>
        <w:spacing w:before="120" w:after="120" w:line="240" w:lineRule="auto"/>
        <w:jc w:val="both"/>
        <w:rPr>
          <w:rFonts w:ascii="Times New Roman" w:eastAsia="Times New Roman" w:hAnsi="Times New Roman" w:cs="Times New Roman"/>
          <w:sz w:val="20"/>
          <w:szCs w:val="20"/>
        </w:rPr>
      </w:pPr>
      <w:r>
        <w:rPr>
          <w:rFonts w:ascii="Times New Roman" w:hAnsi="Times New Roman"/>
        </w:rPr>
        <w:t xml:space="preserve">L’auditeur vérifie que les dépenses relatives à un poste sélectionné ne se rapportent pas à un coût non éligible, tel que décrit à l’article 14.9 des conditions générales. Ces coûts incluent, entre autres, les pertes de change. </w:t>
      </w:r>
    </w:p>
    <w:p w14:paraId="519E0C0A" w14:textId="77777777" w:rsidR="00832F98" w:rsidRPr="005107DF" w:rsidRDefault="00832F98" w:rsidP="007338F0">
      <w:pPr>
        <w:rPr>
          <w:rFonts w:ascii="Times New Roman" w:hAnsi="Times New Roman" w:cs="Times New Roman"/>
        </w:rPr>
      </w:pPr>
      <w:bookmarkStart w:id="1074" w:name="_Toc442374385"/>
      <w:bookmarkStart w:id="1075" w:name="_Toc442374875"/>
      <w:bookmarkStart w:id="1076" w:name="_Toc443320197"/>
      <w:bookmarkStart w:id="1077" w:name="_Toc464460044"/>
      <w:bookmarkStart w:id="1078" w:name="_Toc476063392"/>
      <w:bookmarkStart w:id="1079" w:name="_Toc476067874"/>
    </w:p>
    <w:p w14:paraId="3740BBFE" w14:textId="77777777" w:rsidR="00832F98" w:rsidRPr="005107DF" w:rsidRDefault="00832F98" w:rsidP="007338F0">
      <w:pPr>
        <w:rPr>
          <w:rFonts w:ascii="Times New Roman" w:hAnsi="Times New Roman" w:cs="Times New Roman"/>
          <w:b/>
          <w:sz w:val="24"/>
          <w:szCs w:val="24"/>
        </w:rPr>
      </w:pPr>
      <w:r>
        <w:rPr>
          <w:rFonts w:ascii="Times New Roman" w:hAnsi="Times New Roman"/>
          <w:b/>
          <w:sz w:val="24"/>
        </w:rPr>
        <w:t>4.7</w:t>
      </w:r>
      <w:r>
        <w:tab/>
      </w:r>
      <w:r>
        <w:rPr>
          <w:rFonts w:ascii="Times New Roman" w:hAnsi="Times New Roman"/>
          <w:b/>
          <w:sz w:val="24"/>
        </w:rPr>
        <w:t>Recettes de l’action</w:t>
      </w:r>
      <w:bookmarkEnd w:id="1074"/>
      <w:bookmarkEnd w:id="1075"/>
      <w:bookmarkEnd w:id="1076"/>
      <w:bookmarkEnd w:id="1077"/>
      <w:bookmarkEnd w:id="1078"/>
      <w:bookmarkEnd w:id="1079"/>
    </w:p>
    <w:p w14:paraId="4978C961"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examine si les recettes qui devraient être imputées à l’action (notamment les subventions et ressources reçues d’autres bailleurs de fonds et les recettes dégagées par le ou les États membres partenaires dans le cadre de l’action) ont été attribuées à l’action et déclarées dans le rapport financier. À cette fin, l’auditeur se renseigne auprès du ou des États membres partenaires et examine la documentation remise par ce ou ces derniers. L’auditeur n’est pas tenu d’examiner l’intégralité des recettes communiquées.</w:t>
      </w:r>
    </w:p>
    <w:p w14:paraId="39D25A5E" w14:textId="77777777" w:rsidR="00832F98" w:rsidRPr="005107DF" w:rsidRDefault="00832F98" w:rsidP="00D0198E">
      <w:pPr>
        <w:spacing w:before="120" w:after="120" w:line="240" w:lineRule="auto"/>
        <w:jc w:val="both"/>
        <w:rPr>
          <w:rFonts w:ascii="Times New Roman" w:eastAsia="Times New Roman" w:hAnsi="Times New Roman" w:cs="Times New Roman"/>
        </w:rPr>
      </w:pPr>
    </w:p>
    <w:p w14:paraId="55E1909A" w14:textId="77777777" w:rsidR="00832F98" w:rsidRPr="005107DF" w:rsidRDefault="00832F98">
      <w:pPr>
        <w:rPr>
          <w:rFonts w:ascii="Times New Roman" w:eastAsia="Times New Roman" w:hAnsi="Times New Roman" w:cs="Times New Roman"/>
          <w:b/>
          <w:sz w:val="24"/>
          <w:szCs w:val="24"/>
        </w:rPr>
      </w:pPr>
      <w:r>
        <w:br w:type="page"/>
      </w:r>
    </w:p>
    <w:p w14:paraId="49755696" w14:textId="77777777" w:rsidR="00832F98" w:rsidRPr="005107DF" w:rsidRDefault="00832F98" w:rsidP="00D0198E">
      <w:pPr>
        <w:spacing w:before="120" w:after="120" w:line="240" w:lineRule="auto"/>
        <w:jc w:val="both"/>
        <w:rPr>
          <w:rFonts w:ascii="Times New Roman" w:eastAsia="Times New Roman" w:hAnsi="Times New Roman" w:cs="Times New Roman"/>
          <w:b/>
          <w:sz w:val="24"/>
          <w:szCs w:val="24"/>
        </w:rPr>
      </w:pPr>
      <w:r>
        <w:rPr>
          <w:rFonts w:ascii="Times New Roman" w:hAnsi="Times New Roman"/>
          <w:b/>
          <w:sz w:val="24"/>
        </w:rPr>
        <w:lastRenderedPageBreak/>
        <w:t>Annexe 2B</w:t>
      </w:r>
      <w:r>
        <w:tab/>
      </w:r>
      <w:r>
        <w:rPr>
          <w:rFonts w:ascii="Times New Roman" w:hAnsi="Times New Roman"/>
          <w:b/>
          <w:sz w:val="24"/>
        </w:rPr>
        <w:t xml:space="preserve">Lignes directrices relatives aux procédures spécifiques à exécuter </w:t>
      </w:r>
    </w:p>
    <w:p w14:paraId="35878EE3" w14:textId="77777777" w:rsidR="00832F98" w:rsidRPr="005107DF" w:rsidRDefault="00832F98" w:rsidP="007338F0">
      <w:pPr>
        <w:rPr>
          <w:rFonts w:ascii="Times New Roman" w:hAnsi="Times New Roman" w:cs="Times New Roman"/>
          <w:i/>
          <w:sz w:val="18"/>
          <w:szCs w:val="18"/>
        </w:rPr>
      </w:pPr>
      <w:r>
        <w:rPr>
          <w:rFonts w:ascii="Times New Roman" w:hAnsi="Times New Roman"/>
          <w:i/>
          <w:sz w:val="18"/>
        </w:rPr>
        <w:t>[La présente annexe fournit des lignes directrices relatives aux procédures spécifiques à exécuter qui ne peuvent pas être modifiées]</w:t>
      </w:r>
    </w:p>
    <w:p w14:paraId="2C815E80" w14:textId="77777777" w:rsidR="00832F98" w:rsidRPr="005107DF" w:rsidRDefault="00832F98" w:rsidP="007338F0">
      <w:pPr>
        <w:rPr>
          <w:rFonts w:ascii="Times New Roman" w:hAnsi="Times New Roman" w:cs="Times New Roman"/>
          <w:b/>
          <w:smallCaps/>
          <w:sz w:val="24"/>
          <w:szCs w:val="24"/>
        </w:rPr>
      </w:pPr>
      <w:bookmarkStart w:id="1080" w:name="_Toc442374386"/>
      <w:bookmarkStart w:id="1081" w:name="_Toc442374876"/>
      <w:bookmarkStart w:id="1082" w:name="_Toc443320198"/>
      <w:bookmarkStart w:id="1083" w:name="_Toc464460045"/>
      <w:bookmarkStart w:id="1084" w:name="_Toc476063393"/>
      <w:bookmarkStart w:id="1085" w:name="_Toc476067875"/>
      <w:r>
        <w:rPr>
          <w:rFonts w:ascii="Times New Roman" w:hAnsi="Times New Roman"/>
          <w:b/>
          <w:smallCaps/>
          <w:sz w:val="24"/>
        </w:rPr>
        <w:t>1. Informations de vérification</w:t>
      </w:r>
      <w:bookmarkEnd w:id="1080"/>
      <w:bookmarkEnd w:id="1081"/>
      <w:bookmarkEnd w:id="1082"/>
      <w:bookmarkEnd w:id="1083"/>
      <w:bookmarkEnd w:id="1084"/>
      <w:bookmarkEnd w:id="1085"/>
    </w:p>
    <w:p w14:paraId="7A132BA3" w14:textId="77777777" w:rsidR="00832F98" w:rsidRPr="005107DF" w:rsidRDefault="00832F98" w:rsidP="007338F0">
      <w:pPr>
        <w:spacing w:before="120" w:after="120" w:line="240" w:lineRule="auto"/>
        <w:jc w:val="both"/>
        <w:rPr>
          <w:rFonts w:ascii="Times New Roman" w:eastAsia="Times New Roman" w:hAnsi="Times New Roman" w:cs="Times New Roman"/>
        </w:rPr>
      </w:pPr>
      <w:r>
        <w:rPr>
          <w:rFonts w:ascii="Times New Roman" w:hAnsi="Times New Roman"/>
        </w:rPr>
        <w:t xml:space="preserve">Lors de l’exécution des procédures spécifiques énumérées à l’annexe 2A, l’auditeur peut appliquer des techniques telles que la demande de renseignements et l’analyse, le (re)calcul, la comparaison, d’autres contrôles de la précision des écritures, l’observation, l’inspection des registres et des documents, l’examen de l’actif et la recherche de confirmations. </w:t>
      </w:r>
    </w:p>
    <w:p w14:paraId="4C7E15EF"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Ces procédures permettent à l’auditeur d’obtenir les informations de vérification nécessaires à l’établissement du rapport d’observations factuelles. Constituent des informations de vérification toutes les informations utilisées par l’auditeur pour dresser ses observations factuelles, y compris les informations contenues dans les documents comptables étayant le rapport financier ainsi que d’autres données (financières et non financières).</w:t>
      </w:r>
    </w:p>
    <w:p w14:paraId="1C1C4645"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Les exigences </w:t>
      </w:r>
      <w:r>
        <w:rPr>
          <w:rFonts w:ascii="Times New Roman" w:hAnsi="Times New Roman"/>
          <w:u w:val="single"/>
        </w:rPr>
        <w:t>contractuelles</w:t>
      </w:r>
      <w:r>
        <w:rPr>
          <w:rFonts w:ascii="Times New Roman" w:hAnsi="Times New Roman"/>
        </w:rPr>
        <w:t xml:space="preserve"> liées aux informations de vérification sont les suivantes:</w:t>
      </w:r>
    </w:p>
    <w:p w14:paraId="03C093BF" w14:textId="77777777" w:rsidR="00832F98" w:rsidRPr="005107DF" w:rsidRDefault="00832F98" w:rsidP="00D0198E">
      <w:pPr>
        <w:numPr>
          <w:ilvl w:val="0"/>
          <w:numId w:val="161"/>
        </w:numPr>
        <w:spacing w:before="120" w:after="120" w:line="240" w:lineRule="auto"/>
        <w:jc w:val="both"/>
        <w:rPr>
          <w:rFonts w:ascii="Times New Roman" w:eastAsia="Times New Roman" w:hAnsi="Times New Roman" w:cs="Times New Roman"/>
        </w:rPr>
      </w:pPr>
      <w:r>
        <w:rPr>
          <w:rFonts w:ascii="Times New Roman" w:hAnsi="Times New Roman"/>
        </w:rPr>
        <w:t>les dépenses doivent être identifiables, contrôlables et enregistrées dans les états des comptes du ou des États membres partenaires (article 14.1.d des conditions générales du contrat de subvention de jumelage);</w:t>
      </w:r>
    </w:p>
    <w:p w14:paraId="0DF0AF3A" w14:textId="77777777" w:rsidR="00832F98" w:rsidRPr="005107DF" w:rsidRDefault="00832F98" w:rsidP="00D0198E">
      <w:pPr>
        <w:numPr>
          <w:ilvl w:val="0"/>
          <w:numId w:val="161"/>
        </w:numPr>
        <w:spacing w:before="120" w:after="120" w:line="240" w:lineRule="auto"/>
        <w:jc w:val="both"/>
        <w:rPr>
          <w:rFonts w:ascii="Times New Roman" w:eastAsia="Times New Roman" w:hAnsi="Times New Roman" w:cs="Times New Roman"/>
        </w:rPr>
      </w:pPr>
      <w:r>
        <w:rPr>
          <w:rFonts w:ascii="Times New Roman" w:hAnsi="Times New Roman"/>
          <w:snapToGrid w:val="0"/>
        </w:rPr>
        <w:t xml:space="preserve">le ou les </w:t>
      </w:r>
      <w:r>
        <w:rPr>
          <w:rFonts w:ascii="Times New Roman" w:hAnsi="Times New Roman"/>
        </w:rPr>
        <w:t>États membres partenaires autorisent tout auditeur externe à effectuer des contrôles sur la base des pièces justificatives des comptes, des documents comptables et de tout autre document relatif au financement de l’action. Le ou les États membres partenaires donnent accès à tous les documents et bases de données concernant la gestion technique et financière de l’action (article 16.3 des conditions générales);</w:t>
      </w:r>
    </w:p>
    <w:p w14:paraId="657EF752" w14:textId="77777777" w:rsidR="00832F98" w:rsidRPr="005107DF" w:rsidRDefault="00832F98" w:rsidP="00D0198E">
      <w:pPr>
        <w:numPr>
          <w:ilvl w:val="0"/>
          <w:numId w:val="161"/>
        </w:numPr>
        <w:spacing w:before="120" w:after="120" w:line="240" w:lineRule="auto"/>
        <w:jc w:val="both"/>
        <w:rPr>
          <w:rFonts w:ascii="Times New Roman" w:eastAsia="Times New Roman" w:hAnsi="Times New Roman" w:cs="Times New Roman"/>
        </w:rPr>
      </w:pPr>
      <w:r>
        <w:rPr>
          <w:rFonts w:ascii="Times New Roman" w:hAnsi="Times New Roman"/>
        </w:rPr>
        <w:t>l’article 16.9 des conditions générales du contrat de subvention de jumelage fournit une liste des types et de la nature des éléments de preuve que l’auditeur trouvera souvent lors de vérifications des dépenses.</w:t>
      </w:r>
    </w:p>
    <w:p w14:paraId="52E2E7EB"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En outre, aux fins des procédures énumérées à l’annexe 2A, les registres, pièces comptables et documents justificatifs:</w:t>
      </w:r>
    </w:p>
    <w:p w14:paraId="65E8081F" w14:textId="77777777" w:rsidR="00832F98" w:rsidRPr="005107DF" w:rsidRDefault="00832F98" w:rsidP="00D0198E">
      <w:pPr>
        <w:numPr>
          <w:ilvl w:val="0"/>
          <w:numId w:val="162"/>
        </w:numPr>
        <w:spacing w:before="120" w:after="120" w:line="240" w:lineRule="auto"/>
        <w:jc w:val="both"/>
        <w:rPr>
          <w:rFonts w:ascii="Times New Roman" w:eastAsia="Times New Roman" w:hAnsi="Times New Roman" w:cs="Times New Roman"/>
        </w:rPr>
      </w:pPr>
      <w:r>
        <w:rPr>
          <w:rFonts w:ascii="Times New Roman" w:hAnsi="Times New Roman"/>
        </w:rPr>
        <w:t>doivent être facilement accessibles et être classés de manière à rendre leur consultation aisée (article 16.7 des conditions générales);</w:t>
      </w:r>
    </w:p>
    <w:p w14:paraId="118C80BB" w14:textId="77777777" w:rsidR="00832F98" w:rsidRPr="005107DF" w:rsidRDefault="00832F98" w:rsidP="00D0198E">
      <w:pPr>
        <w:numPr>
          <w:ilvl w:val="0"/>
          <w:numId w:val="162"/>
        </w:numPr>
        <w:spacing w:before="120" w:after="120" w:line="240" w:lineRule="auto"/>
        <w:jc w:val="both"/>
        <w:rPr>
          <w:rFonts w:ascii="Times New Roman" w:eastAsia="Times New Roman" w:hAnsi="Times New Roman" w:cs="Times New Roman"/>
        </w:rPr>
      </w:pPr>
      <w:r>
        <w:rPr>
          <w:rFonts w:ascii="Times New Roman" w:hAnsi="Times New Roman"/>
        </w:rPr>
        <w:t>doivent être disponibles au format original, y compris au format électronique (article 16.8 des conditions générales).</w:t>
      </w:r>
    </w:p>
    <w:p w14:paraId="563335E3" w14:textId="77777777" w:rsidR="00832F98" w:rsidRPr="005107DF" w:rsidRDefault="00832F98" w:rsidP="00D0198E">
      <w:pPr>
        <w:spacing w:before="120" w:after="120" w:line="240" w:lineRule="auto"/>
        <w:ind w:left="720"/>
        <w:jc w:val="both"/>
        <w:rPr>
          <w:rFonts w:ascii="Times New Roman" w:eastAsia="Times New Roman" w:hAnsi="Times New Roman" w:cs="Times New Roman"/>
        </w:rPr>
      </w:pPr>
      <w:r>
        <w:rPr>
          <w:rFonts w:ascii="Times New Roman" w:hAnsi="Times New Roman"/>
        </w:rPr>
        <w:t>Conseil: les registres et les documents comptables et justificatifs doivent être mis à disposition sous la forme de documents, que ce soit sur papier, sous forme électronique ou sur tout autre support (par exemple un compte rendu écrit d’une réunion est plus fiable qu’une présentation orale des points discutés). Les documents électroniques peuvent être acceptés uniquement dans les cas suivants:</w:t>
      </w:r>
    </w:p>
    <w:p w14:paraId="05A728E6" w14:textId="77777777" w:rsidR="00832F98" w:rsidRPr="005107DF" w:rsidRDefault="00832F98" w:rsidP="00D0198E">
      <w:pPr>
        <w:spacing w:before="120" w:after="120" w:line="240" w:lineRule="auto"/>
        <w:ind w:left="1440" w:hanging="720"/>
        <w:jc w:val="both"/>
        <w:rPr>
          <w:rFonts w:ascii="Times New Roman" w:eastAsia="Times New Roman" w:hAnsi="Times New Roman" w:cs="Times New Roman"/>
        </w:rPr>
      </w:pPr>
      <w:r>
        <w:rPr>
          <w:rFonts w:ascii="Times New Roman" w:hAnsi="Times New Roman"/>
        </w:rPr>
        <w:t>-</w:t>
      </w:r>
      <w:r>
        <w:tab/>
      </w:r>
      <w:r>
        <w:rPr>
          <w:rFonts w:ascii="Times New Roman" w:hAnsi="Times New Roman"/>
        </w:rPr>
        <w:t>les documents ont tout d’abord été reçus et créés (par exemple bon de commande ou confirmation) par le ou les États membres partenaires au format électronique; ou</w:t>
      </w:r>
    </w:p>
    <w:p w14:paraId="78D8B473" w14:textId="77777777" w:rsidR="00832F98" w:rsidRPr="005107DF" w:rsidRDefault="00832F98" w:rsidP="00D0198E">
      <w:pPr>
        <w:spacing w:before="120" w:after="120" w:line="240" w:lineRule="auto"/>
        <w:ind w:left="1440" w:hanging="720"/>
        <w:jc w:val="both"/>
        <w:rPr>
          <w:rFonts w:ascii="Times New Roman" w:eastAsia="Times New Roman" w:hAnsi="Times New Roman" w:cs="Times New Roman"/>
        </w:rPr>
      </w:pPr>
      <w:r>
        <w:rPr>
          <w:rFonts w:ascii="Times New Roman" w:hAnsi="Times New Roman"/>
        </w:rPr>
        <w:t>-</w:t>
      </w:r>
      <w:r>
        <w:tab/>
      </w:r>
      <w:r>
        <w:rPr>
          <w:rFonts w:ascii="Times New Roman" w:hAnsi="Times New Roman"/>
        </w:rPr>
        <w:t>l’auditeur est convaincu que l’administration bénéficiaire utilise un système d’archivage électronique qui répond aux normes établies (par exemple un système certifié conforme à la législation nationale);</w:t>
      </w:r>
    </w:p>
    <w:p w14:paraId="2C8FA91F" w14:textId="77777777" w:rsidR="00832F98" w:rsidRPr="005107DF" w:rsidRDefault="00832F98" w:rsidP="00D0198E">
      <w:pPr>
        <w:numPr>
          <w:ilvl w:val="0"/>
          <w:numId w:val="162"/>
        </w:numPr>
        <w:spacing w:before="120" w:after="120" w:line="240" w:lineRule="auto"/>
        <w:jc w:val="both"/>
        <w:rPr>
          <w:rFonts w:ascii="Times New Roman" w:eastAsia="Times New Roman" w:hAnsi="Times New Roman" w:cs="Times New Roman"/>
        </w:rPr>
      </w:pPr>
      <w:r>
        <w:rPr>
          <w:rFonts w:ascii="Times New Roman" w:hAnsi="Times New Roman"/>
        </w:rPr>
        <w:t>doivent provenir, de préférence, de sources indépendantes de l’entité (un contrat ou une facture original(e) d’un fournisseur est plus fiable qu’un accusé de réception interne);</w:t>
      </w:r>
    </w:p>
    <w:p w14:paraId="1E57E228" w14:textId="77777777" w:rsidR="00832F98" w:rsidRPr="005107DF" w:rsidRDefault="00832F98" w:rsidP="00D0198E">
      <w:pPr>
        <w:numPr>
          <w:ilvl w:val="0"/>
          <w:numId w:val="162"/>
        </w:numPr>
        <w:spacing w:before="120" w:after="120" w:line="240" w:lineRule="auto"/>
        <w:jc w:val="both"/>
        <w:rPr>
          <w:rFonts w:ascii="Times New Roman" w:eastAsia="Times New Roman" w:hAnsi="Times New Roman" w:cs="Times New Roman"/>
        </w:rPr>
      </w:pPr>
      <w:r>
        <w:rPr>
          <w:rFonts w:ascii="Times New Roman" w:hAnsi="Times New Roman"/>
        </w:rPr>
        <w:t>qui sont générés en interne sont plus fiables s’ils ont été contrôlés et approuvés;</w:t>
      </w:r>
    </w:p>
    <w:p w14:paraId="2C8BCE7B" w14:textId="77777777" w:rsidR="00832F98" w:rsidRPr="005107DF" w:rsidRDefault="00832F98" w:rsidP="00D0198E">
      <w:pPr>
        <w:numPr>
          <w:ilvl w:val="0"/>
          <w:numId w:val="162"/>
        </w:numPr>
        <w:spacing w:before="120" w:after="120" w:line="240" w:lineRule="auto"/>
        <w:jc w:val="both"/>
        <w:rPr>
          <w:rFonts w:ascii="Times New Roman" w:eastAsia="Times New Roman" w:hAnsi="Times New Roman" w:cs="Times New Roman"/>
        </w:rPr>
      </w:pPr>
      <w:r>
        <w:rPr>
          <w:rFonts w:ascii="Times New Roman" w:hAnsi="Times New Roman"/>
        </w:rPr>
        <w:t>qui sont obtenus directement par l’auditeur (par exemple, inspection des actifs) sont plus fiables que les éléments d’information obtenus indirectement (par exemple, demande de renseignements sur les actifs).</w:t>
      </w:r>
    </w:p>
    <w:p w14:paraId="0A7D1622"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lastRenderedPageBreak/>
        <w:t>Si l’auditeur estime que les critères susmentionnés ne sont pas suffisamment remplis, il doit le préciser dans les observations factuelles.</w:t>
      </w:r>
    </w:p>
    <w:p w14:paraId="7BC6DAD5" w14:textId="77777777" w:rsidR="00832F98" w:rsidRPr="005107DF" w:rsidRDefault="00832F98" w:rsidP="007338F0">
      <w:pPr>
        <w:rPr>
          <w:rFonts w:ascii="Times New Roman" w:hAnsi="Times New Roman" w:cs="Times New Roman"/>
          <w:b/>
          <w:smallCaps/>
          <w:sz w:val="24"/>
          <w:szCs w:val="24"/>
        </w:rPr>
      </w:pPr>
      <w:bookmarkStart w:id="1086" w:name="_Toc442374387"/>
      <w:bookmarkStart w:id="1087" w:name="_Toc442374877"/>
      <w:bookmarkStart w:id="1088" w:name="_Toc443320199"/>
      <w:bookmarkStart w:id="1089" w:name="_Toc464460046"/>
      <w:bookmarkStart w:id="1090" w:name="_Toc476063394"/>
      <w:bookmarkStart w:id="1091" w:name="_Toc476067876"/>
      <w:r>
        <w:rPr>
          <w:rFonts w:ascii="Times New Roman" w:hAnsi="Times New Roman"/>
          <w:b/>
          <w:smallCaps/>
          <w:sz w:val="24"/>
        </w:rPr>
        <w:t>2. Acquisition d’une connaissance suffisante des conditions du contrat de subvention de jumelage (annexe 2A – procédure 1.1)</w:t>
      </w:r>
      <w:bookmarkEnd w:id="1086"/>
      <w:bookmarkEnd w:id="1087"/>
      <w:bookmarkEnd w:id="1088"/>
      <w:bookmarkEnd w:id="1089"/>
      <w:bookmarkEnd w:id="1090"/>
      <w:bookmarkEnd w:id="1091"/>
    </w:p>
    <w:p w14:paraId="16C61E55"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L’auditeur acquiert une connaissance suffisante du manuel de jumelage applicable et des conditions du contrat de subvention de jumelage. Il accorde une attention particulière à l’annexe 1 du contrat de subvention de jumelage (Description de l’action), à l’annexe 2 (Conditions générales) ainsi qu’à l’annexe 4 (Procédures de passation de marchés), qui énonce les principes de passation de marchés (y compris les règles de nationalité et d’origine) par les bénéficiaires de subventions dans le cadre de jumelages. Toute violation de ces règles entraîne l’inadmissibilité des dépenses au financement de l’UE. </w:t>
      </w:r>
    </w:p>
    <w:p w14:paraId="49866D95"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Ces règles de marché public s’appliquent à tous les contrats de subvention de jumelage, mais les règles de nationalité et d’origine peuvent varier en fonction de la base juridique du contrat de subvention de jumelage. L’auditeur vérifie auprès du ou des États membres partenaires que les principes de passation de marchés et les règles de nationalité et d’origine applicables sont clairement identifiés et compris. Les règles de nationalité et d’origine applicables sont définies à l’annexe A2a - A2c du PRAG. Voir:</w:t>
      </w:r>
    </w:p>
    <w:p w14:paraId="4526CAA4" w14:textId="21BEB31A" w:rsidR="00832F98" w:rsidRPr="004946B7" w:rsidRDefault="00CC09A6" w:rsidP="00D0198E">
      <w:pPr>
        <w:spacing w:before="120" w:after="120" w:line="240" w:lineRule="auto"/>
        <w:jc w:val="both"/>
        <w:rPr>
          <w:rFonts w:ascii="Times New Roman" w:eastAsia="Times New Roman" w:hAnsi="Times New Roman" w:cs="Times New Roman"/>
        </w:rPr>
      </w:pPr>
      <w:hyperlink r:id="rId43" w:history="1">
        <w:r w:rsidR="00832F98" w:rsidRPr="004946B7">
          <w:rPr>
            <w:rStyle w:val="Hyperlink"/>
            <w:rFonts w:ascii="Times New Roman" w:hAnsi="Times New Roman" w:cstheme="minorBidi"/>
          </w:rPr>
          <w:t>http://ec.europa.eu/europeaid/work/procedures/implementation/index_fr.htm</w:t>
        </w:r>
      </w:hyperlink>
      <w:r w:rsidR="00832F98" w:rsidRPr="004946B7">
        <w:rPr>
          <w:rFonts w:ascii="Times New Roman" w:hAnsi="Times New Roman"/>
        </w:rPr>
        <w:t xml:space="preserve"> </w:t>
      </w:r>
    </w:p>
    <w:p w14:paraId="7C38C36D"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Les règles sont établies à la section 2.3.1 du PRAG (cliquer sur 2. Règles de base, puis sur 2.3 Critères d’éligibilité et autres points essentiels).</w:t>
      </w:r>
    </w:p>
    <w:p w14:paraId="28AE223D" w14:textId="77777777" w:rsidR="00832F98" w:rsidRPr="005107DF" w:rsidRDefault="00832F98" w:rsidP="00D0198E">
      <w:pPr>
        <w:spacing w:before="120" w:after="120" w:line="240" w:lineRule="auto"/>
        <w:jc w:val="both"/>
        <w:rPr>
          <w:rFonts w:ascii="Times New Roman" w:eastAsia="Times New Roman" w:hAnsi="Times New Roman" w:cs="Times New Roman"/>
          <w:i/>
        </w:rPr>
      </w:pPr>
      <w:r>
        <w:rPr>
          <w:rFonts w:ascii="Times New Roman" w:hAnsi="Times New Roman"/>
        </w:rPr>
        <w:t>Si l’auditeur estime que les conditions à contrôler ne sont pas suffisamment claires, il lui appartient de demander une clarification aux bénéficiaires de la subvention.</w:t>
      </w:r>
    </w:p>
    <w:p w14:paraId="3B643888" w14:textId="77777777" w:rsidR="00832F98" w:rsidRPr="005107DF" w:rsidRDefault="00832F98" w:rsidP="007338F0">
      <w:pPr>
        <w:rPr>
          <w:rFonts w:ascii="Times New Roman" w:hAnsi="Times New Roman" w:cs="Times New Roman"/>
          <w:b/>
          <w:smallCaps/>
          <w:sz w:val="24"/>
          <w:szCs w:val="24"/>
        </w:rPr>
      </w:pPr>
      <w:bookmarkStart w:id="1092" w:name="_Toc442374388"/>
      <w:bookmarkStart w:id="1093" w:name="_Toc442374878"/>
      <w:bookmarkStart w:id="1094" w:name="_Toc443320200"/>
      <w:bookmarkStart w:id="1095" w:name="_Toc464460047"/>
      <w:bookmarkStart w:id="1096" w:name="_Toc476063395"/>
      <w:bookmarkStart w:id="1097" w:name="_Toc476067877"/>
      <w:r>
        <w:rPr>
          <w:rFonts w:ascii="Times New Roman" w:hAnsi="Times New Roman"/>
          <w:b/>
          <w:smallCaps/>
          <w:sz w:val="24"/>
        </w:rPr>
        <w:t>3. Sélection des dépenses à vérifier (annexe 2A – procédures 4.1 à 4.6)</w:t>
      </w:r>
      <w:bookmarkEnd w:id="1092"/>
      <w:bookmarkEnd w:id="1093"/>
      <w:bookmarkEnd w:id="1094"/>
      <w:bookmarkEnd w:id="1095"/>
      <w:bookmarkEnd w:id="1096"/>
      <w:bookmarkEnd w:id="1097"/>
      <w:r>
        <w:rPr>
          <w:rFonts w:ascii="Times New Roman" w:hAnsi="Times New Roman"/>
          <w:b/>
          <w:smallCaps/>
          <w:sz w:val="24"/>
        </w:rPr>
        <w:t xml:space="preserve"> </w:t>
      </w:r>
    </w:p>
    <w:p w14:paraId="0ED97FFE"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Les dépenses déclarées par le coordinateur dans le rapport financier sont généralement présentées selon le modèle type de rapport final de jumelage (annexe C5 au manuel de jumelage). Les rubriques de dépenses peuvent être ventilées en sous-rubriques.</w:t>
      </w:r>
    </w:p>
    <w:p w14:paraId="490FEACC"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Les sous-rubriques de dépenses peuvent être subdivisées en postes de dépenses individuels ou catégories de postes de dépenses présentant des caractéristiques identiques ou similaires. La forme et la nature des justificatifs (par exemple, paiement, contrat, facture, etc.) et le mode d’enregistrement des dépenses (par exemple, entrées d’un journal) varient en fonction du type et de la nature des dépenses et des actions ou transactions sous-jacentes. Dans tous les cas cependant, les postes de dépenses doivent refléter la valeur comptable (ou financière) des actions ou transactions sous-jacentes, quels que soient le type et la nature de l’action ou de la transaction concernée.  </w:t>
      </w:r>
    </w:p>
    <w:p w14:paraId="02AF5E71"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devrait sélectionner les postes de dépenses ou catégories de postes de dépenses à vérifier en se basant sur la valeur comme critère principal. L’auditeur sélectionne des postes de dépenses à valeur élevée afin de garantir une couverture des dépenses adéquate.</w:t>
      </w:r>
    </w:p>
    <w:p w14:paraId="1CC6CFB9" w14:textId="77777777" w:rsidR="00832F98" w:rsidRPr="005107DF" w:rsidRDefault="00832F98" w:rsidP="007338F0">
      <w:pPr>
        <w:rPr>
          <w:rFonts w:ascii="Times New Roman" w:hAnsi="Times New Roman" w:cs="Times New Roman"/>
          <w:b/>
          <w:smallCaps/>
          <w:sz w:val="24"/>
          <w:szCs w:val="24"/>
        </w:rPr>
      </w:pPr>
      <w:bookmarkStart w:id="1098" w:name="_Toc442374389"/>
      <w:bookmarkStart w:id="1099" w:name="_Toc442374879"/>
      <w:bookmarkStart w:id="1100" w:name="_Toc443320201"/>
      <w:bookmarkStart w:id="1101" w:name="_Toc464460048"/>
      <w:bookmarkStart w:id="1102" w:name="_Toc476063396"/>
      <w:bookmarkStart w:id="1103" w:name="_Toc476067878"/>
      <w:r>
        <w:rPr>
          <w:rFonts w:ascii="Times New Roman" w:hAnsi="Times New Roman"/>
          <w:b/>
          <w:smallCaps/>
          <w:sz w:val="24"/>
        </w:rPr>
        <w:t>4.  Couverture de la vérification des dépenses (annexe 2A – procédures 4.1 à 4.6)</w:t>
      </w:r>
      <w:bookmarkEnd w:id="1098"/>
      <w:bookmarkEnd w:id="1099"/>
      <w:bookmarkEnd w:id="1100"/>
      <w:bookmarkEnd w:id="1101"/>
      <w:bookmarkEnd w:id="1102"/>
      <w:bookmarkEnd w:id="1103"/>
      <w:r>
        <w:rPr>
          <w:rFonts w:ascii="Times New Roman" w:hAnsi="Times New Roman"/>
          <w:b/>
          <w:smallCaps/>
          <w:sz w:val="24"/>
        </w:rPr>
        <w:t xml:space="preserve"> </w:t>
      </w:r>
    </w:p>
    <w:p w14:paraId="121BA84E"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L’auditeur applique les principes et critères énumérés ci-dessous lors de la planification et de l’exécution des procédures spécifiques de vérification des dépenses </w:t>
      </w:r>
      <w:r>
        <w:rPr>
          <w:rFonts w:ascii="Times New Roman" w:hAnsi="Times New Roman"/>
          <w:u w:val="single"/>
        </w:rPr>
        <w:t>sélectionnées</w:t>
      </w:r>
      <w:r>
        <w:rPr>
          <w:rFonts w:ascii="Times New Roman" w:hAnsi="Times New Roman"/>
        </w:rPr>
        <w:t xml:space="preserve"> prévues à l’annexe 2A (procédures 3.1 à 3.7).</w:t>
      </w:r>
    </w:p>
    <w:p w14:paraId="4A147660"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La vérification par l’auditeur et la couverture de la vérification des dépenses n’impliquent pas forcément un contrôle complet et exhaustif de </w:t>
      </w:r>
      <w:r>
        <w:rPr>
          <w:rFonts w:ascii="Times New Roman" w:hAnsi="Times New Roman"/>
          <w:u w:val="single"/>
        </w:rPr>
        <w:t>toutes</w:t>
      </w:r>
      <w:r>
        <w:rPr>
          <w:rFonts w:ascii="Times New Roman" w:hAnsi="Times New Roman"/>
        </w:rPr>
        <w:t xml:space="preserve"> les dépenses relevant d’une rubrique ou sous-rubrique spécifique. L’auditeur doit procéder à un contrôle systématique et représentatif. En fonction de certaines conditions (voir ci-dessous), il peut obtenir des résultats satisfaisants pour une rubrique ou sous-rubrique de dépenses en examinant un nombre limité de postes sélectionnés.</w:t>
      </w:r>
    </w:p>
    <w:p w14:paraId="0E0E2A01"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L’auditeur peut appliquer des techniques de sondage statistique pour contrôler une ou plusieurs rubriques ou sous-rubriques de dépenses du rapport financier. L’auditeur examine si les «populations» (sous-rubriques de dépenses ou catégories de postes à l’intérieur d’une sous-rubrique de dépenses) </w:t>
      </w:r>
      <w:r>
        <w:rPr>
          <w:rFonts w:ascii="Times New Roman" w:hAnsi="Times New Roman"/>
        </w:rPr>
        <w:lastRenderedPageBreak/>
        <w:t xml:space="preserve">sont adéquates et de taille suffisante (en d’autres termes, elles devraient se composer d’un grand nombre de postes) pour assurer un sondage statistique effectif. </w:t>
      </w:r>
    </w:p>
    <w:p w14:paraId="506E15C5"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Le cas échéant, l’auditeur doit expliquer dans le rapport d’observations factuelles pour quelles rubriques ou sous-rubriques du rapport financier l’échantillonnage a été appliqué, la méthode utilisée, les résultats obtenus et indiquer si l’échantillon est représentatif.</w:t>
      </w:r>
    </w:p>
    <w:p w14:paraId="2A460341"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Le ratio de couverture des dépenses («ECR») correspond au total des dépenses contrôlées par l’auditeur exprimé en pourcentage du total des dépenses que le coordinateur a déclarées dans le rapport financier. Ce montant est déclaré à l’annexe V du contrat de subvention de jumelage.</w:t>
      </w:r>
    </w:p>
    <w:p w14:paraId="5AF7A28A"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L’auditeur veille à ce que l’ECR global soit d’au moins </w:t>
      </w:r>
      <w:r>
        <w:rPr>
          <w:rFonts w:ascii="Times New Roman" w:hAnsi="Times New Roman"/>
          <w:b/>
        </w:rPr>
        <w:t>65 %</w:t>
      </w:r>
      <w:r>
        <w:rPr>
          <w:rFonts w:ascii="Times New Roman" w:hAnsi="Times New Roman"/>
        </w:rPr>
        <w:t>. S’il relève un pourcentage d’exceptions inférieur à 10 % du total des dépenses contrôlées (soit 6,5 %), l’auditeur finalise les procédures de vérification et poursuit la procédure d’établissement du rapport.</w:t>
      </w:r>
    </w:p>
    <w:p w14:paraId="69235E60"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Si le taux d’exception noté est supérieur à 10 %, l’auditeur étend les procédures de vérification jusqu’au moment où l’ECR est égal à </w:t>
      </w:r>
      <w:r>
        <w:rPr>
          <w:rFonts w:ascii="Times New Roman" w:hAnsi="Times New Roman"/>
          <w:b/>
        </w:rPr>
        <w:t>85 %</w:t>
      </w:r>
      <w:r>
        <w:rPr>
          <w:rFonts w:ascii="Times New Roman" w:hAnsi="Times New Roman"/>
        </w:rPr>
        <w:t xml:space="preserve"> au moins. L’auditeur termine ensuite les procédures de vérification et poursuit la procédure d’établissement du rapport indépendamment du pourcentage total d’exceptions observé. Il veille à ce que </w:t>
      </w:r>
      <w:r>
        <w:rPr>
          <w:rFonts w:ascii="Times New Roman" w:hAnsi="Times New Roman"/>
          <w:b/>
        </w:rPr>
        <w:t xml:space="preserve">l’ECR de chaque rubrique </w:t>
      </w:r>
      <w:r>
        <w:rPr>
          <w:rFonts w:ascii="Times New Roman" w:hAnsi="Times New Roman"/>
          <w:b/>
          <w:u w:val="single"/>
        </w:rPr>
        <w:t>et</w:t>
      </w:r>
      <w:r>
        <w:rPr>
          <w:rFonts w:ascii="Times New Roman" w:hAnsi="Times New Roman"/>
          <w:b/>
        </w:rPr>
        <w:t xml:space="preserve"> sous-rubrique</w:t>
      </w:r>
      <w:r>
        <w:rPr>
          <w:rFonts w:ascii="Times New Roman" w:hAnsi="Times New Roman"/>
        </w:rPr>
        <w:t xml:space="preserve"> de dépenses du rapport financier soit d’au moins </w:t>
      </w:r>
      <w:r>
        <w:rPr>
          <w:rFonts w:ascii="Times New Roman" w:hAnsi="Times New Roman"/>
          <w:b/>
        </w:rPr>
        <w:t>10 %</w:t>
      </w:r>
      <w:r>
        <w:rPr>
          <w:rFonts w:ascii="Times New Roman" w:hAnsi="Times New Roman"/>
        </w:rPr>
        <w:t>.</w:t>
      </w:r>
    </w:p>
    <w:p w14:paraId="0CE86557" w14:textId="77777777" w:rsidR="00832F98" w:rsidRPr="005107DF" w:rsidRDefault="00832F98" w:rsidP="00BA0D9E">
      <w:pPr>
        <w:jc w:val="both"/>
        <w:rPr>
          <w:rFonts w:ascii="Times New Roman" w:hAnsi="Times New Roman" w:cs="Times New Roman"/>
          <w:b/>
          <w:smallCaps/>
          <w:sz w:val="24"/>
          <w:szCs w:val="24"/>
        </w:rPr>
      </w:pPr>
      <w:bookmarkStart w:id="1104" w:name="_Toc442374390"/>
      <w:bookmarkStart w:id="1105" w:name="_Toc442374880"/>
      <w:bookmarkStart w:id="1106" w:name="_Toc443320202"/>
      <w:bookmarkStart w:id="1107" w:name="_Toc464460049"/>
      <w:bookmarkStart w:id="1108" w:name="_Toc476063397"/>
      <w:bookmarkStart w:id="1109" w:name="_Toc476067879"/>
      <w:r>
        <w:rPr>
          <w:rFonts w:ascii="Times New Roman" w:hAnsi="Times New Roman"/>
          <w:b/>
          <w:smallCaps/>
          <w:sz w:val="24"/>
        </w:rPr>
        <w:t xml:space="preserve">5. Procédures de vérification des dépenses sélectionnées (annexe 2A – procédures 4.1 à 4.6)  </w:t>
      </w:r>
      <w:bookmarkEnd w:id="1104"/>
      <w:bookmarkEnd w:id="1105"/>
      <w:bookmarkEnd w:id="1106"/>
      <w:bookmarkEnd w:id="1107"/>
      <w:bookmarkEnd w:id="1108"/>
      <w:bookmarkEnd w:id="1109"/>
      <w:r>
        <w:rPr>
          <w:rFonts w:ascii="Times New Roman" w:hAnsi="Times New Roman"/>
          <w:b/>
          <w:smallCaps/>
          <w:sz w:val="24"/>
        </w:rPr>
        <w:t xml:space="preserve"> </w:t>
      </w:r>
    </w:p>
    <w:p w14:paraId="4A8473A0"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L’auditeur vérifie les postes de dépenses sélectionnés en exécutant les procédures 3.1 à 3.7 énumérées à l’annexe 2A et notifie toutes les observations factuelles et les exceptions résultant de ces procédures. Sont considérés comme des exceptions de la vérification tous les écarts observés lors de l’exécution des procédures définies à l’annexe 2A. </w:t>
      </w:r>
    </w:p>
    <w:p w14:paraId="5654A3BB"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quantifie le montant des exceptions constatées et l’incidence potentielle sur la contribution de l’UE, si la Commission venait à déclarer inéligibles le ou les postes de dépenses concernés [le cas échéant, en prenant en considération le pourcentage de financement de la Commission et l’impact sur les dépenses indirectes (par exemple, coûts administratifs, frais généraux)]. L’auditeur notifie toutes les exceptions observées, y compris dans les cas où il/elle ne peut quantifier leur montant et l’incidence potentielle sur la contribution de l’UE.</w:t>
      </w:r>
    </w:p>
    <w:p w14:paraId="081A1846" w14:textId="77777777" w:rsidR="00832F98" w:rsidRPr="005107DF" w:rsidRDefault="00832F98" w:rsidP="00D0198E">
      <w:pPr>
        <w:spacing w:before="120" w:after="120" w:line="240" w:lineRule="auto"/>
        <w:rPr>
          <w:rFonts w:ascii="Times New Roman" w:eastAsia="Times New Roman" w:hAnsi="Times New Roman" w:cs="Times New Roman"/>
          <w:i/>
          <w:szCs w:val="18"/>
        </w:rPr>
      </w:pPr>
      <w:r>
        <w:rPr>
          <w:rFonts w:ascii="Times New Roman" w:hAnsi="Times New Roman"/>
          <w:i/>
        </w:rPr>
        <w:t>Instructions spécifiques concernant la procédure 4.1.2 (respect des options de coûts simplifiés)</w:t>
      </w:r>
    </w:p>
    <w:p w14:paraId="6C21F903" w14:textId="77777777" w:rsidR="00832F98" w:rsidRPr="0019382C" w:rsidRDefault="00832F98" w:rsidP="0019382C">
      <w:pPr>
        <w:spacing w:after="0" w:line="240" w:lineRule="auto"/>
        <w:jc w:val="both"/>
        <w:rPr>
          <w:rFonts w:ascii="Times New Roman" w:eastAsia="Times New Roman" w:hAnsi="Times New Roman" w:cs="Times New Roman"/>
        </w:rPr>
      </w:pPr>
      <w:r>
        <w:rPr>
          <w:rFonts w:ascii="Times New Roman" w:hAnsi="Times New Roman"/>
        </w:rPr>
        <w:t>l’auditeur n’est pas tenu de vérifier les coûts réels sur lesquels sont basés les coûts unitaires et/ou les taux forfaitaires.</w:t>
      </w:r>
    </w:p>
    <w:p w14:paraId="6E5AE225"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vérifie que les coûts de soutien au projet de jumelage respectent les dispositions énoncées dans les conditions particulières du contrat de subvention de jumelage et à l’annexe B du manuel de jumelage.</w:t>
      </w:r>
    </w:p>
    <w:p w14:paraId="2FA2A199" w14:textId="77777777" w:rsidR="00832F98" w:rsidRPr="005107DF" w:rsidRDefault="00832F98" w:rsidP="00D0198E">
      <w:pPr>
        <w:spacing w:before="120" w:after="120" w:line="240" w:lineRule="auto"/>
        <w:jc w:val="both"/>
        <w:rPr>
          <w:rFonts w:ascii="Times New Roman" w:eastAsia="Times New Roman" w:hAnsi="Times New Roman" w:cs="Times New Roman"/>
          <w:i/>
          <w:szCs w:val="18"/>
        </w:rPr>
      </w:pPr>
      <w:r>
        <w:rPr>
          <w:rFonts w:ascii="Times New Roman" w:hAnsi="Times New Roman"/>
          <w:i/>
        </w:rPr>
        <w:t>Instructions spécifiques concernant la procédure 4.1.11 (respect des règles de marché public, de nationalité et d’origine)</w:t>
      </w:r>
    </w:p>
    <w:p w14:paraId="0D1E43AD"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vérifie que les dépenses relatives à un poste sélectionné ont été encourues conformément aux règles de marché public, de nationalité et d’origine applicables, en examinant les justificatifs du processus de passation et d’achat (comme indiqué à l’annexe A4). Ces documents concernent l’ouverture des offres, l’évaluation de l’admissibilité des soumissionnaires et de la conformité des offres, l’évaluation des offres et les décisions relatives à l’attribution du marché. Lors de l’examen des documents relatifs à la passation, l’auditeur prend en considération les indicateurs de risque énumérés à la fin de la présente annexe et indique, le cas échéant, le ou les indicateur(s) identifié(s).</w:t>
      </w:r>
    </w:p>
    <w:p w14:paraId="5D16F633" w14:textId="77777777" w:rsidR="00832F98" w:rsidRPr="005107DF" w:rsidRDefault="00832F98" w:rsidP="00D0198E">
      <w:pPr>
        <w:spacing w:after="240" w:line="240" w:lineRule="auto"/>
        <w:jc w:val="both"/>
        <w:rPr>
          <w:rFonts w:ascii="Times New Roman" w:eastAsia="Times New Roman" w:hAnsi="Times New Roman" w:cs="Times New Roman"/>
        </w:rPr>
      </w:pPr>
      <w:r>
        <w:rPr>
          <w:rFonts w:ascii="Times New Roman" w:hAnsi="Times New Roman"/>
          <w:i/>
        </w:rPr>
        <w:t xml:space="preserve">Instructions spécifiques concernant la procédure 4.3 (réserves/provisions pour imprévus) </w:t>
      </w:r>
    </w:p>
    <w:p w14:paraId="54EFDEC3" w14:textId="77777777" w:rsidR="00832F98" w:rsidRPr="005107DF" w:rsidRDefault="00832F98" w:rsidP="00D0198E">
      <w:pPr>
        <w:spacing w:after="240" w:line="240" w:lineRule="auto"/>
        <w:jc w:val="both"/>
        <w:rPr>
          <w:rFonts w:ascii="Times New Roman" w:eastAsia="Times New Roman" w:hAnsi="Times New Roman" w:cs="Times New Roman"/>
        </w:rPr>
      </w:pPr>
      <w:r>
        <w:rPr>
          <w:rFonts w:ascii="Times New Roman" w:hAnsi="Times New Roman"/>
        </w:rPr>
        <w:t>L’auditeur vérifie que les réserves ne dépassent pas 2,5 % des coûts totaux éligibles (directs et indirects) de l’action (section 5.6.3 du manuel de jumelage).</w:t>
      </w:r>
    </w:p>
    <w:p w14:paraId="1141CFAF" w14:textId="3267A133" w:rsidR="00832F98" w:rsidRDefault="00832F98" w:rsidP="00D0198E">
      <w:pPr>
        <w:spacing w:before="120" w:after="120" w:line="240" w:lineRule="auto"/>
        <w:jc w:val="both"/>
        <w:rPr>
          <w:rFonts w:ascii="Times New Roman" w:eastAsia="Times New Roman" w:hAnsi="Times New Roman" w:cs="Times New Roman"/>
          <w:b/>
          <w:szCs w:val="16"/>
        </w:rPr>
      </w:pPr>
    </w:p>
    <w:p w14:paraId="4C9FDF31" w14:textId="77777777" w:rsidR="00BA0D9E" w:rsidRPr="005107DF" w:rsidRDefault="00BA0D9E" w:rsidP="00D0198E">
      <w:pPr>
        <w:spacing w:before="120" w:after="120" w:line="240" w:lineRule="auto"/>
        <w:jc w:val="both"/>
        <w:rPr>
          <w:rFonts w:ascii="Times New Roman" w:eastAsia="Times New Roman" w:hAnsi="Times New Roman" w:cs="Times New Roman"/>
          <w:b/>
          <w:szCs w:val="16"/>
        </w:rPr>
      </w:pPr>
    </w:p>
    <w:p w14:paraId="24C9352F" w14:textId="77777777" w:rsidR="00832F98" w:rsidRPr="005107DF" w:rsidRDefault="00832F98" w:rsidP="00D0198E">
      <w:pPr>
        <w:pBdr>
          <w:top w:val="single" w:sz="4" w:space="1" w:color="auto"/>
        </w:pBdr>
        <w:spacing w:before="120" w:after="120" w:line="240" w:lineRule="auto"/>
        <w:jc w:val="center"/>
        <w:rPr>
          <w:rFonts w:ascii="Times New Roman" w:eastAsia="Times New Roman" w:hAnsi="Times New Roman" w:cs="Times New Roman"/>
          <w:b/>
          <w:sz w:val="24"/>
          <w:szCs w:val="16"/>
        </w:rPr>
      </w:pPr>
      <w:r>
        <w:rPr>
          <w:rFonts w:ascii="Times New Roman" w:hAnsi="Times New Roman"/>
          <w:b/>
          <w:sz w:val="24"/>
        </w:rPr>
        <w:lastRenderedPageBreak/>
        <w:t>INDICATEURS DE RISQUE EN MATIÈRE DE PASSATION DE MARCHÉS</w:t>
      </w:r>
    </w:p>
    <w:p w14:paraId="5609FFEC" w14:textId="77777777" w:rsidR="00832F98" w:rsidRPr="005107DF" w:rsidRDefault="00832F98" w:rsidP="00D0198E">
      <w:pPr>
        <w:numPr>
          <w:ilvl w:val="0"/>
          <w:numId w:val="158"/>
        </w:numPr>
        <w:spacing w:before="120" w:after="120" w:line="240" w:lineRule="auto"/>
        <w:ind w:left="360"/>
        <w:jc w:val="both"/>
        <w:rPr>
          <w:rFonts w:ascii="Times New Roman" w:eastAsia="Times New Roman" w:hAnsi="Times New Roman" w:cs="Times New Roman"/>
          <w:szCs w:val="16"/>
        </w:rPr>
      </w:pPr>
      <w:r>
        <w:rPr>
          <w:rFonts w:ascii="Times New Roman" w:hAnsi="Times New Roman"/>
        </w:rPr>
        <w:t>Incohérences dans les dates des documents ou suite illogique de dates. Exemples:</w:t>
      </w:r>
    </w:p>
    <w:p w14:paraId="58ABF53F" w14:textId="77777777" w:rsidR="00832F98" w:rsidRPr="005107DF" w:rsidRDefault="00832F98"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rPr>
      </w:pPr>
      <w:r>
        <w:rPr>
          <w:rFonts w:ascii="Times New Roman" w:hAnsi="Times New Roman"/>
        </w:rPr>
        <w:t>l’offre porte une date postérieure à l’attribution du contrat ou antérieure à l’envoi des appels d’offres;</w:t>
      </w:r>
    </w:p>
    <w:p w14:paraId="57EC5D08" w14:textId="77777777" w:rsidR="00832F98" w:rsidRPr="005107DF" w:rsidRDefault="00832F98"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rPr>
      </w:pPr>
      <w:r>
        <w:rPr>
          <w:rFonts w:ascii="Times New Roman" w:hAnsi="Times New Roman"/>
        </w:rPr>
        <w:t>l’offre du soumissionnaire retenu porte une date antérieure à la date de publication de l’offre ou porte une date bien postérieure aux offres des autres soumissionnaires;</w:t>
      </w:r>
    </w:p>
    <w:p w14:paraId="21B9F25F" w14:textId="77777777" w:rsidR="00832F98" w:rsidRPr="005107DF" w:rsidRDefault="00832F98"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rPr>
      </w:pPr>
      <w:r>
        <w:rPr>
          <w:rFonts w:ascii="Times New Roman" w:hAnsi="Times New Roman"/>
        </w:rPr>
        <w:t>les offres de différents candidats participant aux mêmes appels d’offres portent toutes une date identique;</w:t>
      </w:r>
    </w:p>
    <w:p w14:paraId="7593E0A7" w14:textId="77777777" w:rsidR="00832F98" w:rsidRPr="005107DF" w:rsidRDefault="00832F98" w:rsidP="00D0198E">
      <w:pPr>
        <w:numPr>
          <w:ilvl w:val="1"/>
          <w:numId w:val="158"/>
        </w:numPr>
        <w:tabs>
          <w:tab w:val="num" w:pos="720"/>
        </w:tabs>
        <w:spacing w:before="120" w:after="120" w:line="240" w:lineRule="auto"/>
        <w:ind w:left="720" w:hanging="180"/>
        <w:jc w:val="both"/>
        <w:rPr>
          <w:rFonts w:ascii="Times New Roman" w:eastAsia="Times New Roman" w:hAnsi="Times New Roman" w:cs="Times New Roman"/>
          <w:szCs w:val="16"/>
        </w:rPr>
      </w:pPr>
      <w:r>
        <w:rPr>
          <w:rFonts w:ascii="Times New Roman" w:hAnsi="Times New Roman"/>
        </w:rPr>
        <w:t>les dates figurant sur les documents ne sont pas plausibles/cohérentes avec les dates figurant sur la documentation jointe (par exemple, date de l’offre non plausible/cohérente par rapport à la date du cachet postal sur l’enveloppe, date d’une télécopie non plausible/cohérente au regard de la date imprimée du télécopieur).</w:t>
      </w:r>
    </w:p>
    <w:p w14:paraId="451E6512" w14:textId="77777777" w:rsidR="00832F98" w:rsidRPr="005107DF" w:rsidRDefault="00832F98" w:rsidP="00D0198E">
      <w:pPr>
        <w:numPr>
          <w:ilvl w:val="0"/>
          <w:numId w:val="158"/>
        </w:numPr>
        <w:spacing w:before="120" w:after="120" w:line="240" w:lineRule="auto"/>
        <w:ind w:left="357" w:hanging="357"/>
        <w:jc w:val="both"/>
        <w:rPr>
          <w:rFonts w:ascii="Times New Roman" w:eastAsia="Times New Roman" w:hAnsi="Times New Roman" w:cs="Times New Roman"/>
          <w:szCs w:val="16"/>
        </w:rPr>
      </w:pPr>
      <w:r>
        <w:rPr>
          <w:rFonts w:ascii="Times New Roman" w:hAnsi="Times New Roman"/>
        </w:rPr>
        <w:t>Similitudes inhabituelles entre les offres de candidats participant au même appel d’offres. Exemples:</w:t>
      </w:r>
    </w:p>
    <w:p w14:paraId="3A184DDD" w14:textId="77777777" w:rsidR="00832F98" w:rsidRPr="005107DF" w:rsidRDefault="00832F98"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rPr>
      </w:pPr>
      <w:r>
        <w:rPr>
          <w:rFonts w:ascii="Times New Roman" w:hAnsi="Times New Roman"/>
        </w:rPr>
        <w:t>formulation, phrases et terminologie identiques dans les offres de soumissionnaires différents;</w:t>
      </w:r>
    </w:p>
    <w:p w14:paraId="516FE775" w14:textId="77777777" w:rsidR="00832F98" w:rsidRPr="005107DF" w:rsidRDefault="00832F98" w:rsidP="00D0198E">
      <w:pPr>
        <w:numPr>
          <w:ilvl w:val="1"/>
          <w:numId w:val="158"/>
        </w:numPr>
        <w:tabs>
          <w:tab w:val="num" w:pos="720"/>
        </w:tabs>
        <w:spacing w:before="120" w:after="120" w:line="240" w:lineRule="auto"/>
        <w:ind w:left="720" w:hanging="180"/>
        <w:jc w:val="both"/>
        <w:rPr>
          <w:rFonts w:ascii="Times New Roman" w:eastAsia="Times New Roman" w:hAnsi="Times New Roman" w:cs="Times New Roman"/>
          <w:szCs w:val="16"/>
        </w:rPr>
      </w:pPr>
      <w:r>
        <w:rPr>
          <w:rFonts w:ascii="Times New Roman" w:hAnsi="Times New Roman"/>
        </w:rPr>
        <w:t>présentation et format identiques (par exemple, police de caractères, taille de la police, taille des marges, tirets, mise en forme des paragraphes, etc.) dans les offres de soumissionnaires différents;</w:t>
      </w:r>
    </w:p>
    <w:p w14:paraId="4D0F5AFB" w14:textId="77777777" w:rsidR="00832F98" w:rsidRPr="005107DF" w:rsidRDefault="00832F98"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rPr>
      </w:pPr>
      <w:r>
        <w:rPr>
          <w:rFonts w:ascii="Times New Roman" w:hAnsi="Times New Roman"/>
        </w:rPr>
        <w:t xml:space="preserve">papier à en-tête ou logos similaires; </w:t>
      </w:r>
    </w:p>
    <w:p w14:paraId="6122231A" w14:textId="77777777" w:rsidR="00832F98" w:rsidRPr="005107DF" w:rsidRDefault="00832F98"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rPr>
      </w:pPr>
      <w:r>
        <w:rPr>
          <w:rFonts w:ascii="Times New Roman" w:hAnsi="Times New Roman"/>
        </w:rPr>
        <w:t>utilisation de prix identiques dans les offres de soumissionnaires différents pour un certain nombre de volets ou de postes;</w:t>
      </w:r>
    </w:p>
    <w:p w14:paraId="75A98711" w14:textId="77777777" w:rsidR="00832F98" w:rsidRPr="005107DF" w:rsidRDefault="00832F98"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rPr>
      </w:pPr>
      <w:r>
        <w:rPr>
          <w:rFonts w:ascii="Times New Roman" w:hAnsi="Times New Roman"/>
        </w:rPr>
        <w:t>erreurs grammaticales, orthographiques ou typographiques identiques dans les offres de soumissionnaires différents;</w:t>
      </w:r>
    </w:p>
    <w:p w14:paraId="03AF833A" w14:textId="77777777" w:rsidR="00832F98" w:rsidRPr="005107DF" w:rsidRDefault="00832F98"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rPr>
      </w:pPr>
      <w:r>
        <w:rPr>
          <w:rFonts w:ascii="Times New Roman" w:hAnsi="Times New Roman"/>
        </w:rPr>
        <w:t>utilisation de timbres similaires et similitudes dans les signatures.</w:t>
      </w:r>
    </w:p>
    <w:p w14:paraId="7F49F8D8" w14:textId="77777777" w:rsidR="00832F98" w:rsidRPr="005107DF" w:rsidRDefault="00832F98" w:rsidP="00D0198E">
      <w:pPr>
        <w:numPr>
          <w:ilvl w:val="0"/>
          <w:numId w:val="159"/>
        </w:numPr>
        <w:tabs>
          <w:tab w:val="num" w:pos="1080"/>
        </w:tabs>
        <w:spacing w:before="120" w:after="120" w:line="240" w:lineRule="auto"/>
        <w:ind w:left="360"/>
        <w:jc w:val="both"/>
        <w:rPr>
          <w:rFonts w:ascii="Times New Roman" w:eastAsia="Times New Roman" w:hAnsi="Times New Roman" w:cs="Times New Roman"/>
          <w:szCs w:val="16"/>
        </w:rPr>
      </w:pPr>
      <w:r>
        <w:rPr>
          <w:rFonts w:ascii="Times New Roman" w:hAnsi="Times New Roman"/>
        </w:rPr>
        <w:t>État financier ou autres informations indiquant que deux soumissionnaires participant au même appel d’offres sont liés ou appartiennent au même groupe (par exemple, lorsque des états financiers sont fournis, les notes annexes peuvent révéler des informations sur la propriété du groupe. Ces informations peuvent également être tirées des registres publics des comptes).</w:t>
      </w:r>
    </w:p>
    <w:p w14:paraId="53DC8030" w14:textId="77777777" w:rsidR="00832F98" w:rsidRPr="005107DF" w:rsidRDefault="00832F98" w:rsidP="00D0198E">
      <w:pPr>
        <w:numPr>
          <w:ilvl w:val="0"/>
          <w:numId w:val="159"/>
        </w:numPr>
        <w:tabs>
          <w:tab w:val="num" w:pos="1080"/>
        </w:tabs>
        <w:spacing w:before="120" w:after="120" w:line="240" w:lineRule="auto"/>
        <w:ind w:left="360"/>
        <w:jc w:val="both"/>
        <w:rPr>
          <w:rFonts w:ascii="Times New Roman" w:eastAsia="Times New Roman" w:hAnsi="Times New Roman" w:cs="Times New Roman"/>
          <w:szCs w:val="16"/>
        </w:rPr>
      </w:pPr>
      <w:r>
        <w:rPr>
          <w:rFonts w:ascii="Times New Roman" w:hAnsi="Times New Roman"/>
        </w:rPr>
        <w:t>Incohérences dans le processus de sélection et d’attribution. Exemples:</w:t>
      </w:r>
    </w:p>
    <w:p w14:paraId="4D2E85E2" w14:textId="77777777" w:rsidR="00832F98" w:rsidRPr="005107DF" w:rsidRDefault="00832F98"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rPr>
      </w:pPr>
      <w:r>
        <w:rPr>
          <w:rFonts w:ascii="Times New Roman" w:hAnsi="Times New Roman"/>
        </w:rPr>
        <w:t>décisions d’attribution non plausibles/cohérentes par rapport aux critères de sélection et d’attribution;</w:t>
      </w:r>
    </w:p>
    <w:p w14:paraId="0CD2FDC8" w14:textId="77777777" w:rsidR="00832F98" w:rsidRPr="005107DF" w:rsidRDefault="00832F98"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rPr>
      </w:pPr>
      <w:r>
        <w:rPr>
          <w:rFonts w:ascii="Times New Roman" w:hAnsi="Times New Roman"/>
        </w:rPr>
        <w:t>erreurs dans l’application des critères de sélection et d’attribution;</w:t>
      </w:r>
    </w:p>
    <w:p w14:paraId="155E8A7F" w14:textId="77777777" w:rsidR="00832F98" w:rsidRPr="005107DF" w:rsidRDefault="00832F98"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rPr>
      </w:pPr>
      <w:r>
        <w:rPr>
          <w:rFonts w:ascii="Times New Roman" w:hAnsi="Times New Roman"/>
        </w:rPr>
        <w:t>un fournisseur habituel de l’administration bénéficiaire est membre d’un comité d’évaluation des offres.</w:t>
      </w:r>
    </w:p>
    <w:p w14:paraId="66F3DD63" w14:textId="77777777" w:rsidR="00832F98" w:rsidRPr="005107DF" w:rsidRDefault="00832F98" w:rsidP="00D0198E">
      <w:pPr>
        <w:numPr>
          <w:ilvl w:val="2"/>
          <w:numId w:val="159"/>
        </w:numPr>
        <w:tabs>
          <w:tab w:val="num" w:pos="1080"/>
        </w:tabs>
        <w:spacing w:before="120" w:after="120" w:line="240" w:lineRule="auto"/>
        <w:ind w:left="360"/>
        <w:jc w:val="both"/>
        <w:rPr>
          <w:rFonts w:ascii="Times New Roman" w:eastAsia="Times New Roman" w:hAnsi="Times New Roman" w:cs="Times New Roman"/>
          <w:szCs w:val="16"/>
        </w:rPr>
      </w:pPr>
      <w:r>
        <w:rPr>
          <w:rFonts w:ascii="Times New Roman" w:hAnsi="Times New Roman"/>
        </w:rPr>
        <w:t xml:space="preserve">Autres éléments et exemples révélant un risque de relations privilégiées avec les soumissionnaires: </w:t>
      </w:r>
    </w:p>
    <w:p w14:paraId="34810219" w14:textId="77777777" w:rsidR="00832F98" w:rsidRPr="005107DF" w:rsidRDefault="00832F98"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rPr>
      </w:pPr>
      <w:r>
        <w:rPr>
          <w:rFonts w:ascii="Times New Roman" w:hAnsi="Times New Roman"/>
        </w:rPr>
        <w:t>le même soumissionnaire (ou petit groupe de soumissionnaires) est invité à une fréquence inhabituelle à présenter une offre dans différents marchés;</w:t>
      </w:r>
    </w:p>
    <w:p w14:paraId="543A3878" w14:textId="77777777" w:rsidR="00832F98" w:rsidRPr="005107DF" w:rsidRDefault="00832F98"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rPr>
      </w:pPr>
      <w:r>
        <w:rPr>
          <w:rFonts w:ascii="Times New Roman" w:hAnsi="Times New Roman"/>
        </w:rPr>
        <w:t>le même soumissionnaire (ou petit groupe de soumissionnaires) est retenu dans un nombre exceptionnellement élevé d’offres;</w:t>
      </w:r>
    </w:p>
    <w:p w14:paraId="5895470F" w14:textId="77777777" w:rsidR="00832F98" w:rsidRPr="005107DF" w:rsidRDefault="00832F98" w:rsidP="00D0198E">
      <w:pPr>
        <w:numPr>
          <w:ilvl w:val="1"/>
          <w:numId w:val="159"/>
        </w:numPr>
        <w:tabs>
          <w:tab w:val="num" w:pos="720"/>
        </w:tabs>
        <w:spacing w:before="120" w:after="120" w:line="240" w:lineRule="auto"/>
        <w:ind w:left="360" w:firstLine="180"/>
        <w:jc w:val="both"/>
        <w:rPr>
          <w:rFonts w:ascii="Times New Roman" w:eastAsia="Times New Roman" w:hAnsi="Times New Roman" w:cs="Times New Roman"/>
          <w:szCs w:val="16"/>
        </w:rPr>
      </w:pPr>
      <w:r>
        <w:rPr>
          <w:rFonts w:ascii="Times New Roman" w:hAnsi="Times New Roman"/>
        </w:rPr>
        <w:t>un soumissionnaire se voit fréquemment attribuer des marchés pour différents types de biens ou de services;</w:t>
      </w:r>
    </w:p>
    <w:p w14:paraId="71D3E0C4" w14:textId="77777777" w:rsidR="00832F98" w:rsidRPr="005107DF" w:rsidRDefault="00832F98"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rPr>
      </w:pPr>
      <w:r>
        <w:rPr>
          <w:rFonts w:ascii="Times New Roman" w:hAnsi="Times New Roman"/>
        </w:rPr>
        <w:t>le soumissionnaire retenu facture des marchandises additionnelles non prévues dans l’offre (par exemple, pièces détachées additionnelles facturées sans justification précise, coûts d’installation facturés alors qu’ils n’étaient pas prévus dans l’offre).</w:t>
      </w:r>
    </w:p>
    <w:p w14:paraId="6862A2A1" w14:textId="77777777" w:rsidR="00832F98" w:rsidRPr="005107DF" w:rsidRDefault="00832F98" w:rsidP="00E80BC0">
      <w:pPr>
        <w:spacing w:before="120" w:after="120" w:line="240" w:lineRule="auto"/>
        <w:jc w:val="both"/>
        <w:rPr>
          <w:rFonts w:ascii="Times New Roman" w:eastAsia="Times New Roman" w:hAnsi="Times New Roman" w:cs="Times New Roman"/>
          <w:szCs w:val="16"/>
        </w:rPr>
      </w:pPr>
      <w:r>
        <w:rPr>
          <w:rFonts w:ascii="Times New Roman" w:hAnsi="Times New Roman"/>
        </w:rPr>
        <w:t>Autres documents, indices et exemples indiquant un risque d’irrégularités:</w:t>
      </w:r>
    </w:p>
    <w:p w14:paraId="2B05FC31" w14:textId="77777777" w:rsidR="00832F98" w:rsidRPr="005107DF" w:rsidRDefault="00832F98" w:rsidP="00D0198E">
      <w:pPr>
        <w:numPr>
          <w:ilvl w:val="0"/>
          <w:numId w:val="160"/>
        </w:numPr>
        <w:tabs>
          <w:tab w:val="num" w:pos="720"/>
        </w:tabs>
        <w:spacing w:before="120" w:after="120" w:line="240" w:lineRule="auto"/>
        <w:ind w:hanging="465"/>
        <w:jc w:val="both"/>
        <w:rPr>
          <w:rFonts w:ascii="Times New Roman" w:eastAsia="Times New Roman" w:hAnsi="Times New Roman" w:cs="Times New Roman"/>
          <w:szCs w:val="16"/>
        </w:rPr>
      </w:pPr>
      <w:r>
        <w:rPr>
          <w:rFonts w:ascii="Times New Roman" w:hAnsi="Times New Roman"/>
        </w:rPr>
        <w:lastRenderedPageBreak/>
        <w:t>utilisation de photocopies au lieu de documents originaux;</w:t>
      </w:r>
    </w:p>
    <w:p w14:paraId="1FA8A763" w14:textId="77777777" w:rsidR="00832F98" w:rsidRPr="005107DF" w:rsidRDefault="00832F98" w:rsidP="00D0198E">
      <w:pPr>
        <w:numPr>
          <w:ilvl w:val="0"/>
          <w:numId w:val="160"/>
        </w:numPr>
        <w:tabs>
          <w:tab w:val="num" w:pos="720"/>
        </w:tabs>
        <w:spacing w:before="120" w:after="120" w:line="240" w:lineRule="auto"/>
        <w:ind w:hanging="465"/>
        <w:jc w:val="both"/>
        <w:rPr>
          <w:rFonts w:ascii="Times New Roman" w:eastAsia="Times New Roman" w:hAnsi="Times New Roman" w:cs="Times New Roman"/>
          <w:szCs w:val="16"/>
        </w:rPr>
      </w:pPr>
      <w:r>
        <w:rPr>
          <w:rFonts w:ascii="Times New Roman" w:hAnsi="Times New Roman"/>
        </w:rPr>
        <w:t>utilisation de factures pro forma comme justificatifs au lieu de factures officielles;</w:t>
      </w:r>
    </w:p>
    <w:p w14:paraId="242A54A9" w14:textId="77777777" w:rsidR="00832F98" w:rsidRPr="005107DF" w:rsidRDefault="00832F98" w:rsidP="00D0198E">
      <w:pPr>
        <w:numPr>
          <w:ilvl w:val="0"/>
          <w:numId w:val="160"/>
        </w:numPr>
        <w:tabs>
          <w:tab w:val="num" w:pos="720"/>
        </w:tabs>
        <w:spacing w:before="120" w:after="120" w:line="240" w:lineRule="auto"/>
        <w:ind w:left="720" w:hanging="180"/>
        <w:jc w:val="both"/>
        <w:rPr>
          <w:rFonts w:ascii="Times New Roman" w:eastAsia="Times New Roman" w:hAnsi="Times New Roman" w:cs="Times New Roman"/>
          <w:szCs w:val="16"/>
        </w:rPr>
      </w:pPr>
      <w:r>
        <w:rPr>
          <w:rFonts w:ascii="Times New Roman" w:hAnsi="Times New Roman"/>
        </w:rPr>
        <w:t>modifications manuelles sur les documents originaux [par exemple, chiffres modifiés manuellement, chiffres effacés au correcteur liquide (Tipp-Ex), etc.];</w:t>
      </w:r>
    </w:p>
    <w:p w14:paraId="06FEAD1E" w14:textId="77777777" w:rsidR="00832F98" w:rsidRPr="005107DF" w:rsidRDefault="00832F98" w:rsidP="00D0198E">
      <w:pPr>
        <w:numPr>
          <w:ilvl w:val="0"/>
          <w:numId w:val="160"/>
        </w:numPr>
        <w:tabs>
          <w:tab w:val="num" w:pos="720"/>
        </w:tabs>
        <w:spacing w:before="120" w:after="120" w:line="240" w:lineRule="auto"/>
        <w:ind w:left="720" w:hanging="180"/>
        <w:jc w:val="both"/>
        <w:rPr>
          <w:rFonts w:ascii="Times New Roman" w:eastAsia="Times New Roman" w:hAnsi="Times New Roman" w:cs="Times New Roman"/>
          <w:szCs w:val="16"/>
        </w:rPr>
      </w:pPr>
      <w:r>
        <w:rPr>
          <w:rFonts w:ascii="Times New Roman" w:hAnsi="Times New Roman"/>
        </w:rPr>
        <w:t>utilisation de documents non officiels (par exemple, papier à en-tête n’indiquant pas certaines informations officielles et/ou obligatoires telles que le numéro du registre du commerce, le numéro d’identification fiscale de l’entreprise, etc.).</w:t>
      </w:r>
    </w:p>
    <w:p w14:paraId="73440394" w14:textId="77777777" w:rsidR="00832F98" w:rsidRPr="005107DF" w:rsidRDefault="00832F98" w:rsidP="00D0198E">
      <w:pPr>
        <w:pBdr>
          <w:bottom w:val="single" w:sz="4" w:space="1" w:color="auto"/>
        </w:pBdr>
        <w:spacing w:after="240" w:line="240" w:lineRule="auto"/>
        <w:jc w:val="both"/>
        <w:rPr>
          <w:rFonts w:ascii="Times New Roman" w:eastAsia="Times New Roman" w:hAnsi="Times New Roman" w:cs="Times New Roman"/>
        </w:rPr>
      </w:pPr>
    </w:p>
    <w:bookmarkEnd w:id="987"/>
    <w:p w14:paraId="134A4100" w14:textId="77777777" w:rsidR="00832F98" w:rsidRPr="005107DF" w:rsidRDefault="00832F98">
      <w:pPr>
        <w:rPr>
          <w:rFonts w:ascii="Times New Roman" w:eastAsia="Times New Roman" w:hAnsi="Times New Roman" w:cs="Times New Roman"/>
          <w:b/>
        </w:rPr>
      </w:pPr>
      <w:r>
        <w:br w:type="page"/>
      </w:r>
    </w:p>
    <w:p w14:paraId="22AC56C6"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b/>
        </w:rPr>
        <w:lastRenderedPageBreak/>
        <w:t>Annexe 3</w:t>
      </w:r>
      <w:r>
        <w:tab/>
      </w:r>
      <w:r>
        <w:rPr>
          <w:rFonts w:ascii="Times New Roman" w:hAnsi="Times New Roman"/>
          <w:b/>
        </w:rPr>
        <w:t>Modèle de rapport de vérification des dépenses dans le cadre d’un contrat de subvention de jumelage</w:t>
      </w:r>
    </w:p>
    <w:p w14:paraId="48899F21" w14:textId="77777777" w:rsidR="00832F98" w:rsidRPr="005107DF" w:rsidRDefault="00832F98" w:rsidP="00D0198E">
      <w:pPr>
        <w:spacing w:after="0" w:line="240" w:lineRule="auto"/>
        <w:rPr>
          <w:rFonts w:ascii="Times New Roman" w:eastAsia="Times New Roman" w:hAnsi="Times New Roman" w:cs="Times New Roman"/>
          <w:sz w:val="24"/>
          <w:szCs w:val="24"/>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178"/>
      </w:tblGrid>
      <w:tr w:rsidR="00832F98" w:rsidRPr="005107DF" w14:paraId="44026F04" w14:textId="77777777" w:rsidTr="006B3558">
        <w:tc>
          <w:tcPr>
            <w:tcW w:w="9178" w:type="dxa"/>
            <w:shd w:val="clear" w:color="auto" w:fill="auto"/>
          </w:tcPr>
          <w:p w14:paraId="62AA8D7A" w14:textId="77777777" w:rsidR="00832F98" w:rsidRPr="005107DF" w:rsidRDefault="00832F98" w:rsidP="006B3558">
            <w:pPr>
              <w:spacing w:before="120" w:after="120" w:line="240" w:lineRule="auto"/>
              <w:rPr>
                <w:rFonts w:ascii="Times New Roman" w:eastAsia="Times New Roman" w:hAnsi="Times New Roman" w:cs="Times New Roman"/>
                <w:sz w:val="18"/>
                <w:szCs w:val="16"/>
              </w:rPr>
            </w:pPr>
            <w:r>
              <w:rPr>
                <w:rFonts w:ascii="Times New Roman" w:hAnsi="Times New Roman"/>
                <w:sz w:val="18"/>
              </w:rPr>
              <w:t>COMMENT UTILISER LE PRÉSENT MODÈLE DE RAPPORT? Le texte surligné en jaune dans le présent modèle de rapport est fourni à titre d’instruction uniquement et doit être supprimé par l’auditeur après utilisation. Les informations demandées dans le format suivant &lt;……..&gt; (par exemple &lt;nom du coordinateur&gt;) doivent être complétées par l’auditeur.</w:t>
            </w:r>
          </w:p>
        </w:tc>
      </w:tr>
    </w:tbl>
    <w:p w14:paraId="2C69C34C" w14:textId="77777777" w:rsidR="00832F98" w:rsidRPr="005107DF" w:rsidRDefault="00832F98" w:rsidP="00D0198E">
      <w:pPr>
        <w:spacing w:after="0" w:line="290" w:lineRule="atLeast"/>
        <w:jc w:val="center"/>
        <w:rPr>
          <w:rFonts w:ascii="Times New Roman" w:eastAsia="Times New Roman" w:hAnsi="Times New Roman" w:cs="Times New Roman"/>
          <w:b/>
          <w:shd w:val="clear" w:color="auto" w:fill="C0C0C0"/>
        </w:rPr>
      </w:pPr>
    </w:p>
    <w:p w14:paraId="70760217" w14:textId="77777777" w:rsidR="00832F98" w:rsidRPr="005107DF" w:rsidRDefault="00832F98" w:rsidP="00D0198E">
      <w:pPr>
        <w:spacing w:after="0" w:line="290" w:lineRule="atLeast"/>
        <w:rPr>
          <w:rFonts w:ascii="Times New Roman" w:eastAsia="Times New Roman" w:hAnsi="Times New Roman" w:cs="Times New Roman"/>
          <w:b/>
          <w:i/>
          <w:sz w:val="20"/>
          <w:szCs w:val="20"/>
        </w:rPr>
      </w:pPr>
      <w:r>
        <w:rPr>
          <w:rFonts w:ascii="Times New Roman" w:hAnsi="Times New Roman"/>
          <w:b/>
          <w:i/>
          <w:sz w:val="20"/>
          <w:shd w:val="clear" w:color="auto" w:fill="C0C0C0"/>
        </w:rPr>
        <w:t>&lt;À imprimer sur le papier à en-tête de l’AUDITEUR&gt;</w:t>
      </w:r>
    </w:p>
    <w:p w14:paraId="7A3B1121" w14:textId="77777777" w:rsidR="00832F98" w:rsidRPr="005107DF" w:rsidRDefault="00832F98" w:rsidP="00D0198E">
      <w:pPr>
        <w:spacing w:after="0" w:line="240" w:lineRule="auto"/>
        <w:jc w:val="right"/>
        <w:rPr>
          <w:rFonts w:ascii="Times New Roman" w:eastAsia="Times New Roman" w:hAnsi="Times New Roman" w:cs="Times New Roman"/>
          <w:b/>
          <w:sz w:val="28"/>
          <w:szCs w:val="28"/>
        </w:rPr>
      </w:pPr>
    </w:p>
    <w:p w14:paraId="470D2B07" w14:textId="77777777" w:rsidR="00832F98" w:rsidRPr="005107DF" w:rsidRDefault="00832F98" w:rsidP="00D0198E">
      <w:pPr>
        <w:spacing w:after="0" w:line="240" w:lineRule="auto"/>
        <w:jc w:val="center"/>
        <w:rPr>
          <w:rFonts w:ascii="Times New Roman" w:eastAsia="Times New Roman" w:hAnsi="Times New Roman" w:cs="Times New Roman"/>
          <w:b/>
          <w:sz w:val="28"/>
          <w:szCs w:val="28"/>
        </w:rPr>
      </w:pPr>
      <w:r>
        <w:rPr>
          <w:rFonts w:ascii="Times New Roman" w:hAnsi="Times New Roman"/>
          <w:b/>
          <w:sz w:val="28"/>
        </w:rPr>
        <w:t xml:space="preserve">Rapport de vérification des dépenses dans le cadre d’une subvention de jumelage </w:t>
      </w:r>
    </w:p>
    <w:p w14:paraId="5F38981D" w14:textId="77777777" w:rsidR="00832F98" w:rsidRPr="005107DF" w:rsidRDefault="00832F98" w:rsidP="00D0198E">
      <w:pPr>
        <w:spacing w:before="120" w:after="120" w:line="290" w:lineRule="atLeast"/>
        <w:jc w:val="center"/>
        <w:rPr>
          <w:rFonts w:ascii="Times New Roman" w:eastAsia="Times New Roman" w:hAnsi="Times New Roman" w:cs="Times New Roman"/>
          <w:b/>
          <w:sz w:val="28"/>
          <w:szCs w:val="28"/>
        </w:rPr>
      </w:pPr>
      <w:r>
        <w:rPr>
          <w:rFonts w:ascii="Times New Roman" w:hAnsi="Times New Roman"/>
          <w:b/>
          <w:sz w:val="28"/>
        </w:rPr>
        <w:t>&lt;</w:t>
      </w:r>
      <w:r>
        <w:rPr>
          <w:rFonts w:ascii="Times New Roman" w:hAnsi="Times New Roman"/>
          <w:b/>
          <w:sz w:val="24"/>
        </w:rPr>
        <w:t>Intitulé et numéro du contrat de subvention de jumelage</w:t>
      </w:r>
      <w:r>
        <w:rPr>
          <w:rFonts w:ascii="Times New Roman" w:hAnsi="Times New Roman"/>
          <w:b/>
          <w:sz w:val="28"/>
        </w:rPr>
        <w:t xml:space="preserve"> &gt;</w:t>
      </w:r>
    </w:p>
    <w:p w14:paraId="193071F2" w14:textId="77777777" w:rsidR="00832F98" w:rsidRPr="005107DF" w:rsidRDefault="00832F98" w:rsidP="00D0198E">
      <w:pPr>
        <w:pBdr>
          <w:top w:val="single" w:sz="4" w:space="1" w:color="auto"/>
          <w:bottom w:val="single" w:sz="4" w:space="1" w:color="auto"/>
        </w:pBdr>
        <w:spacing w:before="360" w:after="600" w:line="240" w:lineRule="auto"/>
        <w:jc w:val="center"/>
        <w:rPr>
          <w:rFonts w:ascii="Times New Roman" w:eastAsia="Times New Roman" w:hAnsi="Times New Roman" w:cs="Times New Roman"/>
          <w:sz w:val="24"/>
          <w:szCs w:val="24"/>
        </w:rPr>
      </w:pPr>
      <w:r>
        <w:rPr>
          <w:rFonts w:ascii="Times New Roman" w:hAnsi="Times New Roman"/>
          <w:sz w:val="24"/>
        </w:rPr>
        <w:t>TABLE DES MATIÈRES</w:t>
      </w:r>
    </w:p>
    <w:p w14:paraId="7290097B" w14:textId="77777777" w:rsidR="00832F98" w:rsidRPr="005107DF" w:rsidRDefault="00832F98" w:rsidP="00D0198E">
      <w:pPr>
        <w:spacing w:after="100" w:line="240" w:lineRule="auto"/>
        <w:rPr>
          <w:rFonts w:ascii="Times New Roman" w:eastAsia="Times New Roman" w:hAnsi="Times New Roman" w:cs="Times New Roman"/>
          <w:b/>
          <w:sz w:val="24"/>
          <w:szCs w:val="24"/>
        </w:rPr>
      </w:pPr>
      <w:r>
        <w:rPr>
          <w:rFonts w:ascii="Times New Roman" w:hAnsi="Times New Roman"/>
          <w:b/>
          <w:sz w:val="24"/>
        </w:rPr>
        <w:t>Rapport d’observations factuelles</w:t>
      </w:r>
    </w:p>
    <w:p w14:paraId="1AC8B935" w14:textId="77777777" w:rsidR="00832F98" w:rsidRPr="005107DF" w:rsidRDefault="00832F98" w:rsidP="00D0198E">
      <w:pPr>
        <w:spacing w:after="0" w:line="240" w:lineRule="auto"/>
        <w:rPr>
          <w:rFonts w:ascii="Times New Roman" w:eastAsia="Times New Roman" w:hAnsi="Times New Roman" w:cs="Times New Roman"/>
          <w:b/>
          <w:sz w:val="24"/>
          <w:szCs w:val="24"/>
        </w:rPr>
      </w:pPr>
    </w:p>
    <w:p w14:paraId="2175F41B" w14:textId="77777777" w:rsidR="00832F98" w:rsidRPr="005107DF" w:rsidRDefault="00832F98" w:rsidP="00D0198E">
      <w:pPr>
        <w:spacing w:after="240" w:line="240" w:lineRule="auto"/>
        <w:rPr>
          <w:rFonts w:ascii="Times New Roman" w:eastAsia="Times New Roman" w:hAnsi="Times New Roman" w:cs="Times New Roman"/>
          <w:b/>
          <w:sz w:val="24"/>
          <w:szCs w:val="24"/>
        </w:rPr>
      </w:pPr>
      <w:r>
        <w:rPr>
          <w:rFonts w:ascii="Times New Roman" w:hAnsi="Times New Roman"/>
          <w:b/>
          <w:sz w:val="24"/>
        </w:rPr>
        <w:t>1</w:t>
      </w:r>
      <w:r>
        <w:tab/>
      </w:r>
      <w:r>
        <w:rPr>
          <w:rFonts w:ascii="Times New Roman" w:hAnsi="Times New Roman"/>
          <w:b/>
          <w:sz w:val="24"/>
        </w:rPr>
        <w:t>Informations relatives au contrat de jumelage</w:t>
      </w:r>
    </w:p>
    <w:p w14:paraId="45227F15" w14:textId="77777777" w:rsidR="00832F98" w:rsidRPr="005107DF" w:rsidRDefault="00832F98" w:rsidP="00D0198E">
      <w:pPr>
        <w:spacing w:after="240" w:line="240" w:lineRule="auto"/>
        <w:rPr>
          <w:rFonts w:ascii="Times New Roman" w:eastAsia="Times New Roman" w:hAnsi="Times New Roman" w:cs="Times New Roman"/>
          <w:b/>
          <w:sz w:val="24"/>
          <w:szCs w:val="24"/>
        </w:rPr>
      </w:pPr>
      <w:r>
        <w:rPr>
          <w:rFonts w:ascii="Times New Roman" w:hAnsi="Times New Roman"/>
          <w:b/>
          <w:sz w:val="24"/>
        </w:rPr>
        <w:t>2</w:t>
      </w:r>
      <w:r>
        <w:tab/>
      </w:r>
      <w:r>
        <w:rPr>
          <w:rFonts w:ascii="Times New Roman" w:hAnsi="Times New Roman"/>
          <w:b/>
          <w:sz w:val="24"/>
        </w:rPr>
        <w:t>Procédures exécutées et observations factuelles</w:t>
      </w:r>
    </w:p>
    <w:p w14:paraId="57722936" w14:textId="77777777" w:rsidR="00832F98" w:rsidRPr="005107DF" w:rsidRDefault="00832F98" w:rsidP="00D0198E">
      <w:pPr>
        <w:spacing w:after="240" w:line="240" w:lineRule="auto"/>
        <w:rPr>
          <w:rFonts w:ascii="Times New Roman" w:eastAsia="Times New Roman" w:hAnsi="Times New Roman" w:cs="Times New Roman"/>
          <w:b/>
          <w:sz w:val="24"/>
          <w:szCs w:val="24"/>
        </w:rPr>
      </w:pPr>
      <w:r>
        <w:rPr>
          <w:rFonts w:ascii="Times New Roman" w:hAnsi="Times New Roman"/>
          <w:b/>
          <w:sz w:val="24"/>
        </w:rPr>
        <w:t>Annexe 1</w:t>
      </w:r>
      <w:r>
        <w:tab/>
      </w:r>
      <w:r>
        <w:rPr>
          <w:rFonts w:ascii="Times New Roman" w:hAnsi="Times New Roman"/>
          <w:b/>
          <w:sz w:val="24"/>
        </w:rPr>
        <w:t>Rapport financier relatif au contrat de subvention de jumelage</w:t>
      </w:r>
    </w:p>
    <w:p w14:paraId="51A3DBA0" w14:textId="77777777" w:rsidR="00832F98" w:rsidRPr="005107DF" w:rsidRDefault="00832F98" w:rsidP="00D0198E">
      <w:pPr>
        <w:spacing w:after="240" w:line="240" w:lineRule="auto"/>
        <w:rPr>
          <w:rFonts w:ascii="Times New Roman" w:eastAsia="Times New Roman" w:hAnsi="Times New Roman" w:cs="Times New Roman"/>
          <w:b/>
          <w:sz w:val="24"/>
          <w:szCs w:val="24"/>
        </w:rPr>
      </w:pPr>
      <w:r>
        <w:rPr>
          <w:rFonts w:ascii="Times New Roman" w:hAnsi="Times New Roman"/>
          <w:b/>
          <w:sz w:val="24"/>
        </w:rPr>
        <w:t>Annexe 2</w:t>
      </w:r>
      <w:r>
        <w:tab/>
      </w:r>
      <w:r>
        <w:rPr>
          <w:rFonts w:ascii="Times New Roman" w:hAnsi="Times New Roman"/>
          <w:b/>
          <w:sz w:val="24"/>
        </w:rPr>
        <w:t>Termes de référence pour une vérification des dépenses</w:t>
      </w:r>
    </w:p>
    <w:p w14:paraId="162D6F41" w14:textId="77777777" w:rsidR="00832F98" w:rsidRPr="005107DF" w:rsidRDefault="00832F98" w:rsidP="00D0198E">
      <w:pPr>
        <w:spacing w:after="0" w:line="240" w:lineRule="auto"/>
        <w:jc w:val="center"/>
        <w:rPr>
          <w:rFonts w:ascii="Times New Roman" w:eastAsia="Times New Roman" w:hAnsi="Times New Roman" w:cs="Times New Roman"/>
          <w:b/>
          <w:sz w:val="28"/>
          <w:szCs w:val="28"/>
          <w:u w:val="single"/>
        </w:rPr>
      </w:pPr>
      <w:bookmarkStart w:id="1110" w:name="_Toc191455095"/>
      <w:bookmarkStart w:id="1111" w:name="_Toc211936982"/>
    </w:p>
    <w:p w14:paraId="6811DA31" w14:textId="77777777" w:rsidR="00832F98" w:rsidRPr="005107DF" w:rsidRDefault="00832F98" w:rsidP="00D0198E">
      <w:pPr>
        <w:spacing w:after="0" w:line="240" w:lineRule="auto"/>
        <w:jc w:val="center"/>
        <w:rPr>
          <w:rFonts w:ascii="Times New Roman" w:eastAsia="Times New Roman" w:hAnsi="Times New Roman" w:cs="Times New Roman"/>
          <w:b/>
          <w:sz w:val="28"/>
          <w:szCs w:val="28"/>
          <w:u w:val="single"/>
        </w:rPr>
      </w:pPr>
      <w:r>
        <w:rPr>
          <w:rFonts w:ascii="Times New Roman" w:hAnsi="Times New Roman"/>
          <w:b/>
          <w:sz w:val="28"/>
          <w:u w:val="single"/>
        </w:rPr>
        <w:t>Rapport d’observations factuelles</w:t>
      </w:r>
      <w:bookmarkEnd w:id="1110"/>
      <w:bookmarkEnd w:id="1111"/>
    </w:p>
    <w:p w14:paraId="0FEC71E1" w14:textId="77777777" w:rsidR="00832F98" w:rsidRPr="005107DF" w:rsidRDefault="00832F98" w:rsidP="00D0198E">
      <w:pPr>
        <w:spacing w:after="0" w:line="240" w:lineRule="auto"/>
        <w:rPr>
          <w:rFonts w:ascii="Times New Roman" w:eastAsia="Times New Roman" w:hAnsi="Times New Roman" w:cs="Times New Roman"/>
        </w:rPr>
      </w:pPr>
    </w:p>
    <w:p w14:paraId="7CD983AD" w14:textId="77777777" w:rsidR="00832F98" w:rsidRPr="005107DF" w:rsidRDefault="00832F98" w:rsidP="00D0198E">
      <w:pPr>
        <w:spacing w:after="0" w:line="290" w:lineRule="atLeast"/>
        <w:rPr>
          <w:rFonts w:ascii="Times New Roman" w:eastAsia="Times New Roman" w:hAnsi="Times New Roman" w:cs="Times New Roman"/>
        </w:rPr>
      </w:pPr>
      <w:r>
        <w:rPr>
          <w:rFonts w:ascii="Times New Roman" w:hAnsi="Times New Roman"/>
        </w:rPr>
        <w:t>&lt;</w:t>
      </w:r>
      <w:r>
        <w:rPr>
          <w:rFonts w:ascii="Times New Roman" w:hAnsi="Times New Roman"/>
          <w:i/>
        </w:rPr>
        <w:t>Nom de la ou des personnes de contact&gt;</w:t>
      </w:r>
      <w:r>
        <w:rPr>
          <w:rFonts w:ascii="Times New Roman" w:hAnsi="Times New Roman"/>
        </w:rPr>
        <w:t xml:space="preserve">, </w:t>
      </w:r>
      <w:bookmarkStart w:id="1112" w:name="a29Address"/>
      <w:r>
        <w:rPr>
          <w:rFonts w:ascii="Times New Roman" w:hAnsi="Times New Roman"/>
        </w:rPr>
        <w:t>&lt;</w:t>
      </w:r>
      <w:r>
        <w:rPr>
          <w:rFonts w:ascii="Times New Roman" w:hAnsi="Times New Roman"/>
          <w:i/>
        </w:rPr>
        <w:t>fonction</w:t>
      </w:r>
      <w:r>
        <w:rPr>
          <w:rFonts w:ascii="Times New Roman" w:hAnsi="Times New Roman"/>
        </w:rPr>
        <w:t>&gt;</w:t>
      </w:r>
    </w:p>
    <w:p w14:paraId="3F9D73DE" w14:textId="77777777" w:rsidR="00832F98" w:rsidRPr="005107DF" w:rsidRDefault="00832F98" w:rsidP="00D0198E">
      <w:pPr>
        <w:spacing w:after="0" w:line="290" w:lineRule="atLeast"/>
        <w:rPr>
          <w:rFonts w:ascii="Times New Roman" w:eastAsia="Times New Roman" w:hAnsi="Times New Roman" w:cs="Times New Roman"/>
          <w:b/>
        </w:rPr>
      </w:pPr>
      <w:r>
        <w:rPr>
          <w:rFonts w:ascii="Times New Roman" w:hAnsi="Times New Roman"/>
        </w:rPr>
        <w:t>&lt;</w:t>
      </w:r>
      <w:r>
        <w:rPr>
          <w:rFonts w:ascii="Times New Roman" w:hAnsi="Times New Roman"/>
          <w:b/>
        </w:rPr>
        <w:t xml:space="preserve"> </w:t>
      </w:r>
      <w:r>
        <w:rPr>
          <w:rFonts w:ascii="Times New Roman" w:hAnsi="Times New Roman"/>
          <w:b/>
          <w:i/>
        </w:rPr>
        <w:t>Nom du coordinateur</w:t>
      </w:r>
      <w:r>
        <w:rPr>
          <w:rFonts w:ascii="Times New Roman" w:hAnsi="Times New Roman"/>
          <w:i/>
        </w:rPr>
        <w:t>&gt;</w:t>
      </w:r>
    </w:p>
    <w:p w14:paraId="1672D468" w14:textId="77777777" w:rsidR="00832F98" w:rsidRPr="005107DF" w:rsidRDefault="00832F98" w:rsidP="00D0198E">
      <w:pPr>
        <w:spacing w:after="0" w:line="290" w:lineRule="atLeast"/>
        <w:rPr>
          <w:rFonts w:ascii="Times New Roman" w:eastAsia="Times New Roman" w:hAnsi="Times New Roman" w:cs="Times New Roman"/>
        </w:rPr>
      </w:pPr>
      <w:r>
        <w:rPr>
          <w:rFonts w:ascii="Times New Roman" w:hAnsi="Times New Roman"/>
        </w:rPr>
        <w:t>&lt;</w:t>
      </w:r>
      <w:r>
        <w:rPr>
          <w:rFonts w:ascii="Times New Roman" w:hAnsi="Times New Roman"/>
          <w:i/>
        </w:rPr>
        <w:t>Adresse</w:t>
      </w:r>
      <w:r>
        <w:rPr>
          <w:rFonts w:ascii="Times New Roman" w:hAnsi="Times New Roman"/>
        </w:rPr>
        <w:t>&gt;</w:t>
      </w:r>
      <w:bookmarkEnd w:id="1112"/>
    </w:p>
    <w:p w14:paraId="4E4B5B91" w14:textId="77777777" w:rsidR="00832F98" w:rsidRPr="005107DF" w:rsidRDefault="00832F98" w:rsidP="00D0198E">
      <w:pPr>
        <w:spacing w:after="0" w:line="290" w:lineRule="atLeast"/>
        <w:rPr>
          <w:rFonts w:ascii="Times New Roman" w:eastAsia="Times New Roman" w:hAnsi="Times New Roman" w:cs="Times New Roman"/>
        </w:rPr>
      </w:pPr>
    </w:p>
    <w:p w14:paraId="3C04B5F3" w14:textId="77777777" w:rsidR="00832F98" w:rsidRPr="005107DF" w:rsidRDefault="00832F98" w:rsidP="00D0198E">
      <w:pPr>
        <w:spacing w:after="0" w:line="290" w:lineRule="atLeast"/>
        <w:rPr>
          <w:rFonts w:ascii="Times New Roman" w:eastAsia="Times New Roman" w:hAnsi="Times New Roman" w:cs="Times New Roman"/>
        </w:rPr>
      </w:pPr>
      <w:bookmarkStart w:id="1113" w:name="a13Date"/>
      <w:r>
        <w:rPr>
          <w:rFonts w:ascii="Times New Roman" w:hAnsi="Times New Roman"/>
        </w:rPr>
        <w:t>&lt;jj mois</w:t>
      </w:r>
      <w:bookmarkEnd w:id="1113"/>
      <w:r>
        <w:rPr>
          <w:rFonts w:ascii="Times New Roman" w:hAnsi="Times New Roman"/>
        </w:rPr>
        <w:t xml:space="preserve"> aaaa</w:t>
      </w:r>
      <w:r>
        <w:rPr>
          <w:rFonts w:ascii="Times New Roman" w:hAnsi="Times New Roman"/>
          <w:i/>
        </w:rPr>
        <w:t>&gt;</w:t>
      </w:r>
    </w:p>
    <w:p w14:paraId="1BC4F0D0" w14:textId="77777777" w:rsidR="00832F98" w:rsidRPr="005107DF" w:rsidRDefault="00832F98" w:rsidP="00D0198E">
      <w:pPr>
        <w:spacing w:before="120" w:after="120" w:line="290" w:lineRule="atLeast"/>
        <w:rPr>
          <w:rFonts w:ascii="Times New Roman" w:eastAsia="Times New Roman" w:hAnsi="Times New Roman" w:cs="Times New Roman"/>
        </w:rPr>
      </w:pPr>
      <w:bookmarkStart w:id="1114" w:name="a31Salutation"/>
      <w:r>
        <w:rPr>
          <w:rFonts w:ascii="Times New Roman" w:hAnsi="Times New Roman"/>
        </w:rPr>
        <w:t>Cher &lt;</w:t>
      </w:r>
      <w:r>
        <w:rPr>
          <w:rFonts w:ascii="Times New Roman" w:hAnsi="Times New Roman"/>
          <w:i/>
        </w:rPr>
        <w:t>Nom de la ou des personnes de contact</w:t>
      </w:r>
      <w:r>
        <w:rPr>
          <w:rFonts w:ascii="Times New Roman" w:hAnsi="Times New Roman"/>
        </w:rPr>
        <w:t>&gt;</w:t>
      </w:r>
      <w:bookmarkEnd w:id="1114"/>
    </w:p>
    <w:p w14:paraId="6D57249D" w14:textId="77777777" w:rsidR="00832F98" w:rsidRPr="005107DF" w:rsidRDefault="00832F98" w:rsidP="007338F0">
      <w:pPr>
        <w:jc w:val="both"/>
        <w:rPr>
          <w:rFonts w:ascii="Times New Roman" w:hAnsi="Times New Roman" w:cs="Times New Roman"/>
          <w:i/>
        </w:rPr>
      </w:pPr>
      <w:r>
        <w:rPr>
          <w:rFonts w:ascii="Times New Roman" w:hAnsi="Times New Roman"/>
        </w:rPr>
        <w:t>Conformément aux termes de référence datés du &lt;</w:t>
      </w:r>
      <w:r>
        <w:rPr>
          <w:rFonts w:ascii="Times New Roman" w:hAnsi="Times New Roman"/>
          <w:i/>
        </w:rPr>
        <w:t>jj mois aaaa</w:t>
      </w:r>
      <w:r>
        <w:rPr>
          <w:rFonts w:ascii="Times New Roman" w:hAnsi="Times New Roman"/>
        </w:rPr>
        <w:t>&gt; que vous avez convenus avec nous, nous vous transmettons notre rapport d’observations factuelles (le «rapport») relatif au rapport financier annexé pour la période du &lt;</w:t>
      </w:r>
      <w:r>
        <w:rPr>
          <w:rFonts w:ascii="Times New Roman" w:hAnsi="Times New Roman"/>
          <w:i/>
        </w:rPr>
        <w:t>jj mois aaaa au jj mois aaaa&gt;</w:t>
      </w:r>
      <w:r>
        <w:rPr>
          <w:rFonts w:ascii="Times New Roman" w:hAnsi="Times New Roman"/>
        </w:rPr>
        <w:t xml:space="preserve"> (annexe 1 du présent rapport). Vous avez demandé l’exécution de certaines procédures en relation avec votre rapport financier et le contrat de subvention de jumelage financé par l’Union européenne concernant &lt;</w:t>
      </w:r>
      <w:r>
        <w:rPr>
          <w:rFonts w:ascii="Times New Roman" w:hAnsi="Times New Roman"/>
          <w:i/>
        </w:rPr>
        <w:t>intitulé et numéro du contrat</w:t>
      </w:r>
      <w:r>
        <w:rPr>
          <w:rFonts w:ascii="Times New Roman" w:hAnsi="Times New Roman"/>
        </w:rPr>
        <w:t>&gt;, le «contrat de jumelage».</w:t>
      </w:r>
    </w:p>
    <w:p w14:paraId="43249F0F" w14:textId="77777777" w:rsidR="00832F98" w:rsidRPr="005107DF" w:rsidRDefault="00832F98"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rPr>
      </w:pPr>
      <w:r>
        <w:rPr>
          <w:rFonts w:ascii="Times New Roman" w:hAnsi="Times New Roman"/>
          <w:b/>
        </w:rPr>
        <w:t>Objectif</w:t>
      </w:r>
    </w:p>
    <w:p w14:paraId="6EF6DE62"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Notre mandat portait sur une vérification des dépenses consistant à exécuter certaines procédures convenues en ce qui concerne le rapport financier relatif au contrat de subvention de jumelage passé</w:t>
      </w:r>
      <w:r>
        <w:rPr>
          <w:rFonts w:ascii="Times New Roman" w:hAnsi="Times New Roman"/>
          <w:color w:val="000000"/>
          <w:sz w:val="24"/>
        </w:rPr>
        <w:t xml:space="preserve"> </w:t>
      </w:r>
      <w:r>
        <w:rPr>
          <w:rFonts w:ascii="Times New Roman" w:hAnsi="Times New Roman"/>
        </w:rPr>
        <w:t>entre vous et&lt;</w:t>
      </w:r>
      <w:r>
        <w:rPr>
          <w:rFonts w:ascii="Times New Roman" w:hAnsi="Times New Roman"/>
          <w:i/>
        </w:rPr>
        <w:t xml:space="preserve">la Commission européenne ou nom d’une autre administration contractante&gt;, </w:t>
      </w:r>
      <w:r>
        <w:rPr>
          <w:rFonts w:ascii="Times New Roman" w:hAnsi="Times New Roman"/>
        </w:rPr>
        <w:t xml:space="preserve">l’«administration contractante». Notre objectif, dans le cadre de cette vérification des dépenses, était </w:t>
      </w:r>
      <w:r>
        <w:rPr>
          <w:rFonts w:ascii="Times New Roman" w:hAnsi="Times New Roman"/>
        </w:rPr>
        <w:lastRenderedPageBreak/>
        <w:t xml:space="preserve">de mettre en œuvre certaines procédures que nous avions approuvées et de vous soumettre un rapport d’observations factuelles en relation avec les procédures exécutées. </w:t>
      </w:r>
    </w:p>
    <w:p w14:paraId="0FBE50F0" w14:textId="77777777" w:rsidR="00832F98" w:rsidRPr="005107DF" w:rsidRDefault="00832F98"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rPr>
      </w:pPr>
      <w:r>
        <w:rPr>
          <w:rFonts w:ascii="Times New Roman" w:hAnsi="Times New Roman"/>
          <w:b/>
        </w:rPr>
        <w:t>Normes et éthique</w:t>
      </w:r>
    </w:p>
    <w:p w14:paraId="1333BA11" w14:textId="77777777" w:rsidR="00832F98" w:rsidRPr="005107DF" w:rsidRDefault="00832F98" w:rsidP="00D0198E">
      <w:pPr>
        <w:spacing w:before="120" w:after="120" w:line="240" w:lineRule="auto"/>
        <w:rPr>
          <w:rFonts w:ascii="Times New Roman" w:eastAsia="Times New Roman" w:hAnsi="Times New Roman" w:cs="Times New Roman"/>
        </w:rPr>
      </w:pPr>
      <w:r>
        <w:rPr>
          <w:rFonts w:ascii="Times New Roman" w:hAnsi="Times New Roman"/>
        </w:rPr>
        <w:t>Nous avons exécuté notre mandat:</w:t>
      </w:r>
    </w:p>
    <w:p w14:paraId="4275DE77"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t>-</w:t>
      </w:r>
      <w:r>
        <w:tab/>
      </w:r>
      <w:r>
        <w:rPr>
          <w:rFonts w:ascii="Times New Roman" w:hAnsi="Times New Roman"/>
        </w:rPr>
        <w:t xml:space="preserve">dans le respect de la norme International Standard on Related Services («ISRS») 4400 </w:t>
      </w:r>
      <w:r>
        <w:rPr>
          <w:rFonts w:ascii="Times New Roman" w:hAnsi="Times New Roman"/>
          <w:i/>
        </w:rPr>
        <w:t>Engagements to perform Agreed-upon Procedures regarding Financial Information</w:t>
      </w:r>
      <w:r>
        <w:rPr>
          <w:rFonts w:ascii="Times New Roman" w:hAnsi="Times New Roman"/>
        </w:rPr>
        <w:t xml:space="preserve"> [missions d’exécution de procédures convenues en matière d’information financière], publiée par l’International Federation of Accountants («IFAC»);  </w:t>
      </w:r>
    </w:p>
    <w:p w14:paraId="3EE44F3A"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i/>
        </w:rPr>
      </w:pPr>
      <w:r>
        <w:rPr>
          <w:rFonts w:ascii="Times New Roman" w:hAnsi="Times New Roman"/>
        </w:rPr>
        <w:t>-</w:t>
      </w:r>
      <w:r>
        <w:tab/>
      </w:r>
      <w:r>
        <w:rPr>
          <w:rFonts w:ascii="Times New Roman" w:hAnsi="Times New Roman"/>
        </w:rPr>
        <w:t xml:space="preserve">dans le respect du </w:t>
      </w:r>
      <w:r>
        <w:rPr>
          <w:rFonts w:ascii="Times New Roman" w:hAnsi="Times New Roman"/>
          <w:i/>
        </w:rPr>
        <w:t>Code of Ethics for Professional Accountants</w:t>
      </w:r>
      <w:r>
        <w:rPr>
          <w:rFonts w:ascii="Times New Roman" w:hAnsi="Times New Roman"/>
        </w:rPr>
        <w:t xml:space="preserve"> [code d’éthique pour comptables professionnels], publié par l’IFAC. Bien que l’ISRS 4400 ne prévoie pas l’indépendance comme critère pour les missions convenues, l’administration contractante impose à l’auditeur l’obligation de se conformer aussi aux exigences d’indépendance du </w:t>
      </w:r>
      <w:r>
        <w:rPr>
          <w:rFonts w:ascii="Times New Roman" w:hAnsi="Times New Roman"/>
          <w:i/>
        </w:rPr>
        <w:t>code d’éthique pour comptables professionnels</w:t>
      </w:r>
      <w:r>
        <w:rPr>
          <w:rFonts w:ascii="Times New Roman" w:hAnsi="Times New Roman"/>
        </w:rPr>
        <w:t>.</w:t>
      </w:r>
    </w:p>
    <w:p w14:paraId="57C02F4C"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szCs w:val="20"/>
        </w:rPr>
      </w:pPr>
      <w:r>
        <w:rPr>
          <w:rFonts w:ascii="Times New Roman" w:hAnsi="Times New Roman"/>
          <w:b/>
        </w:rPr>
        <w:t>Procédures exécutées</w:t>
      </w:r>
    </w:p>
    <w:p w14:paraId="02E35E8A"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 xml:space="preserve">Comme demandé, nous n’avons exécuté que les procédures énumérées à l’annexe 2A des termes de référence du mandat (voir annexe 2 du présent rapport). </w:t>
      </w:r>
    </w:p>
    <w:p w14:paraId="67AE8522"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Ces procédures ont été établies uniquement par l’administration contractante et exécutées dans le seul but d’aider celle-ci à déterminer si les dépenses que vous avez déclarées dans le rapport financier sont éligibles, conformément aux conditions du contrat de subvention de jumelage.</w:t>
      </w:r>
    </w:p>
    <w:p w14:paraId="2D36619E"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Étant donné que les procédures exécutées par nos soins ne constituaient ni un audit ni un examen effectué conformément aux normes internationales d’audit ou applicables aux missions d’examen, nous ne fournissons aucune assurance concernant le rapport financier ci-annexé.</w:t>
      </w:r>
    </w:p>
    <w:p w14:paraId="1A4BA2F9"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Si nous avions exécuté d’autres procédures, un contrôle des comptes ou un examen des états financiers du ou des États membres partenaires en application des normes internationales d’audit, il n’est pas exclu que d’autres points auraient attiré notre attention et vous auraient été communiqués.</w:t>
      </w:r>
    </w:p>
    <w:p w14:paraId="62B7E340" w14:textId="77777777" w:rsidR="00832F98" w:rsidRPr="005107DF" w:rsidRDefault="00832F98"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rPr>
      </w:pPr>
      <w:r>
        <w:rPr>
          <w:rFonts w:ascii="Times New Roman" w:hAnsi="Times New Roman"/>
          <w:b/>
        </w:rPr>
        <w:t>Sources d’information</w:t>
      </w:r>
    </w:p>
    <w:p w14:paraId="43960250"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i/>
        </w:rPr>
      </w:pPr>
      <w:r>
        <w:rPr>
          <w:rFonts w:ascii="Times New Roman" w:hAnsi="Times New Roman"/>
        </w:rPr>
        <w:t>Le rapport présente les informations que vous nous avez fournies en réponse à des questions spécifiques ou que nous avons obtenues et déduites de vos comptes et relevés.</w:t>
      </w:r>
    </w:p>
    <w:p w14:paraId="6CE39EC3" w14:textId="77777777" w:rsidR="00832F98" w:rsidRPr="005107DF" w:rsidRDefault="00832F98"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rPr>
      </w:pPr>
      <w:r>
        <w:rPr>
          <w:rFonts w:ascii="Times New Roman" w:hAnsi="Times New Roman"/>
          <w:b/>
        </w:rPr>
        <w:t>Observations factuelles</w:t>
      </w:r>
    </w:p>
    <w:p w14:paraId="734E87A9"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Les dépenses qui font l’objet du présent contrôle s’élèvent à un total de &lt;xxxxxx&gt; EUR.</w:t>
      </w:r>
    </w:p>
    <w:p w14:paraId="26B76318"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Le ratio de couverture des dépenses est de &lt;xx %&gt;. Ce ratio représente le montant total des dépenses contrôlées par nos soins, exprimé en pourcentage du total des dépenses soumises au présent contrôle. Ce dernier montant est égal au total des dépenses que vous avez déclarées dans le rapport financier et que vous souhaitez déduire du préfinancement total perçu au titre du contrat de subvention de jumelage, conformément à votre demande de paiement datée du &lt;jj mois aaaa&gt;.</w:t>
      </w:r>
    </w:p>
    <w:p w14:paraId="64615D91"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 xml:space="preserve">Nous détaillons les observations factuelles qui résultent des procédures que nous avons exécutées au chapitre 2 du présent rapport. </w:t>
      </w:r>
    </w:p>
    <w:p w14:paraId="064F7951" w14:textId="77777777" w:rsidR="00832F98" w:rsidRPr="005107DF" w:rsidRDefault="00832F98"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rPr>
      </w:pPr>
      <w:r>
        <w:rPr>
          <w:rFonts w:ascii="Times New Roman" w:hAnsi="Times New Roman"/>
          <w:b/>
        </w:rPr>
        <w:t>Utilisation du présent rapport</w:t>
      </w:r>
    </w:p>
    <w:p w14:paraId="31EDD2A5"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 xml:space="preserve">Le présent rapport n’a d’autre finalité que celle formulée dans le paragraphe «objectif» ci-dessus. </w:t>
      </w:r>
    </w:p>
    <w:p w14:paraId="0BB6E2F4"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Il est destiné à votre usage confidentiel exclusif et a été établi dans le seul but que vous le soumettiez à l’administration contractante au titre des exigences définies à l’article 15 des conditions générales du </w:t>
      </w:r>
      <w:r>
        <w:rPr>
          <w:rFonts w:ascii="Times New Roman" w:hAnsi="Times New Roman"/>
        </w:rPr>
        <w:lastRenderedPageBreak/>
        <w:t xml:space="preserve">contrat de subvention de jumelage. Ce rapport ne peut être utilisé à d’autres fins que celles prévues ni communiqué à d’autres parties. </w:t>
      </w:r>
    </w:p>
    <w:p w14:paraId="022D6A69"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L’administration contractante n’est pas partie à l’accord (les termes de référence) conclu entre vous et nous et, par conséquent, nous n’avons pas de devoir de diligence à l’égard de l’administration contractante qui peut s’appuyer sur le présent rapport de vérification des dépenses à ses risques et à sa discrétion. L’administration contractante peut vérifier par elle-même les procédures et observations que nous avons notifiées et tirer ses propres conclusions des observations factuelles que nous avons rapportées.</w:t>
      </w:r>
    </w:p>
    <w:p w14:paraId="2357E15D"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L’administration contractante ne peut transmettre le présent rapport qu’aux parties dûment habilitées à en prendre connaissance, en particulier la Commission européenne [</w:t>
      </w:r>
      <w:r>
        <w:rPr>
          <w:rFonts w:ascii="Times New Roman" w:hAnsi="Times New Roman"/>
          <w:i/>
        </w:rPr>
        <w:t>mention à biffer si la Commission est l’administration contractante</w:t>
      </w:r>
      <w:r>
        <w:rPr>
          <w:rFonts w:ascii="Times New Roman" w:hAnsi="Times New Roman"/>
        </w:rPr>
        <w:t>], l’Office européen de lutte antifraude et la Cour des comptes européenne.</w:t>
      </w:r>
    </w:p>
    <w:p w14:paraId="7D6D6E7F"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Le présent rapport concerne exclusivement le rapport financier visé ci-dessus et ne s’étend à aucun de vos états financiers.</w:t>
      </w:r>
    </w:p>
    <w:p w14:paraId="6A34FA71"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Dans l’attente de pouvoir vous présenter notre rapport, nous nous tenons à votre disposition pour vous fournir toute information ou assistance complémentaire que vous souhaiteriez obtenir.</w:t>
      </w:r>
    </w:p>
    <w:p w14:paraId="0D78A815" w14:textId="77777777" w:rsidR="00832F98" w:rsidRPr="005107DF" w:rsidRDefault="00832F98" w:rsidP="00D0198E">
      <w:pPr>
        <w:spacing w:before="120" w:after="120" w:line="290" w:lineRule="atLeast"/>
        <w:rPr>
          <w:rFonts w:ascii="Times New Roman" w:eastAsia="Times New Roman" w:hAnsi="Times New Roman" w:cs="Times New Roman"/>
        </w:rPr>
      </w:pPr>
      <w:bookmarkStart w:id="1115" w:name="Closing"/>
      <w:r>
        <w:rPr>
          <w:rFonts w:ascii="Times New Roman" w:hAnsi="Times New Roman"/>
        </w:rPr>
        <w:t>Veuillez agréer, &lt;nom de la ou des personnes de contact&gt;, l’expression de nos sincères salutations.</w:t>
      </w:r>
    </w:p>
    <w:p w14:paraId="68D4D7BD" w14:textId="77777777" w:rsidR="00832F98" w:rsidRPr="005107DF" w:rsidRDefault="00832F98" w:rsidP="00D0198E">
      <w:pPr>
        <w:spacing w:before="120" w:after="120" w:line="290" w:lineRule="atLeast"/>
        <w:rPr>
          <w:rFonts w:ascii="Times New Roman" w:eastAsia="Times New Roman" w:hAnsi="Times New Roman" w:cs="Times New Roman"/>
        </w:rPr>
      </w:pPr>
    </w:p>
    <w:bookmarkEnd w:id="1115"/>
    <w:p w14:paraId="48654AA5" w14:textId="77777777" w:rsidR="00832F98" w:rsidRPr="005107DF" w:rsidRDefault="00832F98" w:rsidP="00D0198E">
      <w:pPr>
        <w:spacing w:after="240" w:line="240" w:lineRule="auto"/>
        <w:jc w:val="both"/>
        <w:rPr>
          <w:rFonts w:ascii="Times New Roman" w:eastAsia="Times New Roman" w:hAnsi="Times New Roman" w:cs="Times New Roman"/>
          <w:i/>
          <w:szCs w:val="20"/>
        </w:rPr>
      </w:pPr>
      <w:r>
        <w:rPr>
          <w:rFonts w:ascii="Times New Roman" w:hAnsi="Times New Roman"/>
        </w:rPr>
        <w:t xml:space="preserve">Signature de l’auditeur </w:t>
      </w:r>
      <w:r>
        <w:rPr>
          <w:rFonts w:ascii="Times New Roman" w:hAnsi="Times New Roman"/>
          <w:i/>
        </w:rPr>
        <w:t>[personne, entreprise, ou les deux si approprié, en accord avec les procédures de l’entreprise concernée</w:t>
      </w:r>
      <w:r>
        <w:rPr>
          <w:rFonts w:ascii="Times New Roman" w:hAnsi="Times New Roman"/>
        </w:rPr>
        <w:t>]</w:t>
      </w:r>
    </w:p>
    <w:p w14:paraId="70ED85BD" w14:textId="77777777" w:rsidR="00832F98" w:rsidRPr="005107DF" w:rsidRDefault="00832F98" w:rsidP="00D0198E">
      <w:pPr>
        <w:spacing w:after="240" w:line="240" w:lineRule="auto"/>
        <w:jc w:val="both"/>
        <w:rPr>
          <w:rFonts w:ascii="Times New Roman" w:eastAsia="Times New Roman" w:hAnsi="Times New Roman" w:cs="Times New Roman"/>
          <w:szCs w:val="20"/>
        </w:rPr>
      </w:pPr>
      <w:r>
        <w:rPr>
          <w:rFonts w:ascii="Times New Roman" w:hAnsi="Times New Roman"/>
        </w:rPr>
        <w:t>Nom de l’auditeur signataire [</w:t>
      </w:r>
      <w:r>
        <w:rPr>
          <w:rFonts w:ascii="Times New Roman" w:hAnsi="Times New Roman"/>
          <w:i/>
        </w:rPr>
        <w:t>personne, entreprise, ou les deux si approprié</w:t>
      </w:r>
      <w:r>
        <w:rPr>
          <w:rFonts w:ascii="Times New Roman" w:hAnsi="Times New Roman"/>
        </w:rPr>
        <w:t>]</w:t>
      </w:r>
    </w:p>
    <w:p w14:paraId="63308FC8" w14:textId="77777777" w:rsidR="00832F98" w:rsidRPr="005107DF" w:rsidRDefault="00832F98" w:rsidP="00D0198E">
      <w:pPr>
        <w:spacing w:after="240" w:line="240" w:lineRule="auto"/>
        <w:jc w:val="both"/>
        <w:rPr>
          <w:rFonts w:ascii="Times New Roman" w:eastAsia="Times New Roman" w:hAnsi="Times New Roman" w:cs="Times New Roman"/>
          <w:i/>
          <w:szCs w:val="20"/>
        </w:rPr>
      </w:pPr>
      <w:r>
        <w:rPr>
          <w:rFonts w:ascii="Times New Roman" w:hAnsi="Times New Roman"/>
        </w:rPr>
        <w:t>Adresse de l’auditeur [</w:t>
      </w:r>
      <w:r>
        <w:rPr>
          <w:rFonts w:ascii="Times New Roman" w:hAnsi="Times New Roman"/>
          <w:i/>
        </w:rPr>
        <w:t>de la branche responsable de l’engagement</w:t>
      </w:r>
      <w:r>
        <w:rPr>
          <w:rFonts w:ascii="Times New Roman" w:hAnsi="Times New Roman"/>
        </w:rPr>
        <w:t>]</w:t>
      </w:r>
    </w:p>
    <w:p w14:paraId="5908C9B1" w14:textId="77777777" w:rsidR="00832F98" w:rsidRPr="005107DF" w:rsidRDefault="00832F98" w:rsidP="00D0198E">
      <w:pPr>
        <w:spacing w:after="240" w:line="240" w:lineRule="auto"/>
        <w:jc w:val="both"/>
        <w:rPr>
          <w:rFonts w:ascii="Times New Roman" w:eastAsia="Times New Roman" w:hAnsi="Times New Roman" w:cs="Times New Roman"/>
          <w:szCs w:val="20"/>
        </w:rPr>
      </w:pPr>
      <w:r>
        <w:rPr>
          <w:rFonts w:ascii="Times New Roman" w:hAnsi="Times New Roman"/>
        </w:rPr>
        <w:t>Date de signature &lt;</w:t>
      </w:r>
      <w:r>
        <w:rPr>
          <w:rFonts w:ascii="Times New Roman" w:hAnsi="Times New Roman"/>
          <w:i/>
        </w:rPr>
        <w:t>jj mois aaaa</w:t>
      </w:r>
      <w:r>
        <w:rPr>
          <w:rFonts w:ascii="Times New Roman" w:hAnsi="Times New Roman"/>
        </w:rPr>
        <w:t>&gt; [date de signature du rapport final]</w:t>
      </w:r>
    </w:p>
    <w:p w14:paraId="412E6391" w14:textId="77777777" w:rsidR="00832F98" w:rsidRPr="005107DF" w:rsidRDefault="00832F98" w:rsidP="00D0198E">
      <w:pPr>
        <w:spacing w:after="0" w:line="240" w:lineRule="auto"/>
        <w:rPr>
          <w:rFonts w:ascii="Times New Roman" w:eastAsia="Times New Roman" w:hAnsi="Times New Roman" w:cs="Times New Roman"/>
          <w:sz w:val="24"/>
          <w:szCs w:val="24"/>
        </w:rPr>
      </w:pPr>
    </w:p>
    <w:p w14:paraId="2BAE8A78" w14:textId="77777777" w:rsidR="00832F98" w:rsidRPr="005107DF" w:rsidRDefault="00832F98" w:rsidP="007338F0">
      <w:pPr>
        <w:rPr>
          <w:rFonts w:ascii="Times New Roman" w:hAnsi="Times New Roman" w:cs="Times New Roman"/>
          <w:b/>
          <w:smallCaps/>
          <w:sz w:val="32"/>
          <w:szCs w:val="32"/>
        </w:rPr>
      </w:pPr>
      <w:bookmarkStart w:id="1116" w:name="_Toc191455096"/>
      <w:bookmarkStart w:id="1117" w:name="_Toc211936983"/>
      <w:bookmarkStart w:id="1118" w:name="_Toc442374391"/>
      <w:bookmarkStart w:id="1119" w:name="_Toc442374881"/>
      <w:bookmarkStart w:id="1120" w:name="_Toc443320203"/>
      <w:bookmarkStart w:id="1121" w:name="_Toc464460050"/>
      <w:bookmarkStart w:id="1122" w:name="_Toc476063398"/>
      <w:bookmarkStart w:id="1123" w:name="_Toc476067880"/>
      <w:r>
        <w:rPr>
          <w:rFonts w:ascii="Times New Roman" w:hAnsi="Times New Roman"/>
          <w:b/>
          <w:smallCaps/>
          <w:sz w:val="32"/>
        </w:rPr>
        <w:t xml:space="preserve">1. Informations relatives au contrat de subvention de </w:t>
      </w:r>
      <w:bookmarkEnd w:id="1116"/>
      <w:bookmarkEnd w:id="1117"/>
      <w:bookmarkEnd w:id="1118"/>
      <w:bookmarkEnd w:id="1119"/>
      <w:bookmarkEnd w:id="1120"/>
      <w:bookmarkEnd w:id="1121"/>
      <w:r>
        <w:rPr>
          <w:rFonts w:ascii="Times New Roman" w:hAnsi="Times New Roman"/>
          <w:b/>
          <w:smallCaps/>
          <w:sz w:val="32"/>
        </w:rPr>
        <w:t>jumelage</w:t>
      </w:r>
      <w:bookmarkEnd w:id="1122"/>
      <w:bookmarkEnd w:id="1123"/>
      <w:r>
        <w:rPr>
          <w:rFonts w:ascii="Times New Roman" w:hAnsi="Times New Roman"/>
          <w:b/>
          <w:smallCaps/>
          <w:sz w:val="32"/>
        </w:rPr>
        <w:t xml:space="preserve"> </w:t>
      </w:r>
    </w:p>
    <w:p w14:paraId="6202DA6F" w14:textId="77777777" w:rsidR="00832F98" w:rsidRPr="005107DF" w:rsidRDefault="00832F98" w:rsidP="00D0198E">
      <w:pPr>
        <w:spacing w:before="120" w:after="120" w:line="240" w:lineRule="auto"/>
        <w:rPr>
          <w:rFonts w:ascii="Times New Roman" w:eastAsia="Times New Roman" w:hAnsi="Times New Roman" w:cs="Times New Roman"/>
          <w:sz w:val="18"/>
          <w:szCs w:val="18"/>
        </w:rPr>
      </w:pPr>
      <w:r>
        <w:rPr>
          <w:rFonts w:ascii="Times New Roman" w:hAnsi="Times New Roman"/>
          <w:sz w:val="18"/>
        </w:rPr>
        <w:t>[</w:t>
      </w:r>
      <w:r>
        <w:rPr>
          <w:rFonts w:ascii="Times New Roman" w:hAnsi="Times New Roman"/>
          <w:b/>
          <w:i/>
          <w:sz w:val="18"/>
        </w:rPr>
        <w:t>Le chapitre 1 devrait inclure une brève description du contrat de subvention de jumelage</w:t>
      </w:r>
      <w:r>
        <w:rPr>
          <w:rFonts w:ascii="Times New Roman" w:hAnsi="Times New Roman"/>
          <w:color w:val="000000"/>
          <w:sz w:val="24"/>
        </w:rPr>
        <w:t xml:space="preserve"> </w:t>
      </w:r>
      <w:r>
        <w:rPr>
          <w:rFonts w:ascii="Times New Roman" w:hAnsi="Times New Roman"/>
          <w:b/>
          <w:i/>
          <w:sz w:val="18"/>
        </w:rPr>
        <w:t xml:space="preserve">et de l’action, du coordinateur/du ou des États membres partenaires et des principales informations financières/budgétaires. (maximum 1 page)]  </w:t>
      </w:r>
      <w:r>
        <w:rPr>
          <w:rFonts w:ascii="Times New Roman" w:hAnsi="Times New Roman"/>
          <w:sz w:val="18"/>
        </w:rPr>
        <w:t xml:space="preserve"> </w:t>
      </w:r>
    </w:p>
    <w:p w14:paraId="2282C10C" w14:textId="77777777" w:rsidR="00832F98" w:rsidRPr="005107DF" w:rsidRDefault="00832F98" w:rsidP="00D0198E">
      <w:pPr>
        <w:spacing w:before="120" w:after="120" w:line="240" w:lineRule="auto"/>
        <w:rPr>
          <w:rFonts w:ascii="Times New Roman" w:eastAsia="Times New Roman" w:hAnsi="Times New Roman" w:cs="Times New Roman"/>
          <w:i/>
          <w:sz w:val="18"/>
          <w:szCs w:val="18"/>
        </w:rPr>
      </w:pPr>
    </w:p>
    <w:p w14:paraId="0D34B258" w14:textId="77777777" w:rsidR="00832F98" w:rsidRPr="005107DF" w:rsidRDefault="00832F98" w:rsidP="007338F0">
      <w:pPr>
        <w:rPr>
          <w:rFonts w:ascii="Times New Roman" w:hAnsi="Times New Roman" w:cs="Times New Roman"/>
          <w:b/>
          <w:smallCaps/>
          <w:sz w:val="32"/>
          <w:szCs w:val="32"/>
        </w:rPr>
      </w:pPr>
      <w:bookmarkStart w:id="1124" w:name="_Toc191455097"/>
      <w:bookmarkStart w:id="1125" w:name="_Toc211936984"/>
      <w:bookmarkStart w:id="1126" w:name="_Toc442374392"/>
      <w:bookmarkStart w:id="1127" w:name="_Toc442374882"/>
      <w:bookmarkStart w:id="1128" w:name="_Toc443320204"/>
      <w:bookmarkStart w:id="1129" w:name="_Toc464460051"/>
      <w:bookmarkStart w:id="1130" w:name="_Toc476063399"/>
      <w:bookmarkStart w:id="1131" w:name="_Toc476067881"/>
      <w:r>
        <w:rPr>
          <w:rFonts w:ascii="Times New Roman" w:hAnsi="Times New Roman"/>
          <w:b/>
          <w:smallCaps/>
          <w:sz w:val="32"/>
        </w:rPr>
        <w:t>2. Procédures exécutées et observations factuelles</w:t>
      </w:r>
      <w:bookmarkEnd w:id="1124"/>
      <w:bookmarkEnd w:id="1125"/>
      <w:bookmarkEnd w:id="1126"/>
      <w:bookmarkEnd w:id="1127"/>
      <w:bookmarkEnd w:id="1128"/>
      <w:bookmarkEnd w:id="1129"/>
      <w:bookmarkEnd w:id="1130"/>
      <w:bookmarkEnd w:id="1131"/>
    </w:p>
    <w:p w14:paraId="39AA8A4C"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 xml:space="preserve">Nous avons exécuté les procédures spécifiques suivantes énumérées à l’annexe 2A des termes de référence pour une vérification des dépenses dans le cadre d’un </w:t>
      </w:r>
      <w:r>
        <w:rPr>
          <w:rFonts w:ascii="Times New Roman" w:hAnsi="Times New Roman"/>
          <w:color w:val="000000"/>
        </w:rPr>
        <w:t>contrat de subvention de jumelage</w:t>
      </w:r>
      <w:r>
        <w:rPr>
          <w:rFonts w:ascii="Times New Roman" w:hAnsi="Times New Roman"/>
        </w:rPr>
        <w:t xml:space="preserve"> («TdR»):</w:t>
      </w:r>
    </w:p>
    <w:p w14:paraId="5E886584" w14:textId="77777777" w:rsidR="00832F98" w:rsidRPr="005107DF" w:rsidRDefault="00832F98" w:rsidP="00D0198E">
      <w:pPr>
        <w:spacing w:after="0" w:line="240" w:lineRule="auto"/>
        <w:ind w:left="720" w:hanging="360"/>
        <w:jc w:val="both"/>
        <w:rPr>
          <w:rFonts w:ascii="Times New Roman" w:eastAsia="Times New Roman" w:hAnsi="Times New Roman" w:cs="Times New Roman"/>
        </w:rPr>
      </w:pPr>
      <w:r>
        <w:rPr>
          <w:rFonts w:ascii="Times New Roman" w:hAnsi="Times New Roman"/>
        </w:rPr>
        <w:t>1</w:t>
      </w:r>
      <w:r>
        <w:tab/>
      </w:r>
      <w:r>
        <w:rPr>
          <w:rFonts w:ascii="Times New Roman" w:hAnsi="Times New Roman"/>
        </w:rPr>
        <w:t>Procédures générales</w:t>
      </w:r>
    </w:p>
    <w:p w14:paraId="31AB65FA" w14:textId="77777777" w:rsidR="00832F98" w:rsidRPr="005107DF" w:rsidRDefault="00832F98" w:rsidP="00D0198E">
      <w:pPr>
        <w:spacing w:before="120" w:after="120" w:line="240" w:lineRule="auto"/>
        <w:ind w:left="720" w:hanging="360"/>
        <w:rPr>
          <w:rFonts w:ascii="Times New Roman" w:eastAsia="Times New Roman" w:hAnsi="Times New Roman" w:cs="Times New Roman"/>
        </w:rPr>
      </w:pPr>
      <w:r>
        <w:rPr>
          <w:rFonts w:ascii="Times New Roman" w:hAnsi="Times New Roman"/>
        </w:rPr>
        <w:t>2</w:t>
      </w:r>
      <w:r>
        <w:tab/>
      </w:r>
      <w:r>
        <w:rPr>
          <w:rFonts w:ascii="Times New Roman" w:hAnsi="Times New Roman"/>
        </w:rPr>
        <w:t xml:space="preserve">Procédures de vérification de la conformité des dépenses avec le budget et </w:t>
      </w:r>
      <w:r>
        <w:tab/>
      </w:r>
      <w:r>
        <w:rPr>
          <w:rFonts w:ascii="Times New Roman" w:hAnsi="Times New Roman"/>
        </w:rPr>
        <w:t>contrôle analytique</w:t>
      </w:r>
    </w:p>
    <w:p w14:paraId="1773E650" w14:textId="77777777" w:rsidR="00832F98" w:rsidRPr="005107DF" w:rsidRDefault="00832F98" w:rsidP="00D0198E">
      <w:pPr>
        <w:spacing w:before="120" w:after="120" w:line="240" w:lineRule="auto"/>
        <w:ind w:left="720" w:hanging="360"/>
        <w:rPr>
          <w:rFonts w:ascii="Times New Roman" w:eastAsia="Times New Roman" w:hAnsi="Times New Roman" w:cs="Times New Roman"/>
        </w:rPr>
      </w:pPr>
      <w:r>
        <w:rPr>
          <w:rFonts w:ascii="Times New Roman" w:hAnsi="Times New Roman"/>
        </w:rPr>
        <w:t>3</w:t>
      </w:r>
      <w:r>
        <w:tab/>
      </w:r>
      <w:r>
        <w:rPr>
          <w:rFonts w:ascii="Times New Roman" w:hAnsi="Times New Roman"/>
        </w:rPr>
        <w:t>Procédures de vérification des dépenses sélectionnées</w:t>
      </w:r>
    </w:p>
    <w:p w14:paraId="54575145"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Nous avons appliqué les règles de sélection des dépenses ainsi que les principes et critères de couverture de la vérification, tels qu’ils sont établis à l’annexe 2B (sections 3 et 4) des TdR relatifs à la vérification des dépenses. </w:t>
      </w:r>
    </w:p>
    <w:p w14:paraId="34D5A579" w14:textId="77777777" w:rsidR="00832F98" w:rsidRPr="005107DF" w:rsidRDefault="00832F98" w:rsidP="00D0198E">
      <w:pPr>
        <w:spacing w:before="120" w:after="120" w:line="240" w:lineRule="auto"/>
        <w:jc w:val="both"/>
        <w:rPr>
          <w:rFonts w:ascii="Times New Roman" w:eastAsia="Times New Roman" w:hAnsi="Times New Roman" w:cs="Times New Roman"/>
          <w:i/>
          <w:iCs/>
        </w:rPr>
      </w:pPr>
      <w:r>
        <w:rPr>
          <w:rFonts w:ascii="Times New Roman" w:hAnsi="Times New Roman"/>
        </w:rPr>
        <w:t>[</w:t>
      </w:r>
      <w:r>
        <w:rPr>
          <w:rFonts w:ascii="Times New Roman" w:hAnsi="Times New Roman"/>
          <w:i/>
        </w:rPr>
        <w:t>Expliquer ici tout problème ou difficulté rencontré</w:t>
      </w:r>
      <w:r>
        <w:rPr>
          <w:rFonts w:ascii="Times New Roman" w:hAnsi="Times New Roman"/>
        </w:rPr>
        <w:t>]</w:t>
      </w:r>
    </w:p>
    <w:p w14:paraId="0339F1E5"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lastRenderedPageBreak/>
        <w:t xml:space="preserve">Le total des dépenses que nous avons vérifiées s’élève à &lt;xxxx&gt; EUR et est résumé dans le tableau ci-dessous. Le ratio global de couverture des dépenses est de &lt;xx %&gt;. </w:t>
      </w:r>
    </w:p>
    <w:p w14:paraId="610196FC" w14:textId="77777777" w:rsidR="00832F98" w:rsidRPr="005107DF" w:rsidRDefault="00832F98" w:rsidP="00D0198E">
      <w:pPr>
        <w:spacing w:before="120" w:after="120" w:line="240" w:lineRule="auto"/>
        <w:jc w:val="both"/>
        <w:rPr>
          <w:rFonts w:ascii="Times New Roman" w:eastAsia="Times New Roman" w:hAnsi="Times New Roman" w:cs="Times New Roman"/>
          <w:i/>
        </w:rPr>
      </w:pPr>
      <w:r>
        <w:rPr>
          <w:rFonts w:ascii="Times New Roman" w:hAnsi="Times New Roman"/>
          <w:i/>
        </w:rPr>
        <w:t>[Fournir ici un tableau synthétique du rapport financier figurant à l’annexe 1, en présentant pour chaque (sous-)rubrique, le montant total des dépenses déclarées par le coordinateur, le montant total des dépenses contrôlées et le pourcentage des dépenses couvertes]</w:t>
      </w:r>
    </w:p>
    <w:p w14:paraId="150A359E"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Nous avons contrôlé les dépenses sélectionnées, telles que présentées dans le tableau synthétique ci-dessus, et nous avons exécuté, pour chaque poste de dépenses sélectionné, les procédures de vérification spécifiées aux points 3.1 à 3.7 de l’annexe 2A des TdR applicables à la vérification des dépenses. Nous notifions ci-dessous les observations factuelles qui résultent de ces procédures:</w:t>
      </w:r>
    </w:p>
    <w:p w14:paraId="43B7A060" w14:textId="77777777" w:rsidR="00832F98" w:rsidRPr="005107DF" w:rsidRDefault="00832F98" w:rsidP="00D0198E">
      <w:pPr>
        <w:spacing w:before="120" w:after="120" w:line="240" w:lineRule="auto"/>
        <w:jc w:val="both"/>
        <w:rPr>
          <w:rFonts w:ascii="Times New Roman" w:eastAsia="Times New Roman" w:hAnsi="Times New Roman" w:cs="Times New Roman"/>
          <w:b/>
          <w:iCs/>
          <w:sz w:val="18"/>
          <w:szCs w:val="18"/>
        </w:rPr>
      </w:pPr>
    </w:p>
    <w:p w14:paraId="769062A1" w14:textId="77777777" w:rsidR="00832F98" w:rsidRPr="005107DF" w:rsidRDefault="00832F98" w:rsidP="007338F0">
      <w:pPr>
        <w:rPr>
          <w:rFonts w:ascii="Times New Roman" w:hAnsi="Times New Roman" w:cs="Times New Roman"/>
          <w:b/>
          <w:smallCaps/>
          <w:sz w:val="24"/>
          <w:szCs w:val="24"/>
        </w:rPr>
      </w:pPr>
      <w:bookmarkStart w:id="1132" w:name="_Toc442374393"/>
      <w:bookmarkStart w:id="1133" w:name="_Toc442374883"/>
      <w:bookmarkStart w:id="1134" w:name="_Toc443320205"/>
      <w:bookmarkStart w:id="1135" w:name="_Toc464460052"/>
      <w:bookmarkStart w:id="1136" w:name="_Toc476063400"/>
      <w:bookmarkStart w:id="1137" w:name="_Toc476067882"/>
      <w:r>
        <w:rPr>
          <w:rFonts w:ascii="Times New Roman" w:hAnsi="Times New Roman"/>
          <w:b/>
          <w:smallCaps/>
          <w:sz w:val="24"/>
        </w:rPr>
        <w:t>1. Procédures générales</w:t>
      </w:r>
      <w:bookmarkEnd w:id="1132"/>
      <w:bookmarkEnd w:id="1133"/>
      <w:bookmarkEnd w:id="1134"/>
      <w:bookmarkEnd w:id="1135"/>
      <w:bookmarkEnd w:id="1136"/>
      <w:bookmarkEnd w:id="1137"/>
    </w:p>
    <w:p w14:paraId="1C24BFF0" w14:textId="77777777" w:rsidR="00832F98" w:rsidRPr="005107DF" w:rsidRDefault="00832F98" w:rsidP="007338F0">
      <w:pPr>
        <w:rPr>
          <w:rFonts w:ascii="Times New Roman" w:hAnsi="Times New Roman" w:cs="Times New Roman"/>
          <w:b/>
          <w:sz w:val="24"/>
          <w:szCs w:val="24"/>
        </w:rPr>
      </w:pPr>
      <w:bookmarkStart w:id="1138" w:name="_Toc442374394"/>
      <w:bookmarkStart w:id="1139" w:name="_Toc442374884"/>
      <w:bookmarkStart w:id="1140" w:name="_Toc443320206"/>
      <w:bookmarkStart w:id="1141" w:name="_Toc464460053"/>
      <w:bookmarkStart w:id="1142" w:name="_Toc476063401"/>
      <w:bookmarkStart w:id="1143" w:name="_Toc476067883"/>
      <w:r>
        <w:rPr>
          <w:rFonts w:ascii="Times New Roman" w:hAnsi="Times New Roman"/>
          <w:b/>
          <w:sz w:val="24"/>
        </w:rPr>
        <w:t xml:space="preserve">1.1 </w:t>
      </w:r>
      <w:r>
        <w:tab/>
      </w:r>
      <w:r>
        <w:rPr>
          <w:rFonts w:ascii="Times New Roman" w:hAnsi="Times New Roman"/>
          <w:b/>
          <w:sz w:val="24"/>
        </w:rPr>
        <w:t>Conditions du contrat de</w:t>
      </w:r>
      <w:bookmarkEnd w:id="1138"/>
      <w:bookmarkEnd w:id="1139"/>
      <w:bookmarkEnd w:id="1140"/>
      <w:bookmarkEnd w:id="1141"/>
      <w:r>
        <w:rPr>
          <w:rFonts w:ascii="Times New Roman" w:hAnsi="Times New Roman"/>
          <w:b/>
          <w:sz w:val="24"/>
        </w:rPr>
        <w:t xml:space="preserve"> subvention de jumelage</w:t>
      </w:r>
      <w:bookmarkEnd w:id="1142"/>
      <w:bookmarkEnd w:id="1143"/>
    </w:p>
    <w:p w14:paraId="48E420FF" w14:textId="77777777" w:rsidR="00832F98" w:rsidRPr="005107DF" w:rsidRDefault="00832F98" w:rsidP="001F5228">
      <w:pPr>
        <w:spacing w:after="240" w:line="240" w:lineRule="auto"/>
        <w:rPr>
          <w:rFonts w:ascii="Times New Roman" w:eastAsia="Times New Roman" w:hAnsi="Times New Roman" w:cs="Times New Roman"/>
        </w:rPr>
      </w:pPr>
      <w:r>
        <w:rPr>
          <w:rFonts w:ascii="Times New Roman" w:hAnsi="Times New Roman"/>
        </w:rPr>
        <w:t xml:space="preserve">Nous avons acquis une connaissance suffisante des conditions de ce </w:t>
      </w:r>
      <w:r>
        <w:rPr>
          <w:rFonts w:ascii="Times New Roman" w:hAnsi="Times New Roman"/>
          <w:color w:val="000000"/>
          <w:sz w:val="24"/>
        </w:rPr>
        <w:t>contrat de subvention de jumelage</w:t>
      </w:r>
      <w:r>
        <w:rPr>
          <w:rFonts w:ascii="Times New Roman" w:hAnsi="Times New Roman"/>
        </w:rPr>
        <w:t>, conformément aux lignes directrices de l’annexe 2B (point 2) des TdR.</w:t>
      </w:r>
    </w:p>
    <w:p w14:paraId="72D2A310" w14:textId="77777777" w:rsidR="00832F98" w:rsidRPr="005107DF" w:rsidRDefault="00832F98" w:rsidP="00BA0D9E">
      <w:pPr>
        <w:spacing w:after="240" w:line="240" w:lineRule="auto"/>
        <w:jc w:val="both"/>
        <w:rPr>
          <w:rFonts w:ascii="Times New Roman" w:eastAsia="Times New Roman" w:hAnsi="Times New Roman" w:cs="Times New Roman"/>
          <w:i/>
        </w:rPr>
      </w:pPr>
      <w:r>
        <w:rPr>
          <w:rFonts w:ascii="Times New Roman" w:hAnsi="Times New Roman"/>
          <w:i/>
        </w:rPr>
        <w:t>[Décrire les observations factuelles et indiquer les erreurs et exceptions</w:t>
      </w:r>
      <w:r>
        <w:rPr>
          <w:rFonts w:ascii="Times New Roman" w:hAnsi="Times New Roman"/>
          <w:b/>
          <w:i/>
        </w:rPr>
        <w:t xml:space="preserve">.  Procédures 4.1 à 4.6 de l’annexe 2A. En cas d’absence d’observations factuelles, ceci doit être explicitement indiqué, </w:t>
      </w:r>
      <w:r>
        <w:rPr>
          <w:rFonts w:ascii="Times New Roman" w:hAnsi="Times New Roman"/>
          <w:b/>
          <w:i/>
          <w:u w:val="single"/>
        </w:rPr>
        <w:t>pour chaque procédure</w:t>
      </w:r>
      <w:r>
        <w:rPr>
          <w:rFonts w:ascii="Times New Roman" w:hAnsi="Times New Roman"/>
          <w:b/>
          <w:i/>
        </w:rPr>
        <w:t xml:space="preserve">, de la façon suivante: </w:t>
      </w:r>
      <w:r>
        <w:rPr>
          <w:rFonts w:ascii="Times New Roman" w:hAnsi="Times New Roman"/>
          <w:i/>
        </w:rPr>
        <w:t>«Aucune observation factuelle ne résulte de cette procédure».]</w:t>
      </w:r>
    </w:p>
    <w:p w14:paraId="15C68125" w14:textId="77777777" w:rsidR="00832F98" w:rsidRPr="005107DF" w:rsidRDefault="00832F98" w:rsidP="007338F0">
      <w:pPr>
        <w:rPr>
          <w:rFonts w:ascii="Times New Roman" w:hAnsi="Times New Roman" w:cs="Times New Roman"/>
          <w:b/>
          <w:sz w:val="24"/>
          <w:szCs w:val="24"/>
        </w:rPr>
      </w:pPr>
      <w:bookmarkStart w:id="1144" w:name="_Toc442374395"/>
      <w:bookmarkStart w:id="1145" w:name="_Toc442374885"/>
      <w:bookmarkStart w:id="1146" w:name="_Toc443320207"/>
      <w:bookmarkStart w:id="1147" w:name="_Toc464460054"/>
      <w:bookmarkStart w:id="1148" w:name="_Toc476063402"/>
      <w:bookmarkStart w:id="1149" w:name="_Toc476067884"/>
      <w:r>
        <w:rPr>
          <w:rFonts w:ascii="Times New Roman" w:hAnsi="Times New Roman"/>
          <w:b/>
          <w:sz w:val="24"/>
        </w:rPr>
        <w:t xml:space="preserve">1.2 </w:t>
      </w:r>
      <w:r>
        <w:tab/>
      </w:r>
      <w:r>
        <w:rPr>
          <w:rFonts w:ascii="Times New Roman" w:hAnsi="Times New Roman"/>
          <w:b/>
          <w:sz w:val="24"/>
        </w:rPr>
        <w:t xml:space="preserve">Rapport financier relatif au </w:t>
      </w:r>
      <w:bookmarkEnd w:id="1144"/>
      <w:bookmarkEnd w:id="1145"/>
      <w:bookmarkEnd w:id="1146"/>
      <w:bookmarkEnd w:id="1147"/>
      <w:r>
        <w:rPr>
          <w:rFonts w:ascii="Times New Roman" w:hAnsi="Times New Roman"/>
          <w:b/>
          <w:sz w:val="24"/>
        </w:rPr>
        <w:t>contrat de subvention de jumelage</w:t>
      </w:r>
      <w:bookmarkEnd w:id="1148"/>
      <w:bookmarkEnd w:id="1149"/>
    </w:p>
    <w:p w14:paraId="7B55244E" w14:textId="77777777" w:rsidR="00832F98" w:rsidRPr="005107DF" w:rsidRDefault="00832F98" w:rsidP="007338F0">
      <w:pPr>
        <w:rPr>
          <w:rFonts w:ascii="Times New Roman" w:hAnsi="Times New Roman" w:cs="Times New Roman"/>
          <w:b/>
          <w:sz w:val="24"/>
          <w:szCs w:val="24"/>
        </w:rPr>
      </w:pPr>
      <w:bookmarkStart w:id="1150" w:name="_Toc442374396"/>
      <w:bookmarkStart w:id="1151" w:name="_Toc442374886"/>
      <w:bookmarkStart w:id="1152" w:name="_Toc443320208"/>
      <w:bookmarkStart w:id="1153" w:name="_Toc464460055"/>
      <w:bookmarkStart w:id="1154" w:name="_Toc476063403"/>
      <w:bookmarkStart w:id="1155" w:name="_Toc476067885"/>
      <w:r>
        <w:rPr>
          <w:rFonts w:ascii="Times New Roman" w:hAnsi="Times New Roman"/>
          <w:b/>
          <w:sz w:val="24"/>
        </w:rPr>
        <w:t xml:space="preserve">1.3 </w:t>
      </w:r>
      <w:r>
        <w:tab/>
      </w:r>
      <w:r>
        <w:rPr>
          <w:rFonts w:ascii="Times New Roman" w:hAnsi="Times New Roman"/>
          <w:b/>
          <w:sz w:val="24"/>
        </w:rPr>
        <w:t xml:space="preserve"> Rapport financier relatif au contrat de jumelage</w:t>
      </w:r>
      <w:bookmarkEnd w:id="1150"/>
      <w:bookmarkEnd w:id="1151"/>
      <w:bookmarkEnd w:id="1152"/>
      <w:bookmarkEnd w:id="1153"/>
      <w:bookmarkEnd w:id="1154"/>
      <w:bookmarkEnd w:id="1155"/>
    </w:p>
    <w:p w14:paraId="0C5EC990" w14:textId="77777777" w:rsidR="00832F98" w:rsidRPr="005107DF" w:rsidRDefault="00832F98" w:rsidP="007338F0">
      <w:pPr>
        <w:rPr>
          <w:rFonts w:ascii="Times New Roman" w:eastAsia="SimSun" w:hAnsi="Times New Roman" w:cs="Times New Roman"/>
          <w:b/>
          <w:color w:val="000000"/>
          <w:sz w:val="24"/>
          <w:szCs w:val="24"/>
        </w:rPr>
      </w:pPr>
      <w:bookmarkStart w:id="1156" w:name="_Toc442374397"/>
      <w:bookmarkStart w:id="1157" w:name="_Toc442374887"/>
      <w:bookmarkStart w:id="1158" w:name="_Toc443320209"/>
      <w:bookmarkStart w:id="1159" w:name="_Toc464460056"/>
      <w:bookmarkStart w:id="1160" w:name="_Toc476063404"/>
      <w:bookmarkStart w:id="1161" w:name="_Toc476067886"/>
      <w:r>
        <w:rPr>
          <w:rFonts w:ascii="Times New Roman" w:hAnsi="Times New Roman"/>
          <w:b/>
          <w:color w:val="000000"/>
          <w:sz w:val="24"/>
        </w:rPr>
        <w:t xml:space="preserve">1.4 </w:t>
      </w:r>
      <w:r>
        <w:tab/>
      </w:r>
      <w:r>
        <w:rPr>
          <w:rFonts w:ascii="Times New Roman" w:hAnsi="Times New Roman"/>
          <w:b/>
          <w:color w:val="000000"/>
          <w:sz w:val="24"/>
        </w:rPr>
        <w:t>Comparaison entre le rapport financier et le système et les documents comptables du ou des États membres partenaires</w:t>
      </w:r>
      <w:bookmarkEnd w:id="1156"/>
      <w:bookmarkEnd w:id="1157"/>
      <w:bookmarkEnd w:id="1158"/>
      <w:bookmarkEnd w:id="1159"/>
      <w:bookmarkEnd w:id="1160"/>
      <w:bookmarkEnd w:id="1161"/>
    </w:p>
    <w:p w14:paraId="2B674B4B" w14:textId="77777777" w:rsidR="00832F98" w:rsidRPr="005107DF" w:rsidRDefault="00832F98" w:rsidP="007338F0">
      <w:pPr>
        <w:rPr>
          <w:rFonts w:ascii="Times New Roman" w:eastAsia="SimSun" w:hAnsi="Times New Roman" w:cs="Times New Roman"/>
          <w:b/>
          <w:color w:val="000000"/>
          <w:sz w:val="24"/>
          <w:szCs w:val="24"/>
        </w:rPr>
      </w:pPr>
      <w:bookmarkStart w:id="1162" w:name="_Toc442374398"/>
      <w:bookmarkStart w:id="1163" w:name="_Toc442374888"/>
      <w:bookmarkStart w:id="1164" w:name="_Toc443320210"/>
      <w:bookmarkStart w:id="1165" w:name="_Toc464460057"/>
      <w:bookmarkStart w:id="1166" w:name="_Toc476063405"/>
      <w:bookmarkStart w:id="1167" w:name="_Toc476067887"/>
      <w:r>
        <w:rPr>
          <w:rFonts w:ascii="Times New Roman" w:hAnsi="Times New Roman"/>
          <w:b/>
          <w:color w:val="000000"/>
          <w:sz w:val="24"/>
        </w:rPr>
        <w:t>1.5</w:t>
      </w:r>
      <w:r>
        <w:tab/>
      </w:r>
      <w:r>
        <w:rPr>
          <w:rFonts w:ascii="Times New Roman" w:hAnsi="Times New Roman"/>
          <w:b/>
          <w:color w:val="000000"/>
          <w:sz w:val="24"/>
        </w:rPr>
        <w:t>Taux de change</w:t>
      </w:r>
      <w:bookmarkEnd w:id="1162"/>
      <w:bookmarkEnd w:id="1163"/>
      <w:bookmarkEnd w:id="1164"/>
      <w:bookmarkEnd w:id="1165"/>
      <w:bookmarkEnd w:id="1166"/>
      <w:bookmarkEnd w:id="1167"/>
      <w:r>
        <w:rPr>
          <w:rFonts w:ascii="Times New Roman" w:hAnsi="Times New Roman"/>
          <w:b/>
          <w:color w:val="000000"/>
          <w:sz w:val="24"/>
        </w:rPr>
        <w:t xml:space="preserve"> </w:t>
      </w:r>
    </w:p>
    <w:p w14:paraId="34C035A4" w14:textId="77777777" w:rsidR="00832F98" w:rsidRPr="005107DF" w:rsidRDefault="00832F98" w:rsidP="007338F0">
      <w:pPr>
        <w:rPr>
          <w:rFonts w:ascii="Times New Roman" w:hAnsi="Times New Roman" w:cs="Times New Roman"/>
          <w:b/>
          <w:sz w:val="24"/>
          <w:szCs w:val="24"/>
        </w:rPr>
      </w:pPr>
      <w:r>
        <w:rPr>
          <w:rFonts w:ascii="Times New Roman" w:hAnsi="Times New Roman"/>
          <w:b/>
          <w:sz w:val="24"/>
        </w:rPr>
        <w:t>1.6</w:t>
      </w:r>
      <w:r>
        <w:tab/>
      </w:r>
      <w:r>
        <w:rPr>
          <w:rFonts w:ascii="Times New Roman" w:hAnsi="Times New Roman"/>
          <w:b/>
          <w:sz w:val="24"/>
        </w:rPr>
        <w:t>Options de coûts simplifiés</w:t>
      </w:r>
    </w:p>
    <w:p w14:paraId="4CD6B3A9" w14:textId="77777777" w:rsidR="00832F98" w:rsidRPr="005107DF" w:rsidRDefault="00832F98" w:rsidP="001F5228">
      <w:pPr>
        <w:spacing w:after="240" w:line="240" w:lineRule="auto"/>
        <w:rPr>
          <w:rFonts w:ascii="Times New Roman" w:eastAsia="Times New Roman" w:hAnsi="Times New Roman" w:cs="Times New Roman"/>
          <w:b/>
          <w:sz w:val="24"/>
          <w:szCs w:val="24"/>
        </w:rPr>
      </w:pPr>
    </w:p>
    <w:p w14:paraId="63B7477D" w14:textId="77777777" w:rsidR="00832F98" w:rsidRPr="005107DF" w:rsidRDefault="00832F98" w:rsidP="007338F0">
      <w:pPr>
        <w:rPr>
          <w:rFonts w:ascii="Times New Roman" w:hAnsi="Times New Roman" w:cs="Times New Roman"/>
          <w:b/>
          <w:smallCaps/>
          <w:sz w:val="24"/>
          <w:szCs w:val="24"/>
        </w:rPr>
      </w:pPr>
      <w:bookmarkStart w:id="1168" w:name="_Toc442374399"/>
      <w:bookmarkStart w:id="1169" w:name="_Toc442374889"/>
      <w:bookmarkStart w:id="1170" w:name="_Toc443320211"/>
      <w:bookmarkStart w:id="1171" w:name="_Toc464460058"/>
      <w:bookmarkStart w:id="1172" w:name="_Toc476063406"/>
      <w:bookmarkStart w:id="1173" w:name="_Toc476067888"/>
      <w:r>
        <w:rPr>
          <w:rFonts w:ascii="Times New Roman" w:hAnsi="Times New Roman"/>
          <w:b/>
          <w:smallCaps/>
          <w:sz w:val="24"/>
        </w:rPr>
        <w:t>2. Procédures de vérification de la conformité des dépenses avec le budget et contrôle analytique</w:t>
      </w:r>
      <w:bookmarkEnd w:id="1168"/>
      <w:bookmarkEnd w:id="1169"/>
      <w:bookmarkEnd w:id="1170"/>
      <w:bookmarkEnd w:id="1171"/>
      <w:bookmarkEnd w:id="1172"/>
      <w:bookmarkEnd w:id="1173"/>
    </w:p>
    <w:p w14:paraId="093E723C" w14:textId="77777777" w:rsidR="00832F98" w:rsidRPr="005107DF" w:rsidRDefault="00832F98" w:rsidP="007338F0">
      <w:pPr>
        <w:rPr>
          <w:rFonts w:ascii="Times New Roman" w:hAnsi="Times New Roman" w:cs="Times New Roman"/>
          <w:b/>
          <w:sz w:val="24"/>
          <w:szCs w:val="24"/>
        </w:rPr>
      </w:pPr>
      <w:bookmarkStart w:id="1174" w:name="_Toc442374400"/>
      <w:bookmarkStart w:id="1175" w:name="_Toc442374890"/>
      <w:bookmarkStart w:id="1176" w:name="_Toc443320212"/>
      <w:bookmarkStart w:id="1177" w:name="_Toc464460059"/>
      <w:bookmarkStart w:id="1178" w:name="_Toc476063407"/>
      <w:bookmarkStart w:id="1179" w:name="_Toc476067889"/>
      <w:r>
        <w:rPr>
          <w:rFonts w:ascii="Times New Roman" w:hAnsi="Times New Roman"/>
          <w:b/>
          <w:sz w:val="24"/>
        </w:rPr>
        <w:t>2.1</w:t>
      </w:r>
      <w:r>
        <w:tab/>
      </w:r>
      <w:r>
        <w:rPr>
          <w:rFonts w:ascii="Times New Roman" w:hAnsi="Times New Roman"/>
          <w:b/>
          <w:sz w:val="24"/>
        </w:rPr>
        <w:t xml:space="preserve">Budget du </w:t>
      </w:r>
      <w:bookmarkEnd w:id="1174"/>
      <w:bookmarkEnd w:id="1175"/>
      <w:bookmarkEnd w:id="1176"/>
      <w:bookmarkEnd w:id="1177"/>
      <w:r>
        <w:rPr>
          <w:rFonts w:ascii="Times New Roman" w:hAnsi="Times New Roman"/>
          <w:b/>
          <w:sz w:val="24"/>
        </w:rPr>
        <w:t>contrat de subvention de jumelage</w:t>
      </w:r>
      <w:bookmarkEnd w:id="1178"/>
      <w:bookmarkEnd w:id="1179"/>
    </w:p>
    <w:p w14:paraId="3BB129E2" w14:textId="77777777" w:rsidR="00832F98" w:rsidRPr="005107DF" w:rsidRDefault="00832F98" w:rsidP="007338F0">
      <w:pPr>
        <w:rPr>
          <w:rFonts w:ascii="Times New Roman" w:hAnsi="Times New Roman" w:cs="Times New Roman"/>
          <w:b/>
          <w:sz w:val="24"/>
          <w:szCs w:val="24"/>
        </w:rPr>
      </w:pPr>
      <w:bookmarkStart w:id="1180" w:name="_Toc442374401"/>
      <w:bookmarkStart w:id="1181" w:name="_Toc442374891"/>
      <w:bookmarkStart w:id="1182" w:name="_Toc443320213"/>
      <w:bookmarkStart w:id="1183" w:name="_Toc464460060"/>
      <w:bookmarkStart w:id="1184" w:name="_Toc476063408"/>
      <w:bookmarkStart w:id="1185" w:name="_Toc476067890"/>
      <w:r>
        <w:rPr>
          <w:rFonts w:ascii="Times New Roman" w:hAnsi="Times New Roman"/>
          <w:b/>
          <w:sz w:val="24"/>
        </w:rPr>
        <w:t>2.2</w:t>
      </w:r>
      <w:r>
        <w:tab/>
      </w:r>
      <w:r>
        <w:rPr>
          <w:rFonts w:ascii="Times New Roman" w:hAnsi="Times New Roman"/>
          <w:b/>
          <w:sz w:val="24"/>
        </w:rPr>
        <w:t xml:space="preserve">Modification du budget du </w:t>
      </w:r>
      <w:bookmarkEnd w:id="1180"/>
      <w:bookmarkEnd w:id="1181"/>
      <w:bookmarkEnd w:id="1182"/>
      <w:bookmarkEnd w:id="1183"/>
      <w:r>
        <w:rPr>
          <w:rFonts w:ascii="Times New Roman" w:hAnsi="Times New Roman"/>
          <w:b/>
          <w:sz w:val="24"/>
        </w:rPr>
        <w:t>contrat de subvention de jumelage</w:t>
      </w:r>
      <w:bookmarkEnd w:id="1184"/>
      <w:bookmarkEnd w:id="1185"/>
    </w:p>
    <w:p w14:paraId="16A0A4E3" w14:textId="77777777" w:rsidR="00832F98" w:rsidRPr="005107DF" w:rsidRDefault="00832F98" w:rsidP="00BA0D9E">
      <w:pPr>
        <w:spacing w:after="240" w:line="240" w:lineRule="auto"/>
        <w:jc w:val="both"/>
        <w:rPr>
          <w:rFonts w:ascii="Times New Roman" w:eastAsia="Times New Roman" w:hAnsi="Times New Roman" w:cs="Times New Roman"/>
          <w:i/>
        </w:rPr>
      </w:pPr>
      <w:r>
        <w:rPr>
          <w:rFonts w:ascii="Times New Roman" w:hAnsi="Times New Roman"/>
          <w:i/>
        </w:rPr>
        <w:t>[Décrire les observations factuelles et indiquer les erreurs et exceptions</w:t>
      </w:r>
      <w:r>
        <w:rPr>
          <w:rFonts w:ascii="Times New Roman" w:hAnsi="Times New Roman"/>
          <w:b/>
          <w:i/>
        </w:rPr>
        <w:t xml:space="preserve">.  Procédures 2.1 et 2.2 de l’annexe 2A. En cas d’absence d’observations factuelles, ceci doit être explicitement indiqué, </w:t>
      </w:r>
      <w:r>
        <w:rPr>
          <w:rFonts w:ascii="Times New Roman" w:hAnsi="Times New Roman"/>
          <w:b/>
          <w:i/>
          <w:u w:val="single"/>
        </w:rPr>
        <w:t>pour chaque procédure</w:t>
      </w:r>
      <w:r>
        <w:rPr>
          <w:rFonts w:ascii="Times New Roman" w:hAnsi="Times New Roman"/>
          <w:b/>
          <w:i/>
        </w:rPr>
        <w:t>, de la façon suivante:</w:t>
      </w:r>
      <w:r>
        <w:rPr>
          <w:rFonts w:ascii="Times New Roman" w:hAnsi="Times New Roman"/>
          <w:i/>
        </w:rPr>
        <w:t xml:space="preserve"> «Aucune observation factuelle ne résulte de cette procédure».]</w:t>
      </w:r>
    </w:p>
    <w:p w14:paraId="2BE24D84" w14:textId="77777777" w:rsidR="00832F98" w:rsidRPr="005107DF" w:rsidRDefault="00832F98" w:rsidP="007338F0">
      <w:pPr>
        <w:rPr>
          <w:rFonts w:ascii="Times New Roman" w:hAnsi="Times New Roman" w:cs="Times New Roman"/>
          <w:b/>
          <w:smallCaps/>
          <w:sz w:val="24"/>
          <w:szCs w:val="24"/>
        </w:rPr>
      </w:pPr>
      <w:bookmarkStart w:id="1186" w:name="_Toc442374402"/>
      <w:bookmarkStart w:id="1187" w:name="_Toc442374892"/>
      <w:bookmarkStart w:id="1188" w:name="_Toc443320214"/>
      <w:bookmarkStart w:id="1189" w:name="_Toc464460061"/>
      <w:bookmarkStart w:id="1190" w:name="_Toc476063409"/>
      <w:bookmarkStart w:id="1191" w:name="_Toc476067891"/>
      <w:r>
        <w:rPr>
          <w:rFonts w:ascii="Times New Roman" w:hAnsi="Times New Roman"/>
          <w:b/>
          <w:smallCaps/>
          <w:sz w:val="24"/>
        </w:rPr>
        <w:t>3. Procédures de vérification des dépenses sélectionnées</w:t>
      </w:r>
      <w:bookmarkEnd w:id="1186"/>
      <w:bookmarkEnd w:id="1187"/>
      <w:bookmarkEnd w:id="1188"/>
      <w:bookmarkEnd w:id="1189"/>
      <w:bookmarkEnd w:id="1190"/>
      <w:bookmarkEnd w:id="1191"/>
    </w:p>
    <w:p w14:paraId="23C48B82" w14:textId="77777777" w:rsidR="00832F98" w:rsidRPr="005107DF" w:rsidRDefault="00832F98" w:rsidP="001F5228">
      <w:pPr>
        <w:spacing w:after="240" w:line="240" w:lineRule="auto"/>
        <w:ind w:left="360"/>
        <w:jc w:val="both"/>
        <w:rPr>
          <w:rFonts w:ascii="Times New Roman" w:eastAsia="Times New Roman" w:hAnsi="Times New Roman" w:cs="Times New Roman"/>
        </w:rPr>
      </w:pPr>
      <w:r>
        <w:rPr>
          <w:rFonts w:ascii="Times New Roman" w:hAnsi="Times New Roman"/>
        </w:rPr>
        <w:t>Nous avons signalé plus loin toutes les exceptions résultant des procédures de vérification spécifiées aux points 4.1 à 4.6 de l’annexe 2A des TdR relatifs à la vérification des dépenses, dans la mesure où ces procédures s’appliquaient au poste de dépenses sélectionné.</w:t>
      </w:r>
    </w:p>
    <w:p w14:paraId="4628C9CD" w14:textId="77777777" w:rsidR="00832F98" w:rsidRPr="005107DF" w:rsidRDefault="00832F98" w:rsidP="001F5228">
      <w:pPr>
        <w:spacing w:after="240" w:line="240" w:lineRule="auto"/>
        <w:ind w:left="360"/>
        <w:jc w:val="both"/>
        <w:rPr>
          <w:rFonts w:ascii="Times New Roman" w:eastAsia="Times New Roman" w:hAnsi="Times New Roman" w:cs="Times New Roman"/>
        </w:rPr>
      </w:pPr>
      <w:r>
        <w:rPr>
          <w:rFonts w:ascii="Times New Roman" w:hAnsi="Times New Roman"/>
        </w:rPr>
        <w:lastRenderedPageBreak/>
        <w:t>Nous avons quantifié le montant des exceptions constatées et l’incidence potentielle sur la contribution de l’UE, si la Commission venait à déclarer inadmissible(s) le(s) poste(s) de dépenses concerné(s) [le cas échéant, en prenant en considération le pourcentage de financement de la Commission et l’incidence sur les dépenses indirectes (par exemple, coûts administratifs, frais généraux)]. Nous avons notifié toutes les exceptions observées, y compris dans les cas où nous ne pouvons pas quantifier leur montant et l’incidence potentielle sur la contribution de l’UE.</w:t>
      </w:r>
    </w:p>
    <w:p w14:paraId="25D29391" w14:textId="77777777" w:rsidR="00832F98" w:rsidRPr="005107DF" w:rsidRDefault="00832F98" w:rsidP="001F5228">
      <w:pPr>
        <w:spacing w:after="240" w:line="240" w:lineRule="auto"/>
        <w:ind w:left="360"/>
        <w:jc w:val="both"/>
        <w:rPr>
          <w:rFonts w:ascii="Times New Roman" w:eastAsia="Times New Roman" w:hAnsi="Times New Roman" w:cs="Times New Roman"/>
          <w:i/>
        </w:rPr>
      </w:pPr>
      <w:r>
        <w:rPr>
          <w:rFonts w:ascii="Times New Roman" w:hAnsi="Times New Roman"/>
          <w:i/>
        </w:rPr>
        <w:t>[Préciser les dépenses/postes de dépenses pour lesquels des exceptions (= écarts entre les faits et les critères) ont été constatées et la nature de l’exception – à savoir quelles sont celles des conditions spécifiques décrites aux points 4.1 à 4.6 de l’annexe 2A des TdR qui n’ont pas été remplies. Quantifier le montant des exceptions constatées et l’incidence potentielle sur la contribution de l’UE, si la Commission venait à déclarer inadmissible(s) le(s) poste(s) de dépenses concerné(s).]</w:t>
      </w:r>
    </w:p>
    <w:p w14:paraId="1A73F034" w14:textId="77777777" w:rsidR="00832F98" w:rsidRPr="005107DF" w:rsidRDefault="00832F98" w:rsidP="007338F0">
      <w:pPr>
        <w:rPr>
          <w:rFonts w:ascii="Times New Roman" w:hAnsi="Times New Roman" w:cs="Times New Roman"/>
          <w:b/>
          <w:sz w:val="24"/>
          <w:szCs w:val="24"/>
        </w:rPr>
      </w:pPr>
      <w:bookmarkStart w:id="1192" w:name="_Toc442374403"/>
      <w:bookmarkStart w:id="1193" w:name="_Toc442374893"/>
      <w:bookmarkStart w:id="1194" w:name="_Toc443320215"/>
      <w:bookmarkStart w:id="1195" w:name="_Toc464460062"/>
      <w:bookmarkStart w:id="1196" w:name="_Toc476063410"/>
      <w:bookmarkStart w:id="1197" w:name="_Toc476067892"/>
      <w:r>
        <w:rPr>
          <w:rFonts w:ascii="Times New Roman" w:hAnsi="Times New Roman"/>
          <w:b/>
          <w:sz w:val="24"/>
        </w:rPr>
        <w:t>3.1</w:t>
      </w:r>
      <w:r>
        <w:tab/>
      </w:r>
      <w:r>
        <w:rPr>
          <w:rFonts w:ascii="Times New Roman" w:hAnsi="Times New Roman"/>
          <w:b/>
          <w:sz w:val="24"/>
        </w:rPr>
        <w:t>Éligibilité des coûts</w:t>
      </w:r>
      <w:bookmarkEnd w:id="1192"/>
      <w:bookmarkEnd w:id="1193"/>
      <w:bookmarkEnd w:id="1194"/>
      <w:bookmarkEnd w:id="1195"/>
      <w:bookmarkEnd w:id="1196"/>
      <w:bookmarkEnd w:id="1197"/>
      <w:r>
        <w:rPr>
          <w:rFonts w:ascii="Times New Roman" w:hAnsi="Times New Roman"/>
          <w:b/>
          <w:sz w:val="24"/>
        </w:rPr>
        <w:t xml:space="preserve"> </w:t>
      </w:r>
    </w:p>
    <w:p w14:paraId="6CD2BC27" w14:textId="77777777" w:rsidR="00832F98" w:rsidRPr="005107DF" w:rsidRDefault="00832F98" w:rsidP="001F5228">
      <w:pPr>
        <w:spacing w:after="240" w:line="240" w:lineRule="auto"/>
        <w:ind w:left="360"/>
        <w:jc w:val="both"/>
        <w:rPr>
          <w:rFonts w:ascii="Times New Roman" w:eastAsia="Times New Roman" w:hAnsi="Times New Roman" w:cs="Times New Roman"/>
        </w:rPr>
      </w:pPr>
      <w:r>
        <w:rPr>
          <w:rFonts w:ascii="Times New Roman" w:hAnsi="Times New Roman"/>
        </w:rPr>
        <w:t xml:space="preserve">Nous avons vérifié, pour chaque poste de dépenses sélectionné, les critères d’éligibilité établis pour la procédure 3.1 à l’annexe 2A des TdR relatifs à la vérification des dépenses. </w:t>
      </w:r>
    </w:p>
    <w:p w14:paraId="6B890606" w14:textId="77777777" w:rsidR="00832F98" w:rsidRPr="005107DF" w:rsidRDefault="00832F98" w:rsidP="001F5228">
      <w:pPr>
        <w:spacing w:after="240" w:line="240" w:lineRule="auto"/>
        <w:ind w:left="360"/>
        <w:jc w:val="both"/>
        <w:rPr>
          <w:rFonts w:ascii="Times New Roman" w:eastAsia="Times New Roman" w:hAnsi="Times New Roman" w:cs="Times New Roman"/>
        </w:rPr>
      </w:pPr>
      <w:r>
        <w:rPr>
          <w:rFonts w:ascii="Times New Roman" w:hAnsi="Times New Roman"/>
        </w:rPr>
        <w:t>[</w:t>
      </w:r>
      <w:r>
        <w:rPr>
          <w:rFonts w:ascii="Times New Roman" w:hAnsi="Times New Roman"/>
          <w:i/>
        </w:rPr>
        <w:t xml:space="preserve">Décrire les observations factuelles et indiquer les erreurs et exceptions. </w:t>
      </w:r>
      <w:r>
        <w:rPr>
          <w:rFonts w:ascii="Times New Roman" w:hAnsi="Times New Roman"/>
          <w:b/>
          <w:i/>
        </w:rPr>
        <w:t xml:space="preserve">Procédure 3.1 de l’annexe 2A: </w:t>
      </w:r>
      <w:r>
        <w:rPr>
          <w:rFonts w:ascii="Times New Roman" w:hAnsi="Times New Roman"/>
          <w:i/>
        </w:rPr>
        <w:t xml:space="preserve">éligibilité des coûts et critères d’admissibilité 1) à 9). </w:t>
      </w:r>
      <w:r>
        <w:rPr>
          <w:rFonts w:ascii="Times New Roman" w:hAnsi="Times New Roman"/>
          <w:b/>
          <w:i/>
        </w:rPr>
        <w:t>Exemple</w:t>
      </w:r>
      <w:r>
        <w:rPr>
          <w:rFonts w:ascii="Times New Roman" w:hAnsi="Times New Roman"/>
          <w:i/>
        </w:rPr>
        <w:t>:  nous avons constaté qu’une dépense de 6 500 EUR incluse dans la sous-rubrique 3.2 (meubles, équipement informatique) du rapport financier n’était pas éligible. Un montant de 2 000 EUR était lié à des dépenses encourues en dehors de la période de mise en œuvre. Des justificatifs n’étaient pas disponibles pour trois transactions totalisant 1 200 EUR. Les règles de marché public requises pour l’achat d’ordinateurs de bureau pour un montant de 3 300 EUR n’ont pas été respectées. (Note: il y a lieu de fournir des précisions pertinentes telles que des références ou des documents comptables.)]</w:t>
      </w:r>
    </w:p>
    <w:p w14:paraId="02B8F6B7" w14:textId="77777777" w:rsidR="00832F98" w:rsidRPr="005107DF" w:rsidRDefault="00832F98" w:rsidP="007338F0">
      <w:pPr>
        <w:rPr>
          <w:rFonts w:ascii="Times New Roman" w:hAnsi="Times New Roman" w:cs="Times New Roman"/>
          <w:b/>
          <w:sz w:val="24"/>
          <w:szCs w:val="24"/>
        </w:rPr>
      </w:pPr>
      <w:bookmarkStart w:id="1198" w:name="_Toc442374404"/>
      <w:bookmarkStart w:id="1199" w:name="_Toc442374894"/>
      <w:bookmarkStart w:id="1200" w:name="_Toc443320216"/>
      <w:bookmarkStart w:id="1201" w:name="_Toc464460063"/>
      <w:bookmarkStart w:id="1202" w:name="_Toc476063411"/>
      <w:bookmarkStart w:id="1203" w:name="_Toc476067893"/>
      <w:r>
        <w:rPr>
          <w:rFonts w:ascii="Times New Roman" w:hAnsi="Times New Roman"/>
          <w:b/>
          <w:sz w:val="24"/>
        </w:rPr>
        <w:t>3.2</w:t>
      </w:r>
      <w:r>
        <w:tab/>
      </w:r>
      <w:r>
        <w:rPr>
          <w:rFonts w:ascii="Times New Roman" w:hAnsi="Times New Roman"/>
          <w:b/>
          <w:sz w:val="24"/>
        </w:rPr>
        <w:t>Coûts directs éligibles (article 14.2 des conditions générales)</w:t>
      </w:r>
      <w:bookmarkEnd w:id="1198"/>
      <w:bookmarkEnd w:id="1199"/>
      <w:bookmarkEnd w:id="1200"/>
      <w:bookmarkEnd w:id="1201"/>
      <w:bookmarkEnd w:id="1202"/>
      <w:bookmarkEnd w:id="1203"/>
    </w:p>
    <w:p w14:paraId="0CDD7891" w14:textId="77777777" w:rsidR="00832F98" w:rsidRPr="005107DF" w:rsidRDefault="00832F98" w:rsidP="007338F0">
      <w:pPr>
        <w:rPr>
          <w:rFonts w:ascii="Times New Roman" w:hAnsi="Times New Roman" w:cs="Times New Roman"/>
          <w:b/>
          <w:sz w:val="24"/>
          <w:szCs w:val="24"/>
        </w:rPr>
      </w:pPr>
      <w:bookmarkStart w:id="1204" w:name="_Toc442374405"/>
      <w:bookmarkStart w:id="1205" w:name="_Toc442374895"/>
      <w:bookmarkStart w:id="1206" w:name="_Toc443320217"/>
      <w:bookmarkStart w:id="1207" w:name="_Toc464460064"/>
      <w:bookmarkStart w:id="1208" w:name="_Toc476063412"/>
      <w:bookmarkStart w:id="1209" w:name="_Toc476067894"/>
      <w:r>
        <w:rPr>
          <w:rFonts w:ascii="Times New Roman" w:hAnsi="Times New Roman"/>
          <w:b/>
          <w:sz w:val="24"/>
        </w:rPr>
        <w:t>3.3</w:t>
      </w:r>
      <w:r>
        <w:tab/>
      </w:r>
      <w:r>
        <w:rPr>
          <w:rFonts w:ascii="Times New Roman" w:hAnsi="Times New Roman"/>
          <w:b/>
          <w:sz w:val="24"/>
        </w:rPr>
        <w:t>Provisions pour réserves (section 6.2.11 du manuel de jumelage)</w:t>
      </w:r>
      <w:bookmarkEnd w:id="1204"/>
      <w:bookmarkEnd w:id="1205"/>
      <w:bookmarkEnd w:id="1206"/>
      <w:bookmarkEnd w:id="1207"/>
      <w:bookmarkEnd w:id="1208"/>
      <w:bookmarkEnd w:id="1209"/>
    </w:p>
    <w:p w14:paraId="2766FAFE" w14:textId="77777777" w:rsidR="00832F98" w:rsidRPr="005107DF" w:rsidRDefault="00832F98" w:rsidP="007338F0">
      <w:pPr>
        <w:rPr>
          <w:rFonts w:ascii="Times New Roman" w:hAnsi="Times New Roman" w:cs="Times New Roman"/>
          <w:b/>
          <w:sz w:val="24"/>
          <w:szCs w:val="24"/>
        </w:rPr>
      </w:pPr>
      <w:bookmarkStart w:id="1210" w:name="_Toc442374406"/>
      <w:bookmarkStart w:id="1211" w:name="_Toc442374896"/>
      <w:bookmarkStart w:id="1212" w:name="_Toc443320218"/>
      <w:bookmarkStart w:id="1213" w:name="_Toc464460065"/>
      <w:bookmarkStart w:id="1214" w:name="_Toc476063413"/>
      <w:bookmarkStart w:id="1215" w:name="_Toc476067895"/>
      <w:r>
        <w:rPr>
          <w:rFonts w:ascii="Times New Roman" w:hAnsi="Times New Roman"/>
          <w:b/>
          <w:sz w:val="24"/>
        </w:rPr>
        <w:t>3.4</w:t>
      </w:r>
      <w:r>
        <w:tab/>
      </w:r>
      <w:r>
        <w:rPr>
          <w:rFonts w:ascii="Times New Roman" w:hAnsi="Times New Roman"/>
          <w:b/>
          <w:sz w:val="24"/>
        </w:rPr>
        <w:t>Coûts de soutien aux projets de jumelage (section 6.2.14 du manuel de jumelage)</w:t>
      </w:r>
      <w:bookmarkEnd w:id="1210"/>
      <w:bookmarkEnd w:id="1211"/>
      <w:bookmarkEnd w:id="1212"/>
      <w:bookmarkEnd w:id="1213"/>
      <w:bookmarkEnd w:id="1214"/>
      <w:bookmarkEnd w:id="1215"/>
    </w:p>
    <w:p w14:paraId="34B7A21B" w14:textId="77777777" w:rsidR="00832F98" w:rsidRPr="005107DF" w:rsidRDefault="00832F98" w:rsidP="007338F0">
      <w:pPr>
        <w:rPr>
          <w:rFonts w:ascii="Times New Roman" w:hAnsi="Times New Roman" w:cs="Times New Roman"/>
          <w:b/>
          <w:sz w:val="24"/>
          <w:szCs w:val="24"/>
        </w:rPr>
      </w:pPr>
      <w:bookmarkStart w:id="1216" w:name="_Toc442374407"/>
      <w:bookmarkStart w:id="1217" w:name="_Toc442374897"/>
      <w:bookmarkStart w:id="1218" w:name="_Toc443320219"/>
      <w:bookmarkStart w:id="1219" w:name="_Toc464460066"/>
      <w:bookmarkStart w:id="1220" w:name="_Toc476063414"/>
      <w:bookmarkStart w:id="1221" w:name="_Toc476067896"/>
      <w:r>
        <w:rPr>
          <w:rFonts w:ascii="Times New Roman" w:hAnsi="Times New Roman"/>
          <w:b/>
          <w:sz w:val="24"/>
        </w:rPr>
        <w:t>3.5</w:t>
      </w:r>
      <w:r>
        <w:tab/>
      </w:r>
      <w:r>
        <w:rPr>
          <w:rFonts w:ascii="Times New Roman" w:hAnsi="Times New Roman"/>
          <w:b/>
          <w:sz w:val="24"/>
        </w:rPr>
        <w:t>Apports en nature (article 14.8 des conditions générales</w:t>
      </w:r>
      <w:bookmarkEnd w:id="1216"/>
      <w:bookmarkEnd w:id="1217"/>
      <w:bookmarkEnd w:id="1218"/>
      <w:bookmarkEnd w:id="1219"/>
      <w:bookmarkEnd w:id="1220"/>
      <w:bookmarkEnd w:id="1221"/>
      <w:r>
        <w:rPr>
          <w:rFonts w:ascii="Times New Roman" w:hAnsi="Times New Roman"/>
          <w:b/>
          <w:sz w:val="24"/>
        </w:rPr>
        <w:t xml:space="preserve">) </w:t>
      </w:r>
    </w:p>
    <w:p w14:paraId="03D2A71D" w14:textId="77777777" w:rsidR="00832F98" w:rsidRPr="005107DF" w:rsidRDefault="00832F98" w:rsidP="007338F0">
      <w:pPr>
        <w:rPr>
          <w:rFonts w:ascii="Times New Roman" w:hAnsi="Times New Roman" w:cs="Times New Roman"/>
          <w:b/>
          <w:sz w:val="24"/>
          <w:szCs w:val="24"/>
        </w:rPr>
      </w:pPr>
      <w:bookmarkStart w:id="1222" w:name="_Toc442374408"/>
      <w:bookmarkStart w:id="1223" w:name="_Toc442374898"/>
      <w:bookmarkStart w:id="1224" w:name="_Toc443320220"/>
      <w:bookmarkStart w:id="1225" w:name="_Toc464460067"/>
      <w:bookmarkStart w:id="1226" w:name="_Toc476063415"/>
      <w:bookmarkStart w:id="1227" w:name="_Toc476067897"/>
      <w:r>
        <w:rPr>
          <w:rFonts w:ascii="Times New Roman" w:hAnsi="Times New Roman"/>
          <w:b/>
          <w:sz w:val="24"/>
        </w:rPr>
        <w:t>3.6</w:t>
      </w:r>
      <w:r>
        <w:tab/>
      </w:r>
      <w:r>
        <w:rPr>
          <w:rFonts w:ascii="Times New Roman" w:hAnsi="Times New Roman"/>
          <w:b/>
          <w:sz w:val="24"/>
        </w:rPr>
        <w:t>Coûts non éligibles (article 14.9 des conditions générales)</w:t>
      </w:r>
      <w:bookmarkEnd w:id="1222"/>
      <w:bookmarkEnd w:id="1223"/>
      <w:bookmarkEnd w:id="1224"/>
      <w:bookmarkEnd w:id="1225"/>
      <w:bookmarkEnd w:id="1226"/>
      <w:bookmarkEnd w:id="1227"/>
    </w:p>
    <w:p w14:paraId="4361AF55" w14:textId="77777777" w:rsidR="00832F98" w:rsidRPr="005107DF" w:rsidRDefault="00832F98" w:rsidP="007338F0">
      <w:pPr>
        <w:rPr>
          <w:rFonts w:ascii="Times New Roman" w:hAnsi="Times New Roman" w:cs="Times New Roman"/>
          <w:b/>
          <w:sz w:val="24"/>
          <w:szCs w:val="24"/>
        </w:rPr>
      </w:pPr>
      <w:bookmarkStart w:id="1228" w:name="_Toc442374409"/>
      <w:bookmarkStart w:id="1229" w:name="_Toc442374899"/>
      <w:bookmarkStart w:id="1230" w:name="_Toc443320221"/>
      <w:bookmarkStart w:id="1231" w:name="_Toc464460068"/>
      <w:bookmarkStart w:id="1232" w:name="_Toc476063416"/>
      <w:bookmarkStart w:id="1233" w:name="_Toc476067898"/>
      <w:r>
        <w:rPr>
          <w:rFonts w:ascii="Times New Roman" w:hAnsi="Times New Roman"/>
          <w:b/>
          <w:sz w:val="24"/>
        </w:rPr>
        <w:t>3.7</w:t>
      </w:r>
      <w:r>
        <w:tab/>
      </w:r>
      <w:r>
        <w:rPr>
          <w:rFonts w:ascii="Times New Roman" w:hAnsi="Times New Roman"/>
          <w:b/>
          <w:sz w:val="24"/>
        </w:rPr>
        <w:t>Recettes de l’action</w:t>
      </w:r>
      <w:bookmarkEnd w:id="1228"/>
      <w:bookmarkEnd w:id="1229"/>
      <w:bookmarkEnd w:id="1230"/>
      <w:bookmarkEnd w:id="1231"/>
      <w:bookmarkEnd w:id="1232"/>
      <w:bookmarkEnd w:id="1233"/>
    </w:p>
    <w:p w14:paraId="15901D05" w14:textId="77777777" w:rsidR="00832F98" w:rsidRPr="005107DF" w:rsidRDefault="00832F98" w:rsidP="001F5228">
      <w:pPr>
        <w:spacing w:after="240" w:line="240" w:lineRule="auto"/>
        <w:ind w:left="360"/>
        <w:jc w:val="both"/>
        <w:rPr>
          <w:rFonts w:ascii="Times New Roman" w:eastAsia="Times New Roman" w:hAnsi="Times New Roman" w:cs="Times New Roman"/>
          <w:sz w:val="24"/>
          <w:szCs w:val="24"/>
        </w:rPr>
      </w:pPr>
      <w:r>
        <w:rPr>
          <w:rFonts w:ascii="Times New Roman" w:hAnsi="Times New Roman"/>
          <w:i/>
        </w:rPr>
        <w:t xml:space="preserve">[Décrire les observations factuelles et indiquer les erreurs et exceptions. </w:t>
      </w:r>
      <w:r>
        <w:rPr>
          <w:rFonts w:ascii="Times New Roman" w:hAnsi="Times New Roman"/>
          <w:b/>
          <w:i/>
        </w:rPr>
        <w:t>Procédures 4.2 à 4.6 de l’annexe 2A</w:t>
      </w:r>
      <w:r>
        <w:rPr>
          <w:rFonts w:ascii="Times New Roman" w:hAnsi="Times New Roman"/>
          <w:i/>
        </w:rPr>
        <w:t>].</w:t>
      </w:r>
      <w:bookmarkStart w:id="1234" w:name="_Toc191455098"/>
    </w:p>
    <w:p w14:paraId="54B60F66" w14:textId="77777777" w:rsidR="00832F98" w:rsidRPr="005107DF" w:rsidRDefault="00832F98" w:rsidP="007338F0">
      <w:pPr>
        <w:rPr>
          <w:rFonts w:ascii="Times New Roman" w:hAnsi="Times New Roman" w:cs="Times New Roman"/>
        </w:rPr>
      </w:pPr>
      <w:bookmarkStart w:id="1235" w:name="_Toc211936985"/>
      <w:bookmarkStart w:id="1236" w:name="_Toc442374410"/>
      <w:bookmarkStart w:id="1237" w:name="_Toc442374900"/>
      <w:bookmarkStart w:id="1238" w:name="_Toc443320222"/>
      <w:bookmarkStart w:id="1239" w:name="_Toc464460069"/>
      <w:bookmarkStart w:id="1240" w:name="_Toc476063417"/>
      <w:bookmarkStart w:id="1241" w:name="_Toc476067899"/>
    </w:p>
    <w:p w14:paraId="677999F0" w14:textId="77777777" w:rsidR="00832F98" w:rsidRPr="005107DF" w:rsidRDefault="00832F98" w:rsidP="007338F0">
      <w:pPr>
        <w:rPr>
          <w:rFonts w:ascii="Times New Roman" w:hAnsi="Times New Roman" w:cs="Times New Roman"/>
          <w:b/>
          <w:sz w:val="24"/>
          <w:szCs w:val="24"/>
        </w:rPr>
      </w:pPr>
      <w:r>
        <w:rPr>
          <w:rFonts w:ascii="Times New Roman" w:hAnsi="Times New Roman"/>
          <w:b/>
          <w:sz w:val="24"/>
        </w:rPr>
        <w:t>Annexe 1</w:t>
      </w:r>
      <w:r>
        <w:tab/>
      </w:r>
      <w:r>
        <w:rPr>
          <w:rFonts w:ascii="Times New Roman" w:hAnsi="Times New Roman"/>
          <w:b/>
          <w:sz w:val="24"/>
        </w:rPr>
        <w:t xml:space="preserve">Rapport financier relatif au </w:t>
      </w:r>
      <w:bookmarkEnd w:id="1234"/>
      <w:bookmarkEnd w:id="1235"/>
      <w:bookmarkEnd w:id="1236"/>
      <w:bookmarkEnd w:id="1237"/>
      <w:bookmarkEnd w:id="1238"/>
      <w:bookmarkEnd w:id="1239"/>
      <w:r>
        <w:rPr>
          <w:rFonts w:ascii="Times New Roman" w:hAnsi="Times New Roman"/>
          <w:b/>
          <w:sz w:val="24"/>
        </w:rPr>
        <w:t>contrat de subvention de jumelage</w:t>
      </w:r>
      <w:bookmarkEnd w:id="1240"/>
      <w:bookmarkEnd w:id="1241"/>
    </w:p>
    <w:p w14:paraId="3F137CE1" w14:textId="77777777" w:rsidR="00832F98" w:rsidRPr="005107DF" w:rsidRDefault="00832F98" w:rsidP="004946B7">
      <w:pPr>
        <w:spacing w:after="240" w:line="240" w:lineRule="auto"/>
        <w:jc w:val="both"/>
        <w:rPr>
          <w:rFonts w:ascii="Times New Roman" w:eastAsia="Times New Roman" w:hAnsi="Times New Roman" w:cs="Times New Roman"/>
          <w:sz w:val="18"/>
          <w:szCs w:val="18"/>
        </w:rPr>
      </w:pPr>
      <w:r>
        <w:rPr>
          <w:rFonts w:ascii="Times New Roman" w:hAnsi="Times New Roman"/>
          <w:sz w:val="18"/>
        </w:rPr>
        <w:t>[</w:t>
      </w:r>
      <w:r>
        <w:rPr>
          <w:rFonts w:ascii="Times New Roman" w:hAnsi="Times New Roman"/>
          <w:i/>
          <w:sz w:val="18"/>
        </w:rPr>
        <w:t xml:space="preserve">L’annexe 1 doit inclure le rapport financier du ou des États membres partenaires relatif au contrat de subvention de jumelage qui a fait l’objet de la vérification. Le rapport financier doit être daté et </w:t>
      </w:r>
      <w:r>
        <w:rPr>
          <w:rFonts w:ascii="Times New Roman" w:hAnsi="Times New Roman"/>
          <w:b/>
          <w:i/>
          <w:sz w:val="18"/>
        </w:rPr>
        <w:t>indiquer</w:t>
      </w:r>
      <w:r>
        <w:rPr>
          <w:rFonts w:ascii="Times New Roman" w:hAnsi="Times New Roman"/>
          <w:i/>
          <w:sz w:val="18"/>
        </w:rPr>
        <w:t xml:space="preserve"> la période couverte.]</w:t>
      </w:r>
    </w:p>
    <w:p w14:paraId="69AAA4C5" w14:textId="77777777" w:rsidR="00832F98" w:rsidRPr="005107DF" w:rsidRDefault="00832F98" w:rsidP="007338F0">
      <w:pPr>
        <w:rPr>
          <w:rFonts w:ascii="Times New Roman" w:hAnsi="Times New Roman" w:cs="Times New Roman"/>
        </w:rPr>
      </w:pPr>
      <w:bookmarkStart w:id="1242" w:name="_Toc191455099"/>
      <w:bookmarkStart w:id="1243" w:name="_Toc211936986"/>
      <w:bookmarkStart w:id="1244" w:name="_Toc442374411"/>
      <w:bookmarkStart w:id="1245" w:name="_Toc442374901"/>
      <w:bookmarkStart w:id="1246" w:name="_Toc443320223"/>
      <w:bookmarkStart w:id="1247" w:name="_Toc464460070"/>
      <w:bookmarkStart w:id="1248" w:name="_Toc476063418"/>
      <w:bookmarkStart w:id="1249" w:name="_Toc476067900"/>
    </w:p>
    <w:p w14:paraId="527FFC05" w14:textId="77777777" w:rsidR="00832F98" w:rsidRPr="005107DF" w:rsidRDefault="00832F98" w:rsidP="007338F0">
      <w:pPr>
        <w:rPr>
          <w:rFonts w:ascii="Times New Roman" w:hAnsi="Times New Roman" w:cs="Times New Roman"/>
          <w:b/>
          <w:sz w:val="24"/>
          <w:szCs w:val="24"/>
        </w:rPr>
      </w:pPr>
      <w:r>
        <w:rPr>
          <w:rFonts w:ascii="Times New Roman" w:hAnsi="Times New Roman"/>
          <w:b/>
          <w:sz w:val="24"/>
        </w:rPr>
        <w:t>Annexe 2</w:t>
      </w:r>
      <w:r>
        <w:tab/>
      </w:r>
      <w:r>
        <w:rPr>
          <w:rFonts w:ascii="Times New Roman" w:hAnsi="Times New Roman"/>
          <w:b/>
          <w:sz w:val="24"/>
        </w:rPr>
        <w:t>Termes de référence pour une vérification des dépenses</w:t>
      </w:r>
      <w:bookmarkEnd w:id="1242"/>
      <w:bookmarkEnd w:id="1243"/>
      <w:bookmarkEnd w:id="1244"/>
      <w:bookmarkEnd w:id="1245"/>
      <w:bookmarkEnd w:id="1246"/>
      <w:bookmarkEnd w:id="1247"/>
      <w:bookmarkEnd w:id="1248"/>
      <w:bookmarkEnd w:id="1249"/>
    </w:p>
    <w:p w14:paraId="62D643F3" w14:textId="601B3A23" w:rsidR="00832F98" w:rsidRPr="004946B7" w:rsidRDefault="00832F98" w:rsidP="004946B7">
      <w:pPr>
        <w:spacing w:after="240" w:line="240" w:lineRule="auto"/>
        <w:jc w:val="both"/>
        <w:rPr>
          <w:rFonts w:ascii="Times New Roman" w:eastAsia="Times New Roman" w:hAnsi="Times New Roman" w:cs="Times New Roman"/>
          <w:i/>
          <w:iCs/>
          <w:sz w:val="18"/>
          <w:szCs w:val="18"/>
        </w:rPr>
      </w:pPr>
      <w:r>
        <w:rPr>
          <w:rFonts w:ascii="Times New Roman" w:hAnsi="Times New Roman"/>
          <w:sz w:val="18"/>
        </w:rPr>
        <w:t>[</w:t>
      </w:r>
      <w:r>
        <w:rPr>
          <w:rFonts w:ascii="Times New Roman" w:hAnsi="Times New Roman"/>
          <w:i/>
          <w:sz w:val="18"/>
        </w:rPr>
        <w:t xml:space="preserve">L’annexe 2 doit inclure une copie signée et datée des termes de référence pour une vérification des dépenses dans le cadre d’un contrat de subvention de jumelage, y compris l’annexe 1 (informations relatives au contrat de subvention de jumelage) et l’annexe 2A (liste des </w:t>
      </w:r>
      <w:r>
        <w:rPr>
          <w:rFonts w:ascii="Times New Roman" w:hAnsi="Times New Roman"/>
          <w:b/>
          <w:i/>
          <w:sz w:val="18"/>
        </w:rPr>
        <w:t>procédures</w:t>
      </w:r>
      <w:r>
        <w:rPr>
          <w:rFonts w:ascii="Times New Roman" w:hAnsi="Times New Roman"/>
          <w:i/>
          <w:sz w:val="18"/>
        </w:rPr>
        <w:t xml:space="preserve"> spécifiques à exécuter).]</w:t>
      </w:r>
    </w:p>
    <w:p w14:paraId="50F99E0A"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pPr>
      <w:bookmarkStart w:id="1250" w:name="_Toc517434468"/>
      <w:bookmarkStart w:id="1251" w:name="_Toc2861035"/>
      <w:r>
        <w:rPr>
          <w:sz w:val="32"/>
        </w:rPr>
        <w:lastRenderedPageBreak/>
        <w:t>ANNEXE A7: Annexe financière</w:t>
      </w:r>
      <w:bookmarkEnd w:id="1250"/>
      <w:bookmarkEnd w:id="1251"/>
    </w:p>
    <w:p w14:paraId="1330BA88" w14:textId="77777777" w:rsidR="00832F98" w:rsidRPr="005107DF" w:rsidRDefault="00832F98" w:rsidP="003947FF">
      <w:pPr>
        <w:spacing w:after="0" w:line="240" w:lineRule="auto"/>
        <w:jc w:val="both"/>
        <w:rPr>
          <w:rFonts w:ascii="Times New Roman" w:eastAsia="Times New Roman" w:hAnsi="Times New Roman" w:cs="Times New Roman"/>
          <w:sz w:val="36"/>
          <w:szCs w:val="36"/>
        </w:rPr>
      </w:pPr>
      <w:r>
        <w:rPr>
          <w:rFonts w:ascii="Times New Roman" w:hAnsi="Times New Roman"/>
          <w:sz w:val="36"/>
        </w:rPr>
        <w:t xml:space="preserve">1. Le budget du projet </w:t>
      </w:r>
      <w:r>
        <w:rPr>
          <w:rFonts w:ascii="Times New Roman" w:hAnsi="Times New Roman"/>
          <w:color w:val="000000"/>
          <w:sz w:val="24"/>
        </w:rPr>
        <w:t>(annexe A3)</w:t>
      </w:r>
    </w:p>
    <w:p w14:paraId="4F709F2A" w14:textId="77777777" w:rsidR="00832F98" w:rsidRPr="005107DF" w:rsidRDefault="00832F98" w:rsidP="003947FF">
      <w:pPr>
        <w:spacing w:after="0" w:line="240" w:lineRule="auto"/>
        <w:jc w:val="both"/>
        <w:rPr>
          <w:rFonts w:ascii="Times New Roman" w:eastAsia="Times New Roman" w:hAnsi="Times New Roman" w:cs="Times New Roman"/>
          <w:sz w:val="24"/>
          <w:szCs w:val="24"/>
        </w:rPr>
      </w:pPr>
    </w:p>
    <w:p w14:paraId="2E96EB18"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1.1 Observations générales</w:t>
      </w:r>
    </w:p>
    <w:p w14:paraId="6EC5D394"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budget total affecté à l’exécution du projet de jumelage doit rester dans les limites du montant mentionné dans la fiche de jumelage; aucune augmentation de ce montant n’est autorisée.</w:t>
      </w:r>
    </w:p>
    <w:p w14:paraId="3652C921"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plans de travail initial et plans de travail évolutifs ultérieurs du jumelage sont accompagnés d’un budget détaillé. Pour chaque activité, des postes de dépenses individuels sont énumérés et quantifiés et les coûts unitaires et taux forfaitaires prévus dans le contrat sont comptabilisés. </w:t>
      </w:r>
    </w:p>
    <w:p w14:paraId="20FAD447"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le plan de travail doit répertorier l’ensemble des activités prévues dans le cadre du projet de jumelage, qu’elles relèvent de la responsabilité du bénéficiaire ou de l’État membre, la ventilation des coûts n’est fournie que pour les activités financées au titre de la subvention de l’UE.</w:t>
      </w:r>
    </w:p>
    <w:p w14:paraId="51AE60BD"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1.2 Structure du budget</w:t>
      </w:r>
    </w:p>
    <w:p w14:paraId="29C20E4D"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budget de jumelage comporte une rubrique budgétaire établissant l’indemnisation des coûts relatifs au CRJ et à son ou ses assistants, une rubrique budgétaire pour les coûts horizontaux, une rubrique budgétaire pour les résultats/produits obligatoires, ventilés en fonction des volets liés à chaque résultat/produit obligatoire et des activités précises réalisées dans le cadre de chacun d’entre eux, une rubrique budgétaire pour la réserve ainsi qu’une rubrique budgétaire relative au taux forfaitaire pour les coûts indirects. </w:t>
      </w:r>
    </w:p>
    <w:p w14:paraId="14AB5912"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sz w:val="24"/>
        </w:rPr>
        <w:t>Le montant global alloué à chaque rubrique budgétaire et chaque ligne budgétaire est inclus dans le contrat initial, à l’annexe A3 du contrat de subvention de jumelage.</w:t>
      </w:r>
    </w:p>
    <w:p w14:paraId="0C84CAC1"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Seules les rubriques budgétaires, et non les lignes budgétaires, sont concernées par l’application de la règle des 25 % pour les modifications par avenants. </w:t>
      </w:r>
    </w:p>
    <w:p w14:paraId="5D62FEF7"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coûts unitaires et taux forfaitaires applicables définis pour les projets de jumelage sont mentionnés dans chaque rubrique budgétaire et sous-rubrique. </w:t>
      </w:r>
    </w:p>
    <w:p w14:paraId="39DC340E"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La participation aux actions liées à l’élaboration des plans de travail initial et ultérieurs, y compris les réunions du comité de pilotage du projet regroupant les chefs de projet des États membres, les responsables de volets et les autres membres du personnel de soutien, et la participation aux événements prévus par le ou les chefs de projet des États membres dans le cadre du plan de communication et de visibilité relèvent de la rubrique budgétaire consacrée aux coûts horizontaux. Pour les activités mentionnées, le ou les chefs de projet des États membres et/ou les autres membres du personnel de soutien sont considérés comme des experts de courte durée. Les allocations de voyage et indemnités journalières liées à la participation du chef de projet du bénéficiaire et/ou de l’homologue du CRJ aux formations dispensées au siège de la Commission sont également couvertes par cette rubrique budgétaire, de même que les coûts - basés sur les coûts réels - du plan de communication et de visibilité et les fournitures exceptionnellement justifiées nécessaires à la mise en œuvre efficace du projet. </w:t>
      </w:r>
    </w:p>
    <w:p w14:paraId="4FC5CD42"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sz w:val="24"/>
        </w:rPr>
        <w:lastRenderedPageBreak/>
        <w:t>En ce qui concerne le montant alloué à la rubrique budgétaire relative aux résultats/produits obligatoires, les montants établis pour chaque volet (se rapportant à un résultat/produit obligatoire donné) devraient, au stade initial du contrat, être définis en tant que montant global, de la même manière qu’à l’annexe A3 du contrat de subvention de jumelage.</w:t>
      </w:r>
    </w:p>
    <w:p w14:paraId="72604473"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sz w:val="24"/>
        </w:rPr>
        <w:t>Le montant alloué aux réserves/provisions pour imprévus est fixé à 2,5 % des coûts directs au moment de la conclusion du contrat. En cas d’utilisation des réserves pour la mise en œuvre du projet, celles-ci sont réaffectées à la rubrique budgétaire concernée.</w:t>
      </w:r>
    </w:p>
    <w:p w14:paraId="722EEA0F"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 taux forfaitaire pour les coûts indirects est fixé à 6 % des coûts directs conformément à l’annexe B. </w:t>
      </w:r>
    </w:p>
    <w:p w14:paraId="0CD62C13"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sz w:val="24"/>
        </w:rPr>
        <w:t>Dans le budget accompagnant les plans de travail initial et ultérieurs, les activités individuelles représentent des postes distincts de la rubrique budgétaire concernée, ventilés en fonction des coûts spécifiques de l’activité. Une activité peut inclure un certain nombre de sous-activités.</w:t>
      </w:r>
    </w:p>
    <w:p w14:paraId="0F659AAA"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Les coûts budgétisés sous une forme simplifiée (coûts unitaires ou taux forfaitaires conformément à l’annexe B) sont indiqués à l’annexe A3 du contrat de subvention de jumelage, de même que les valeurs applicables. Ces dernières apparaissent, </w:t>
      </w:r>
      <w:r>
        <w:rPr>
          <w:rFonts w:ascii="Times New Roman" w:hAnsi="Times New Roman"/>
          <w:color w:val="000000"/>
          <w:sz w:val="24"/>
        </w:rPr>
        <w:t>le cas échéant</w:t>
      </w:r>
      <w:r>
        <w:rPr>
          <w:rFonts w:ascii="Times New Roman" w:hAnsi="Times New Roman"/>
          <w:sz w:val="24"/>
        </w:rPr>
        <w:t>, dans la ventilation des coûts de chaque activité du plan de travail.</w:t>
      </w:r>
    </w:p>
    <w:p w14:paraId="47EB235B"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Tous les montants établis sous la forme de coûts unitaires ou de taux forfaitaires demeurent inchangés tout au long de la mise en œuvre du projet.</w:t>
      </w:r>
    </w:p>
    <w:p w14:paraId="22B82B5C" w14:textId="77777777" w:rsidR="00832F98" w:rsidRPr="005107DF" w:rsidRDefault="00832F98" w:rsidP="003947FF">
      <w:pPr>
        <w:spacing w:after="0" w:line="240" w:lineRule="auto"/>
        <w:jc w:val="both"/>
        <w:rPr>
          <w:rFonts w:ascii="Times New Roman" w:eastAsia="Times New Roman" w:hAnsi="Times New Roman" w:cs="Times New Roman"/>
          <w:sz w:val="36"/>
          <w:szCs w:val="36"/>
        </w:rPr>
      </w:pPr>
      <w:r>
        <w:rPr>
          <w:rFonts w:ascii="Times New Roman" w:hAnsi="Times New Roman"/>
          <w:sz w:val="36"/>
        </w:rPr>
        <w:t>2.</w:t>
      </w:r>
      <w:r>
        <w:tab/>
      </w:r>
      <w:r>
        <w:rPr>
          <w:rFonts w:ascii="Times New Roman" w:hAnsi="Times New Roman"/>
          <w:sz w:val="36"/>
        </w:rPr>
        <w:t xml:space="preserve">Modification d’un contrat de subvention de jumelage  </w:t>
      </w:r>
    </w:p>
    <w:p w14:paraId="0E641EF9" w14:textId="77777777" w:rsidR="00832F98" w:rsidRPr="005107DF" w:rsidRDefault="00832F98" w:rsidP="003947FF">
      <w:pPr>
        <w:spacing w:after="0" w:line="240" w:lineRule="auto"/>
        <w:jc w:val="both"/>
        <w:rPr>
          <w:rFonts w:ascii="Times New Roman" w:eastAsia="Times New Roman" w:hAnsi="Times New Roman" w:cs="Times New Roman"/>
          <w:sz w:val="24"/>
          <w:szCs w:val="24"/>
        </w:rPr>
      </w:pPr>
    </w:p>
    <w:p w14:paraId="3204F2ED"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plan de travail d’un projet de jumelage doit être élaboré et approuvé de manière suffisamment détaillée avant la réalisation des activités liées aux volets, de manière à pouvoir motiver objectivement le financement demandé. Du fait du grand nombre d’activités différentes qu’il implique, le projet de jumelage est toutefois exposé aux imprévus les plus divers et peut nécessiter une adaptation au cours de sa mise en œuvre. Une grande souplesse s’impose donc. </w:t>
      </w:r>
      <w:r>
        <w:rPr>
          <w:rFonts w:ascii="Times New Roman" w:hAnsi="Times New Roman"/>
          <w:b/>
          <w:color w:val="000000"/>
          <w:sz w:val="24"/>
        </w:rPr>
        <w:t xml:space="preserve"> Néanmoins, les modifications des résultats/produits obligatoires devraient être exceptionnelles et dûment justifiées et ne devraient pas être contraires aux dispositions des décisions de financement respectives. </w:t>
      </w:r>
    </w:p>
    <w:p w14:paraId="02E837FB"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conséquence, la section suivante détaille tout d’abord 1) les conditions requises pour toutes les modifications à un contrat de subvention de jumelage et ensuite 2) les règles plus spécifiques concernant les modifications budgétaires. </w:t>
      </w:r>
    </w:p>
    <w:p w14:paraId="21B84F68"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 xml:space="preserve">1) Modifications générales </w:t>
      </w:r>
    </w:p>
    <w:p w14:paraId="36CB1D9A"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procédures suivantes s’appliquent: </w:t>
      </w:r>
    </w:p>
    <w:p w14:paraId="293B7F1A" w14:textId="77777777" w:rsidR="00832F98" w:rsidRPr="005107DF" w:rsidRDefault="00832F98" w:rsidP="003947FF">
      <w:pPr>
        <w:numPr>
          <w:ilvl w:val="12"/>
          <w:numId w:val="0"/>
        </w:numPr>
        <w:tabs>
          <w:tab w:val="left" w:pos="540"/>
        </w:tabs>
        <w:spacing w:after="240" w:line="240" w:lineRule="auto"/>
        <w:ind w:left="540" w:hanging="540"/>
        <w:jc w:val="both"/>
        <w:rPr>
          <w:rFonts w:ascii="Times New Roman" w:eastAsia="Times New Roman" w:hAnsi="Times New Roman" w:cs="Times New Roman"/>
          <w:b/>
          <w:color w:val="000000"/>
          <w:sz w:val="24"/>
          <w:szCs w:val="24"/>
          <w:u w:val="single"/>
        </w:rPr>
      </w:pPr>
      <w:r>
        <w:rPr>
          <w:rFonts w:ascii="Times New Roman" w:hAnsi="Times New Roman"/>
          <w:b/>
          <w:color w:val="000000"/>
          <w:sz w:val="24"/>
        </w:rPr>
        <w:t>A</w:t>
      </w:r>
      <w:r>
        <w:rPr>
          <w:rFonts w:ascii="Times New Roman" w:hAnsi="Times New Roman"/>
          <w:color w:val="000000"/>
          <w:sz w:val="24"/>
        </w:rPr>
        <w:t xml:space="preserve">.  </w:t>
      </w:r>
      <w:r>
        <w:rPr>
          <w:rFonts w:ascii="Times New Roman" w:hAnsi="Times New Roman"/>
          <w:b/>
          <w:color w:val="000000"/>
          <w:sz w:val="24"/>
        </w:rPr>
        <w:t xml:space="preserve">Avenants </w:t>
      </w:r>
      <w:r>
        <w:rPr>
          <w:rFonts w:ascii="Times New Roman" w:hAnsi="Times New Roman"/>
          <w:b/>
          <w:color w:val="000000"/>
          <w:sz w:val="24"/>
          <w:u w:val="single"/>
        </w:rPr>
        <w:t xml:space="preserve"> </w:t>
      </w:r>
    </w:p>
    <w:p w14:paraId="6A87E055" w14:textId="77777777" w:rsidR="00832F98" w:rsidRPr="005107DF" w:rsidRDefault="00832F98" w:rsidP="003947FF">
      <w:pPr>
        <w:numPr>
          <w:ilvl w:val="12"/>
          <w:numId w:val="0"/>
        </w:numPr>
        <w:tabs>
          <w:tab w:val="left" w:pos="0"/>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modifications importantes apportées à un contrat de subvention de jumelage doivent faire l’objet d’un avenant formel signé par l’ensemble des parties au contrat, y compris le ou les chefs de projet de l’administration de l’État membre et de l’administration bénéficiaire. Elles sont traitées en fonction du mode de mise en œuvre (directe ou indirecte).</w:t>
      </w:r>
    </w:p>
    <w:p w14:paraId="79B61F8D"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Un avenant formel est requis pour les modifications d’un contrat de subvention de jumelage portant sur les éléments suivants: </w:t>
      </w:r>
    </w:p>
    <w:p w14:paraId="5AE55C08" w14:textId="77777777" w:rsidR="00832F98" w:rsidRPr="005107DF" w:rsidRDefault="00832F98" w:rsidP="003947FF">
      <w:pPr>
        <w:numPr>
          <w:ilvl w:val="0"/>
          <w:numId w:val="100"/>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Le domaine de coopération pertinent avec l’UE et/ou</w:t>
      </w:r>
      <w:r>
        <w:rPr>
          <w:rFonts w:ascii="Times New Roman" w:hAnsi="Times New Roman"/>
          <w:i/>
          <w:color w:val="000000"/>
          <w:sz w:val="24"/>
        </w:rPr>
        <w:t xml:space="preserve"> </w:t>
      </w:r>
      <w:r>
        <w:rPr>
          <w:rFonts w:ascii="Times New Roman" w:hAnsi="Times New Roman"/>
          <w:color w:val="000000"/>
          <w:sz w:val="24"/>
        </w:rPr>
        <w:t>l’acquis de l’UE en rapport avec le plan de travail du projet de jumelage.</w:t>
      </w:r>
    </w:p>
    <w:p w14:paraId="2C0889D5" w14:textId="77777777" w:rsidR="00832F98" w:rsidRPr="005107DF" w:rsidRDefault="00832F98" w:rsidP="003947FF">
      <w:pPr>
        <w:numPr>
          <w:ilvl w:val="0"/>
          <w:numId w:val="101"/>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rPr>
      </w:pPr>
      <w:r>
        <w:rPr>
          <w:rFonts w:ascii="Times New Roman" w:hAnsi="Times New Roman"/>
          <w:color w:val="000000"/>
          <w:sz w:val="24"/>
        </w:rPr>
        <w:t>L’administration de l’État membre participant au projet de jumelage telle qu’elle est mentionnée à l’article 5 du contrat de subvention de jumelage.</w:t>
      </w:r>
    </w:p>
    <w:p w14:paraId="5E9C6B92" w14:textId="77777777" w:rsidR="00832F98" w:rsidRPr="005107DF" w:rsidRDefault="00832F98" w:rsidP="003947FF">
      <w:pPr>
        <w:numPr>
          <w:ilvl w:val="0"/>
          <w:numId w:val="102"/>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rPr>
      </w:pPr>
      <w:r>
        <w:rPr>
          <w:rFonts w:ascii="Times New Roman" w:hAnsi="Times New Roman"/>
          <w:color w:val="000000"/>
          <w:sz w:val="24"/>
        </w:rPr>
        <w:t>La période d’exécution du contrat et la période de mise en œuvre de l’action (article 2 du contrat de subvention de jumelage).</w:t>
      </w:r>
    </w:p>
    <w:p w14:paraId="31D7ACE9" w14:textId="77777777" w:rsidR="00832F98" w:rsidRPr="005107DF" w:rsidRDefault="00832F98"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résultats/produits obligatoires et les cibles à atteindre conformément au plan de travail du projet de jumelage. </w:t>
      </w:r>
    </w:p>
    <w:p w14:paraId="3A113D90" w14:textId="77777777" w:rsidR="00832F98" w:rsidRPr="005107DF" w:rsidRDefault="00832F98"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L’identité des chefs de projet de l’État membre et du bénéficiaire et du CRJ de l’État membre.</w:t>
      </w:r>
    </w:p>
    <w:p w14:paraId="42738BC3" w14:textId="77777777" w:rsidR="00832F98" w:rsidRPr="005107DF" w:rsidRDefault="00832F98"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réaffectations entre rubriques budgétaires pour un montant dépassant 25 % du budget au titre du contrat de subvention de jumelage (annexe A3). </w:t>
      </w:r>
    </w:p>
    <w:p w14:paraId="65C5987F"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 avenant n’est pas nécessaire en cas de suspension ou de reprise de la mise en œuvre et/ou du financement du contrat de subvention de jumelage, ou de résiliation de ce dernier. Les décisions de suspension et de reprise de la mise en œuvre et/ou du financement du contrat de subvention de jumelage, ou de résiliation de ce dernier, sont réglementées par l’article 7 des conditions particulières (annexe A) et par les articles 11 et 12 des conditions générales (annexe A2).</w:t>
      </w:r>
    </w:p>
    <w:p w14:paraId="6878261D"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p>
    <w:p w14:paraId="645B088A"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Lorsqu’une suspension est levée, un avenant peut être exigé pour proroger le contrat et, le cas échéant, adapter le contrat de subvention de jumelage aux nouvelles conditions de mise en œuvre. La période de mise en œuvre prolongée ne doit toutefois pas aller au-delà de la fin de la phase de mise en œuvre opérationnelle de la convention de financement dans le cadre de laquelle est financé le contrat de subvention de jumelage (lorsqu’il y a une convention de financement).</w:t>
      </w:r>
    </w:p>
    <w:p w14:paraId="13638674" w14:textId="77777777" w:rsidR="00832F98" w:rsidRPr="005107DF" w:rsidRDefault="00832F98" w:rsidP="003947FF">
      <w:pPr>
        <w:spacing w:after="24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Lorsque l’administration contractante n’est pas la délégation de l’UE, la décision de suspendre ou de résilier le contrat de subvention de jumelage exige l’approbation préalable de la délégation de l’UE.</w:t>
      </w:r>
    </w:p>
    <w:p w14:paraId="6C29CE54" w14:textId="77777777" w:rsidR="00832F98" w:rsidRPr="005107DF" w:rsidRDefault="00832F98" w:rsidP="003947FF">
      <w:pPr>
        <w:spacing w:after="24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B. Plans de travail et lettres d’accompagnement</w:t>
      </w:r>
    </w:p>
    <w:p w14:paraId="1ADD6394"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modifications des plans de travail et des lettres d’accompagnement ainsi que des budgets correspondants entraînant une réaffectation supérieure à 25 % entre deux rubriques budgétaires nécessitent un avenant.</w:t>
      </w:r>
    </w:p>
    <w:p w14:paraId="3A41F05E"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modifications traitées ne peuvent ni affecter l’objet fondamental du projet, ni transformer en profondeur les résultats/produits obligatoires, même avec l’accord du comité de pilotage du projet.</w:t>
      </w:r>
    </w:p>
    <w:p w14:paraId="0EAF2A8E"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Modifications relatives à l’identité des responsables de volets de l’État membre et du chef de projet junior de l’État membre.</w:t>
      </w:r>
    </w:p>
    <w:p w14:paraId="71004C58" w14:textId="77777777" w:rsidR="00832F98" w:rsidRPr="005107DF" w:rsidRDefault="00832F98" w:rsidP="003947FF">
      <w:pPr>
        <w:spacing w:after="24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Plans de travail</w:t>
      </w:r>
    </w:p>
    <w:p w14:paraId="337DC61A"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plan de travail initial portant sur une période minimale de 6 mois servira de base à l’élaboration d’un plan de travail évolutif, auquel seront progressivement ajoutés les détails des activités supplémentaires et/ou clôturées. En tant que document évolutif, il est </w:t>
      </w:r>
      <w:r>
        <w:rPr>
          <w:rFonts w:ascii="Times New Roman" w:hAnsi="Times New Roman"/>
          <w:color w:val="000000"/>
          <w:sz w:val="24"/>
        </w:rPr>
        <w:lastRenderedPageBreak/>
        <w:t xml:space="preserve">régulièrement mis à jour afin d’y répertorier les progrès accomplis, les évolutions prévues ou imprévues, la disponibilité des experts des États membres et des bénéficiaires, etc., avec toujours comme objectif la réalisation des résultats/produits obligatoires. Les mises à jour initiale et ultérieures du plan de travail sont formalisées dans le cadre des réunions trimestrielles du comité de pilotage du projet (voir la section 5.2.4 du manuel de jumelage). </w:t>
      </w:r>
    </w:p>
    <w:p w14:paraId="7B25B047"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plan de travail se compose de deux parties: la description des activités et le budget correspondant. Les activités doivent être identifiées par la même référence et le même intitulé dans les deux parties, de sorte que les coûts puissent être associés de manière claire et non ambiguë à chaque rubrique budgétaire et volet. </w:t>
      </w:r>
    </w:p>
    <w:p w14:paraId="6FE89604"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plan de travail est défini comme une succession d’activités qui doivent être mises en œuvre par l’une ou l’autre partie (ou les deux) et qui forment ensemble la stratégie qui doit permettre d’atteindre les résultats/produits obligatoires.</w:t>
      </w:r>
    </w:p>
    <w:p w14:paraId="48D00BF7"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plan de travail doit mentionner expressément les services ou organismes du bénéficiaire concernés par les activités, le personnel responsable de la mobilisation des ressources humaines et logistiques, les ressources financières que devra éventuellement fournir le bénéficiaire et le calendrier des actions à exécuter en parallèle ou en complément des activités réalisées par les experts des États membres. Le modèle de plan de travail est fourni à l’annexe C15. </w:t>
      </w:r>
    </w:p>
    <w:p w14:paraId="7067EDF3"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p>
    <w:p w14:paraId="5E2080B5" w14:textId="77777777" w:rsidR="00832F98" w:rsidRPr="005107DF" w:rsidRDefault="00832F98" w:rsidP="0019382C">
      <w:pPr>
        <w:rPr>
          <w:rFonts w:ascii="Times New Roman" w:eastAsia="Times New Roman" w:hAnsi="Times New Roman" w:cs="Times New Roman"/>
          <w:b/>
          <w:color w:val="000000"/>
          <w:sz w:val="24"/>
          <w:szCs w:val="24"/>
        </w:rPr>
      </w:pPr>
      <w:r>
        <w:rPr>
          <w:rFonts w:ascii="Times New Roman" w:hAnsi="Times New Roman"/>
          <w:b/>
          <w:color w:val="000000"/>
          <w:sz w:val="24"/>
        </w:rPr>
        <w:t>Lettres d’accompagnement</w:t>
      </w:r>
    </w:p>
    <w:p w14:paraId="1FF67C4B" w14:textId="77777777" w:rsidR="00832F98" w:rsidRPr="005107DF" w:rsidRDefault="00832F98" w:rsidP="003947FF">
      <w:pPr>
        <w:spacing w:after="0" w:line="240" w:lineRule="auto"/>
        <w:jc w:val="both"/>
        <w:rPr>
          <w:rFonts w:ascii="Times New Roman" w:hAnsi="Times New Roman" w:cs="Times New Roman"/>
          <w:color w:val="000000"/>
          <w:sz w:val="24"/>
          <w:szCs w:val="24"/>
        </w:rPr>
      </w:pPr>
      <w:r>
        <w:rPr>
          <w:rFonts w:ascii="Times New Roman" w:hAnsi="Times New Roman"/>
          <w:color w:val="000000"/>
          <w:sz w:val="24"/>
        </w:rPr>
        <w:t xml:space="preserve">Les lettres d’accompagnement sont réservées aux modifications apportées entre deux réunions du comité de pilotage du projet. Elles sont discutées lors de la réunion suivante du comité, après avoir été notifiées à l’administration contractante. Le contenu et les conséquences budgétaires d’une lettre d’accompagnement sont indiqués dans le plan de travail actualisé, en mentionnant les modifications budgétaires discutées lors de la réunion du comité de pilotage du projet. Le modèle de lettre d’accompagnement est fourni à l’annexe C13. </w:t>
      </w:r>
    </w:p>
    <w:p w14:paraId="4E0B093C" w14:textId="77777777" w:rsidR="00832F98" w:rsidRPr="005107DF" w:rsidRDefault="00832F98" w:rsidP="003947FF">
      <w:pPr>
        <w:spacing w:after="0" w:line="240" w:lineRule="auto"/>
        <w:rPr>
          <w:rFonts w:ascii="Times New Roman" w:eastAsia="Times New Roman" w:hAnsi="Times New Roman" w:cs="Times New Roman"/>
          <w:color w:val="000000"/>
          <w:sz w:val="24"/>
          <w:szCs w:val="24"/>
        </w:rPr>
      </w:pPr>
    </w:p>
    <w:p w14:paraId="186E2149" w14:textId="77777777" w:rsidR="00832F98" w:rsidRPr="005107DF" w:rsidRDefault="00832F98" w:rsidP="003947FF">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color w:val="000000"/>
          <w:sz w:val="24"/>
        </w:rPr>
        <w:t>Les deux chefs de projet (État membre et pays bénéficiaire) décident conjointement d’élaborer une lettre d’accompagnement, à condition que les principes énoncés dans la présente section, ainsi que les règles du jumelage, soient respectés. Ils formalisent la modification en annexant à la subvention de jumelage une lettre d’accompagnement qui spécifie les modifications apportées et qu’ils signent tous deux.</w:t>
      </w:r>
      <w:r>
        <w:rPr>
          <w:rFonts w:ascii="Times New Roman" w:hAnsi="Times New Roman"/>
          <w:sz w:val="24"/>
        </w:rPr>
        <w:t xml:space="preserve"> </w:t>
      </w:r>
      <w:r>
        <w:rPr>
          <w:rFonts w:ascii="Times New Roman" w:hAnsi="Times New Roman"/>
          <w:color w:val="000000"/>
          <w:sz w:val="24"/>
        </w:rPr>
        <w:t xml:space="preserve">Le chef de projet de l’État membre peut toutefois mandater le CRJ pour signer les lettres d’accompagnement en son nom. La lettre d’accompagnement est adressée à l’administration contractante. </w:t>
      </w:r>
    </w:p>
    <w:p w14:paraId="53FFA2DE" w14:textId="77777777" w:rsidR="00832F98" w:rsidRPr="00BA0D9E" w:rsidRDefault="00832F98" w:rsidP="003947FF">
      <w:pPr>
        <w:spacing w:after="240" w:line="240" w:lineRule="auto"/>
        <w:jc w:val="both"/>
        <w:rPr>
          <w:rFonts w:ascii="Times New Roman" w:hAnsi="Times New Roman"/>
          <w:color w:val="000000"/>
          <w:sz w:val="24"/>
        </w:rPr>
      </w:pPr>
      <w:r w:rsidRPr="00BA0D9E">
        <w:rPr>
          <w:rFonts w:ascii="Times New Roman" w:hAnsi="Times New Roman"/>
          <w:color w:val="000000"/>
          <w:sz w:val="24"/>
        </w:rPr>
        <w:t>La lettre d’accompagnement dûment signée doit être notifiée à l’aide d’un moyen de communication sûr à l’administration contractante et envoyée en copie à la délégation de l’UE (lorsque celle-ci n’est pas l’administration contractante), de sorte que son expédition puisse être prouvée en cas de litige.</w:t>
      </w:r>
    </w:p>
    <w:p w14:paraId="11180514" w14:textId="4D4A76A6" w:rsidR="00832F98" w:rsidRDefault="00832F98" w:rsidP="003947FF">
      <w:pPr>
        <w:spacing w:after="240" w:line="240" w:lineRule="auto"/>
        <w:jc w:val="both"/>
        <w:rPr>
          <w:rFonts w:ascii="Times New Roman" w:hAnsi="Times New Roman"/>
          <w:b/>
          <w:sz w:val="24"/>
        </w:rPr>
      </w:pPr>
      <w:r>
        <w:rPr>
          <w:rFonts w:ascii="Times New Roman" w:hAnsi="Times New Roman"/>
          <w:b/>
          <w:sz w:val="24"/>
        </w:rPr>
        <w:t>Les modifications doivent être notifiées avant la mise en œuvre des activités couvertes par la lettre d’accompagnement: e</w:t>
      </w:r>
      <w:r>
        <w:rPr>
          <w:rFonts w:ascii="Times New Roman" w:hAnsi="Times New Roman"/>
          <w:b/>
          <w:color w:val="000000"/>
          <w:sz w:val="24"/>
        </w:rPr>
        <w:t xml:space="preserve">lles prennent effet immédiat deux jours après la </w:t>
      </w:r>
      <w:r>
        <w:rPr>
          <w:rFonts w:ascii="Times New Roman" w:hAnsi="Times New Roman"/>
          <w:b/>
          <w:color w:val="000000"/>
          <w:sz w:val="24"/>
          <w:u w:val="single"/>
        </w:rPr>
        <w:t>date de notification</w:t>
      </w:r>
      <w:r>
        <w:rPr>
          <w:rFonts w:ascii="Times New Roman" w:hAnsi="Times New Roman"/>
          <w:b/>
          <w:color w:val="000000"/>
          <w:sz w:val="24"/>
        </w:rPr>
        <w:t xml:space="preserve"> de la lettre d’accompagnement.</w:t>
      </w:r>
      <w:r>
        <w:rPr>
          <w:rFonts w:ascii="Times New Roman" w:hAnsi="Times New Roman"/>
          <w:b/>
          <w:sz w:val="24"/>
        </w:rPr>
        <w:t xml:space="preserve"> Les coûts encourus avant l’entrée en application de la lettre d’accompagnement ne sont pas éligibles et ne sont pas remboursés.</w:t>
      </w:r>
    </w:p>
    <w:p w14:paraId="3CB6A4CF" w14:textId="73AC2879" w:rsidR="004946B7" w:rsidRDefault="004946B7" w:rsidP="003947FF">
      <w:pPr>
        <w:spacing w:after="240" w:line="240" w:lineRule="auto"/>
        <w:jc w:val="both"/>
        <w:rPr>
          <w:rFonts w:ascii="Times New Roman" w:hAnsi="Times New Roman"/>
          <w:b/>
          <w:sz w:val="24"/>
        </w:rPr>
      </w:pPr>
    </w:p>
    <w:p w14:paraId="2E9995B5" w14:textId="77777777" w:rsidR="004946B7" w:rsidRPr="005107DF" w:rsidRDefault="004946B7" w:rsidP="003947FF">
      <w:pPr>
        <w:spacing w:after="240" w:line="240" w:lineRule="auto"/>
        <w:jc w:val="both"/>
        <w:rPr>
          <w:rFonts w:ascii="Times New Roman" w:eastAsia="Times New Roman" w:hAnsi="Times New Roman" w:cs="Times New Roman"/>
          <w:sz w:val="24"/>
          <w:szCs w:val="24"/>
        </w:rPr>
      </w:pPr>
    </w:p>
    <w:p w14:paraId="61878F5B"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lastRenderedPageBreak/>
        <w:t>2) Modifications ayant une incidence budgétaire</w:t>
      </w:r>
    </w:p>
    <w:p w14:paraId="28936DA7" w14:textId="77777777" w:rsidR="00832F98" w:rsidRPr="005107DF" w:rsidRDefault="00832F98" w:rsidP="003947FF">
      <w:pPr>
        <w:spacing w:after="240" w:line="240" w:lineRule="auto"/>
        <w:jc w:val="both"/>
        <w:rPr>
          <w:rFonts w:ascii="Times New Roman" w:eastAsia="Times New Roman" w:hAnsi="Times New Roman" w:cs="Times New Roman"/>
          <w:b/>
          <w:sz w:val="24"/>
          <w:szCs w:val="24"/>
        </w:rPr>
      </w:pPr>
      <w:r>
        <w:rPr>
          <w:rFonts w:ascii="Times New Roman" w:hAnsi="Times New Roman"/>
          <w:b/>
          <w:sz w:val="24"/>
        </w:rPr>
        <w:t>Les principes suivants s’appliquent à toutes les modifications budgétaires, quelle que soit leur incidence:</w:t>
      </w:r>
    </w:p>
    <w:p w14:paraId="3AE2601B" w14:textId="77777777" w:rsidR="00832F98" w:rsidRPr="005107DF" w:rsidRDefault="00832F98" w:rsidP="003947FF">
      <w:pPr>
        <w:numPr>
          <w:ilvl w:val="0"/>
          <w:numId w:val="96"/>
        </w:numPr>
        <w:spacing w:after="240" w:line="240" w:lineRule="auto"/>
        <w:ind w:left="357" w:hanging="357"/>
        <w:jc w:val="both"/>
        <w:rPr>
          <w:rFonts w:ascii="Times New Roman" w:eastAsia="Times New Roman" w:hAnsi="Times New Roman" w:cs="Times New Roman"/>
          <w:color w:val="000000"/>
          <w:sz w:val="24"/>
          <w:szCs w:val="24"/>
        </w:rPr>
      </w:pPr>
      <w:r>
        <w:rPr>
          <w:rFonts w:ascii="Times New Roman" w:hAnsi="Times New Roman"/>
          <w:color w:val="000000"/>
          <w:sz w:val="24"/>
        </w:rPr>
        <w:t>le budget global d’un projet de jumelage ne peut pas être majoré: il faut d’abord soit limiter, soit supprimer, une ou plusieurs activités existantes avant d’introduire et de financer de nouvelles;</w:t>
      </w:r>
    </w:p>
    <w:p w14:paraId="198DCDBE" w14:textId="77777777" w:rsidR="00832F98" w:rsidRPr="005107DF" w:rsidRDefault="00832F98" w:rsidP="003947FF">
      <w:pPr>
        <w:numPr>
          <w:ilvl w:val="0"/>
          <w:numId w:val="97"/>
        </w:numPr>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les coûts unitaires doivent respecter les barèmes fixés à l’annexe B du manuel de jumelage. Chaque projet de jumelage doit prévoir la présence d’un conseiller résident de jumelage (CRJ) à plein temps, détaché auprès de l’administration bénéficiaire pendant une période d’au moins douze mois consécutifs. Les transferts de ressources budgétaires ne peuvent aller à l’encontre de cette exigence;</w:t>
      </w:r>
    </w:p>
    <w:p w14:paraId="701AB502" w14:textId="77777777" w:rsidR="00832F98" w:rsidRPr="005107DF" w:rsidRDefault="00832F98" w:rsidP="003947FF">
      <w:pPr>
        <w:numPr>
          <w:ilvl w:val="0"/>
          <w:numId w:val="98"/>
        </w:numPr>
        <w:spacing w:after="240" w:line="240" w:lineRule="auto"/>
        <w:ind w:left="357" w:hanging="357"/>
        <w:jc w:val="both"/>
        <w:rPr>
          <w:rFonts w:ascii="Times New Roman" w:eastAsia="Times New Roman" w:hAnsi="Times New Roman" w:cs="Times New Roman"/>
          <w:sz w:val="24"/>
          <w:szCs w:val="24"/>
        </w:rPr>
      </w:pPr>
      <w:r>
        <w:rPr>
          <w:rFonts w:ascii="Times New Roman" w:hAnsi="Times New Roman"/>
          <w:sz w:val="24"/>
        </w:rPr>
        <w:t>l’ajout d’une nouvelle activité doit être justifié par des preuves suffisantes attestant qu’elle sera réellement utile à l’obtention des résultats/produits obligatoires et qu’elle influencera directement les objectifs/résultats spécifiques et indirectement l’objectif/l’impact général; la disponibilité de fonds (grâce à des économies réalisées dans le cadre d’activités existantes ou à la suite de leur suppression) ne constitue pas une justification suffisante pour introduire de nouvelles activités et/ou prolonger la période d’exécution du contrat de subvention de jumelage en l’absence d’un lien clair avec l’obtention de résultats/produits obligatoires et/ou la réalisation d’activités visant à assurer la durabilité des résultats;</w:t>
      </w:r>
    </w:p>
    <w:p w14:paraId="4B9EF667" w14:textId="77777777" w:rsidR="00832F98" w:rsidRPr="005107DF" w:rsidRDefault="00832F98" w:rsidP="003947FF">
      <w:pPr>
        <w:numPr>
          <w:ilvl w:val="0"/>
          <w:numId w:val="99"/>
        </w:numPr>
        <w:spacing w:after="240" w:line="240" w:lineRule="auto"/>
        <w:ind w:left="357" w:hanging="357"/>
        <w:jc w:val="both"/>
        <w:rPr>
          <w:rFonts w:ascii="Times New Roman" w:eastAsia="Times New Roman" w:hAnsi="Times New Roman" w:cs="Times New Roman"/>
          <w:sz w:val="24"/>
          <w:szCs w:val="24"/>
        </w:rPr>
      </w:pPr>
      <w:r>
        <w:rPr>
          <w:rFonts w:ascii="Times New Roman" w:hAnsi="Times New Roman"/>
          <w:sz w:val="24"/>
        </w:rPr>
        <w:t>les contrats de subvention de jumelage ne peuvent être modifiés que pendant la période d’exécution du contrat;</w:t>
      </w:r>
    </w:p>
    <w:p w14:paraId="6B3630F1" w14:textId="76B7A9E0" w:rsidR="00832F98" w:rsidRPr="004946B7" w:rsidRDefault="00832F98" w:rsidP="004946B7">
      <w:pPr>
        <w:numPr>
          <w:ilvl w:val="0"/>
          <w:numId w:val="99"/>
        </w:num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les coûts afférents aux activités mises en œuvre avant l’entrée en vigueur de l’avenant ou de la lettre d’accompagnement correspondante ne sont pas éligibles et ne sont pas remboursés. </w:t>
      </w:r>
    </w:p>
    <w:p w14:paraId="19007B79" w14:textId="77777777" w:rsidR="00832F98" w:rsidRPr="005107DF" w:rsidRDefault="00832F98" w:rsidP="003947FF">
      <w:p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color w:val="000000"/>
          <w:sz w:val="24"/>
          <w:szCs w:val="24"/>
        </w:rPr>
      </w:pPr>
      <w:r>
        <w:rPr>
          <w:rFonts w:ascii="Times New Roman" w:hAnsi="Times New Roman"/>
          <w:b/>
          <w:color w:val="000000"/>
          <w:sz w:val="24"/>
          <w:u w:val="single"/>
        </w:rPr>
        <w:t xml:space="preserve">Modifications budgétaires spécifiques au moyen d’avenants: </w:t>
      </w:r>
      <w:r>
        <w:rPr>
          <w:rFonts w:ascii="Times New Roman" w:hAnsi="Times New Roman"/>
          <w:color w:val="000000"/>
          <w:sz w:val="24"/>
        </w:rPr>
        <w:t>Les modifications budgétaires sont régulièrement résumées dans le cadre des actualisations du plan de travail et du budget correspondant. Lorsque le montant total cumulé des modifications atteint 25 % de transferts entre rubriques budgétaires, toute modification supplémentaire (quelle que soit son importance) nécessite un avenant au contrat de subvention de jumelage. Consécutivement à cet avenant, des modifications budgétaires peuvent à nouveau être introduites jusqu’à ce que le montant total cumulé des nouvelles modifications atteigne à nouveau 25 % de transferts entre rubriques budgétaires.</w:t>
      </w:r>
    </w:p>
    <w:p w14:paraId="428D966A" w14:textId="77777777" w:rsidR="00832F98" w:rsidRPr="005107DF" w:rsidRDefault="00832F98" w:rsidP="003947FF">
      <w:pPr>
        <w:spacing w:after="240" w:line="240" w:lineRule="auto"/>
        <w:jc w:val="both"/>
        <w:rPr>
          <w:rFonts w:ascii="Times New Roman" w:eastAsia="Times New Roman" w:hAnsi="Times New Roman" w:cs="Times New Roman"/>
          <w:b/>
          <w:color w:val="000000"/>
          <w:sz w:val="24"/>
          <w:szCs w:val="24"/>
          <w:u w:val="single"/>
        </w:rPr>
      </w:pPr>
      <w:r>
        <w:rPr>
          <w:rFonts w:ascii="Times New Roman" w:hAnsi="Times New Roman"/>
          <w:b/>
          <w:sz w:val="24"/>
          <w:u w:val="single"/>
        </w:rPr>
        <w:t>Modifications budgétaires spécifiques au moyen de lettres d’accompagnement</w:t>
      </w:r>
      <w:r>
        <w:rPr>
          <w:rFonts w:ascii="Times New Roman" w:hAnsi="Times New Roman"/>
          <w:color w:val="000000"/>
          <w:sz w:val="24"/>
        </w:rPr>
        <w:t>/</w:t>
      </w:r>
      <w:r>
        <w:rPr>
          <w:rFonts w:ascii="Times New Roman" w:hAnsi="Times New Roman"/>
          <w:b/>
          <w:color w:val="000000"/>
          <w:sz w:val="24"/>
        </w:rPr>
        <w:t>plans de travail évolutifs</w:t>
      </w:r>
      <w:r>
        <w:rPr>
          <w:rFonts w:ascii="Times New Roman" w:hAnsi="Times New Roman"/>
          <w:b/>
          <w:sz w:val="24"/>
        </w:rPr>
        <w:t xml:space="preserve">: </w:t>
      </w:r>
    </w:p>
    <w:p w14:paraId="4CD048F5" w14:textId="77777777" w:rsidR="00832F98" w:rsidRPr="005107DF" w:rsidRDefault="00832F98" w:rsidP="007338F0">
      <w:pPr>
        <w:numPr>
          <w:ilvl w:val="0"/>
          <w:numId w:val="106"/>
        </w:numPr>
        <w:pBdr>
          <w:top w:val="single" w:sz="4" w:space="1" w:color="auto"/>
          <w:left w:val="single" w:sz="4" w:space="4" w:color="auto"/>
          <w:bottom w:val="single" w:sz="4" w:space="1" w:color="auto"/>
          <w:right w:val="single" w:sz="4" w:space="4" w:color="auto"/>
        </w:pBdr>
        <w:spacing w:after="120" w:line="240" w:lineRule="auto"/>
        <w:ind w:left="357" w:hanging="357"/>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Tant que les réaffectations budgétaires des dotations restent inférieures à un montant total cumulé n’excédant pas 25 % des différentes rubriques budgétaires du contrat de subvention de jumelage, ces modifications peuvent être apportées au moyen de lettres d’accompagnement/de plans de travail. Autrement dit, toutes les modifications budgétaires introduites au moyen de lettres d’accompagnement/de plans de travail sont additionnées jusqu’à ce que le seuil de 25 % des rubriques budgétaires combinées du contrat de subvention de jumelage soit atteint. </w:t>
      </w:r>
    </w:p>
    <w:p w14:paraId="6D8BC0C8" w14:textId="77777777" w:rsidR="00832F98" w:rsidRPr="005107DF" w:rsidRDefault="00832F98" w:rsidP="003947FF">
      <w:pPr>
        <w:numPr>
          <w:ilvl w:val="0"/>
          <w:numId w:val="106"/>
        </w:num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modification budgétaire par laquelle est atteint le seuil de 25 % exige un avenant. Consécutivement à cet avenant, des modifications budgétaires peuvent à nouveau être </w:t>
      </w:r>
      <w:r>
        <w:rPr>
          <w:rFonts w:ascii="Times New Roman" w:hAnsi="Times New Roman"/>
          <w:color w:val="000000"/>
          <w:sz w:val="24"/>
        </w:rPr>
        <w:lastRenderedPageBreak/>
        <w:t>apportées au moyen de lettres d’accompagnement/plans de travail, jusqu’à ce que le montant total cumulé correspondant aux nouvelles modifications atteigne à nouveau 25 % des rubriques budgétaires combinées du contrat de subvention de jumelage.</w:t>
      </w:r>
    </w:p>
    <w:p w14:paraId="256FBA6F" w14:textId="77777777" w:rsidR="00832F98" w:rsidRPr="005107DF" w:rsidRDefault="00832F98" w:rsidP="003947FF">
      <w:pPr>
        <w:spacing w:after="0" w:line="240" w:lineRule="auto"/>
        <w:jc w:val="both"/>
        <w:rPr>
          <w:rFonts w:ascii="Times New Roman" w:eastAsia="Times New Roman" w:hAnsi="Times New Roman" w:cs="Times New Roman"/>
          <w:sz w:val="36"/>
          <w:szCs w:val="36"/>
        </w:rPr>
      </w:pPr>
      <w:r>
        <w:rPr>
          <w:rFonts w:ascii="Times New Roman" w:hAnsi="Times New Roman"/>
          <w:sz w:val="36"/>
        </w:rPr>
        <w:t>3.</w:t>
      </w:r>
      <w:r>
        <w:tab/>
      </w:r>
      <w:r>
        <w:rPr>
          <w:rFonts w:ascii="Times New Roman" w:hAnsi="Times New Roman"/>
          <w:sz w:val="36"/>
        </w:rPr>
        <w:t>Coûts éligibles</w:t>
      </w:r>
    </w:p>
    <w:p w14:paraId="4A4FFEE1" w14:textId="77777777" w:rsidR="00832F98" w:rsidRPr="005107DF" w:rsidRDefault="00832F98" w:rsidP="003947FF">
      <w:pPr>
        <w:spacing w:after="0" w:line="240" w:lineRule="auto"/>
        <w:jc w:val="both"/>
        <w:rPr>
          <w:rFonts w:ascii="Times New Roman" w:eastAsia="Times New Roman" w:hAnsi="Times New Roman" w:cs="Times New Roman"/>
          <w:sz w:val="24"/>
          <w:szCs w:val="24"/>
        </w:rPr>
      </w:pPr>
    </w:p>
    <w:p w14:paraId="79F1CD4F"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3.1 Observations générales</w:t>
      </w:r>
    </w:p>
    <w:p w14:paraId="4C5E4C28"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Seuls les coûts relatifs aux activités organisées dans le pays bénéficiaire ou dans un État membre sont éligibles au remboursement sur le budget du projet de jumelage. Ces coûts doivent être encourus pendant la période de mise en œuvre du projet, à l’exception des coûts relatifs au vol aller du CRJ, à la participation du CRJ, du chef de projet du bénéficiaire et/ou de l’homologue du CRJ à la formation dispensée au siège de la Commission (si celle-ci est suivie avant le début de la mise en œuvre du projet - voir la section 4.1.6.6 du manuel de jumelage) et à la préparation du rapport de vérification des dépenses (voir la section 5.5.4 du manuel de jumelage).</w:t>
      </w:r>
    </w:p>
    <w:p w14:paraId="589C6921"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subvention octroyée à un État membre pour la mise en œuvre (seul ou en consortium avec d’autres États membres) d’un projet de jumelage est censée compenser les coûts engagés par l’État membre (ou le consortium d’États membres) pour parvenir aux résultats/produits obligatoires grâce au déploiement d’experts et aux activités horizontales; comme pour toutes les subventions octroyées par l’Union européenne, le principe de non-profit s’applique également aux subventions de jumelage.</w:t>
      </w:r>
    </w:p>
    <w:p w14:paraId="037A0596"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valeur des apports du secteur privé ne peut excéder un plafond global de 5 000 EUR par volet dans la rubrique budgétaire «Résultats/produits obligatoires» et de 5 000 EUR dans le cas de fournitures/biens fournis dans la rubrique budgétaire «Coûts horizontaux». Les coûts afférents à l’assistant ou aux assistants du CRJ dans la rubrique budgétaire «CRJ» et les coûts connexes, les coûts liés au plan de communication et de visibilité dans la rubrique budgétaire «Coûts horizontaux» et les coûts de traduction et d’interprétation relatifs aux activités réalisées dans la rubrique budgétaire «Résultats/produits obligatoires» ne sont pas soumis à ces plafonds. </w:t>
      </w:r>
    </w:p>
    <w:p w14:paraId="7B3502DC"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visites de fonctionnaires ou agents assimilés et/ou de membres du personnel de soutien (autres que le chef de projet) à l’administration bénéficiaire qui ne sont pas motivées par une contribution directe à la réalisation des activités du projet ne sont évidemment pas éligibles et ne sont donc pas couvertes par le budget du projet.</w:t>
      </w:r>
    </w:p>
    <w:p w14:paraId="3BBBBB0B"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Aucun coût direct, coût indirect ou coût de fonctionnement supporté par le bénéficiaire dans le cadre de la mise en œuvre d’un projet de jumelage ne peut être financé par le budget du projet. Le bénéficiaire veille par ailleurs, en engageant ses ressources propres, à la disponibilité de l’infrastructure professionnelle nécessaire aux experts des États membres, en particulier le CRJ et son ou ses assistants.</w:t>
      </w:r>
    </w:p>
    <w:p w14:paraId="2C03580F"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droits, taxes et impôts, y compris la TVA, ne sont pas éligibles au titre du contrat de subvention de jumelage, à moins que l’État membre ne soit en mesure de démontrer qu’il ne peut être exonéré ou remboursé, et à condition que le programme de l’Union européenne finançant le projet de jumelage autorise le remboursement de ces taxes (voir l’article 14.2 des conditions générales du contrat de subvention de jumelage).</w:t>
      </w:r>
    </w:p>
    <w:p w14:paraId="175600BB" w14:textId="77777777" w:rsidR="00832F98" w:rsidRPr="005107DF" w:rsidRDefault="00832F98" w:rsidP="003947FF">
      <w:pPr>
        <w:tabs>
          <w:tab w:val="left" w:pos="851"/>
          <w:tab w:val="left" w:pos="1191"/>
          <w:tab w:val="left" w:pos="1531"/>
          <w:tab w:val="left" w:pos="2786"/>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 xml:space="preserve">Les États membres sont invités à bien se renseigner et à coopérer avec la délégation de l’UE avant d’effectuer, dans le pays bénéficiaire et dans le cadre du projet, des achats pouvant </w:t>
      </w:r>
      <w:r>
        <w:rPr>
          <w:rFonts w:ascii="Times New Roman" w:hAnsi="Times New Roman"/>
          <w:color w:val="000000"/>
          <w:sz w:val="24"/>
        </w:rPr>
        <w:lastRenderedPageBreak/>
        <w:t>inclure le paiement de la TVA ou d’autres droits, taxes et impôts: en effet, certains pays ont mis en place un mécanisme avec le ministère des finances local pour gérer le remboursement de la TVA et des autres taxes pour les projets financés par l’UE.</w:t>
      </w:r>
    </w:p>
    <w:p w14:paraId="5966D222" w14:textId="77777777" w:rsidR="00832F98" w:rsidRPr="005107DF" w:rsidRDefault="00832F98" w:rsidP="003947FF">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Dans les projets de jumelage, </w:t>
      </w:r>
      <w:r>
        <w:rPr>
          <w:rFonts w:ascii="Times New Roman" w:hAnsi="Times New Roman"/>
          <w:b/>
          <w:color w:val="000000"/>
          <w:sz w:val="24"/>
        </w:rPr>
        <w:t>différentes catégories de personnel</w:t>
      </w:r>
      <w:r>
        <w:rPr>
          <w:rFonts w:ascii="Times New Roman" w:hAnsi="Times New Roman"/>
          <w:color w:val="000000"/>
          <w:sz w:val="24"/>
        </w:rPr>
        <w:t xml:space="preserve"> sont indemnisées pour leur contribution: </w:t>
      </w:r>
    </w:p>
    <w:p w14:paraId="58985823" w14:textId="77777777" w:rsidR="00832F98" w:rsidRPr="005107DF" w:rsidRDefault="00832F98" w:rsidP="003947FF">
      <w:pPr>
        <w:spacing w:after="0" w:line="240" w:lineRule="auto"/>
        <w:rPr>
          <w:rFonts w:ascii="Times New Roman" w:eastAsia="Times New Roman" w:hAnsi="Times New Roman" w:cs="Times New Roman"/>
          <w:color w:val="000000"/>
          <w:sz w:val="24"/>
          <w:szCs w:val="24"/>
          <w:u w:val="single"/>
        </w:rPr>
      </w:pPr>
    </w:p>
    <w:p w14:paraId="677A253B"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règle générale, les experts des États membres (CRJ et experts qui se rendent en mission) et les chefs de projet des États membres sont censés être des agents/fonctionnaires permanents de l’administration publique ou des agents/fonctionnaires assimilés. L’indemnisation des CRJ, qu’elle provienne de l’administration publique ou d’un organisme mandaté, est réglementée par la disposition incluse à l’annexe B (mentionnée ci-dessous à la section 3.2). </w:t>
      </w:r>
    </w:p>
    <w:p w14:paraId="53F34590"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administrations des États membres et les organismes semi-publics ou mandatés peuvent exceptionnellement engager des agents publics temporaires, conformément aux dispositions du manuel de jumelage.</w:t>
      </w:r>
    </w:p>
    <w:p w14:paraId="36C08C31"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Des experts récemment retraités peuvent être réengagés en qualité d’agents publics temporaires, soit par une administration, soit par un organisme mandaté. À l’instar du personnel temporaire, ils doivent être liés contractuellement à l’administration publique ou à l’organisme mandaté responsable du projet de jumelage. L’indemnisation relative aux coûts salariaux des experts retraités s’effectuera selon les principes énoncés plus haut pour les agents publics temporaires.</w:t>
      </w:r>
    </w:p>
    <w:p w14:paraId="13CEF657"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Il est en outre rappelé que les administrations des États membres doivent éviter à tout prix de recourir</w:t>
      </w:r>
      <w:r>
        <w:rPr>
          <w:rFonts w:ascii="Times New Roman" w:hAnsi="Times New Roman"/>
          <w:b/>
          <w:color w:val="000000"/>
          <w:sz w:val="24"/>
        </w:rPr>
        <w:t xml:space="preserve"> </w:t>
      </w:r>
      <w:r>
        <w:rPr>
          <w:rFonts w:ascii="Times New Roman" w:hAnsi="Times New Roman"/>
          <w:color w:val="000000"/>
          <w:sz w:val="24"/>
        </w:rPr>
        <w:t>à des organismes mandatés servant d’organismes de coordination pour associer des experts du secteur privé recrutés pour des missions contractuelles limitées à leur participation au jumelage, sans aucun lien structurel avec l’organisme concerné. En effet, le jumelage offre une expérience pratique et concrète, fournie par les fonctionnaires d’administrations homologues, et il est donc essentiel, pour préserver cette caractéristique particulière du jumelage, que les experts proposés par les administrations des États membres soient familiers des pratiques administratives.</w:t>
      </w:r>
    </w:p>
    <w:p w14:paraId="05CD2679"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3.2. Coûts relatifs au conseiller résident de jumelage (CRJ)</w:t>
      </w:r>
    </w:p>
    <w:p w14:paraId="2A49B2A5" w14:textId="77777777" w:rsidR="00832F98" w:rsidRPr="005107DF" w:rsidRDefault="00832F98" w:rsidP="003947FF">
      <w:pPr>
        <w:spacing w:after="0" w:line="240" w:lineRule="auto"/>
        <w:rPr>
          <w:rFonts w:ascii="Times New Roman" w:eastAsia="Times New Roman" w:hAnsi="Times New Roman" w:cs="Times New Roman"/>
          <w:sz w:val="20"/>
          <w:szCs w:val="20"/>
        </w:rPr>
      </w:pPr>
    </w:p>
    <w:p w14:paraId="685730BE" w14:textId="77777777" w:rsidR="00832F98" w:rsidRPr="005107DF" w:rsidRDefault="00832F98" w:rsidP="003947FF">
      <w:pPr>
        <w:jc w:val="both"/>
        <w:rPr>
          <w:rFonts w:ascii="Times New Roman" w:eastAsia="Times New Roman" w:hAnsi="Times New Roman" w:cs="Times New Roman"/>
          <w:b/>
          <w:sz w:val="24"/>
          <w:szCs w:val="24"/>
        </w:rPr>
      </w:pPr>
      <w:r>
        <w:rPr>
          <w:rFonts w:ascii="Times New Roman" w:hAnsi="Times New Roman"/>
          <w:b/>
          <w:sz w:val="24"/>
        </w:rPr>
        <w:t>3.2.1 Coût unitaire pour la compensation des coûts de rémunération et des coûts non salariaux</w:t>
      </w:r>
    </w:p>
    <w:p w14:paraId="73F5C9D4" w14:textId="77777777" w:rsidR="00832F98" w:rsidRPr="005107DF" w:rsidRDefault="00832F98" w:rsidP="003947FF">
      <w:pPr>
        <w:jc w:val="both"/>
        <w:rPr>
          <w:rFonts w:ascii="Times New Roman" w:hAnsi="Times New Roman" w:cs="Times New Roman"/>
        </w:rPr>
      </w:pPr>
      <w:r>
        <w:rPr>
          <w:rFonts w:ascii="Times New Roman" w:hAnsi="Times New Roman"/>
          <w:sz w:val="24"/>
        </w:rPr>
        <w:t>La désignation d’un fonctionnaire ou agent assimilé en tant que CRJ dans le cadre d’un projet de jumelage a pour effet d’éloigner la personne concernée de ses fonctions au sein de son institution pour une période d’une durée moyenne, selon les données empiriques, de 18 mois. Tous les coûts supportés par une institution pour la rémunération d’un membre de son personnel désigné en tant que CRJ sont indemnisés intégralement.</w:t>
      </w:r>
    </w:p>
    <w:p w14:paraId="374CBDEE" w14:textId="77777777" w:rsidR="00832F98" w:rsidRPr="005107DF" w:rsidRDefault="00832F98" w:rsidP="003947FF">
      <w:pPr>
        <w:jc w:val="both"/>
        <w:rPr>
          <w:rFonts w:ascii="Times New Roman" w:hAnsi="Times New Roman" w:cs="Times New Roman"/>
        </w:rPr>
      </w:pPr>
      <w:r>
        <w:rPr>
          <w:rFonts w:ascii="Times New Roman" w:hAnsi="Times New Roman"/>
          <w:sz w:val="24"/>
        </w:rPr>
        <w:t xml:space="preserve">L’institution qui détache le CRJ reçoit un remboursement correspondant à la rémunération du CRJ sur la base d’une déclaration comptable analytique correspondant au dernier exercice comptable clôturé, en tenant pleinement compte de tous les droits statutaires prévus dans la législation relative à la fonction publique de l’État membre concerné (entre autres, le salaire, les incitations financières, les régimes de primes statutaires et les modifications de salaires prévisibles). Le taux mensuel est calculé sur la base des coûts estimés pour les mois d’affectation, divisés par le nombre de mois d’affectation. </w:t>
      </w:r>
    </w:p>
    <w:p w14:paraId="161F2D4E" w14:textId="77777777" w:rsidR="00832F98" w:rsidRPr="005107DF" w:rsidRDefault="00832F98" w:rsidP="003947FF">
      <w:pPr>
        <w:jc w:val="both"/>
        <w:rPr>
          <w:rFonts w:ascii="Times New Roman" w:hAnsi="Times New Roman" w:cs="Times New Roman"/>
        </w:rPr>
      </w:pPr>
      <w:r>
        <w:rPr>
          <w:rFonts w:ascii="Times New Roman" w:hAnsi="Times New Roman"/>
          <w:sz w:val="24"/>
        </w:rPr>
        <w:lastRenderedPageBreak/>
        <w:t>De même, l’institution qui détache le CRJ reçoit un remboursement équivalant aux coûts non salariaux supportés pour le CRJ, notamment les contributions obligatoires de sécurité sociale (maladie, pension, chômage), sur la base d’une déclaration comptable analytique correspondant au dernier exercice comptable clôturé. Les coûts non salariaux de la main-d’œuvre devraient tenir pleinement compte des droits statutaires prévus dans la législation relative à la fonction publique de l’État membre, en particulier les droits des fonctionnaires travaillant à l’étranger, les indemnités familiales et les assurances.</w:t>
      </w:r>
    </w:p>
    <w:p w14:paraId="4519B4A5" w14:textId="77777777" w:rsidR="00832F98" w:rsidRPr="005107DF" w:rsidRDefault="00832F98" w:rsidP="003947FF">
      <w:pPr>
        <w:jc w:val="both"/>
        <w:rPr>
          <w:rFonts w:ascii="Times New Roman" w:hAnsi="Times New Roman" w:cs="Times New Roman"/>
          <w:sz w:val="24"/>
          <w:szCs w:val="24"/>
        </w:rPr>
      </w:pPr>
      <w:r>
        <w:rPr>
          <w:rFonts w:ascii="Times New Roman" w:hAnsi="Times New Roman"/>
          <w:sz w:val="24"/>
        </w:rPr>
        <w:t>Lorsqu’ils remettent leurs déclarations comptables analytiques, les États membres prennent soin de préciser tous les éléments qui ont été pris en considération.</w:t>
      </w:r>
    </w:p>
    <w:p w14:paraId="0633F756" w14:textId="77777777" w:rsidR="00832F98" w:rsidRPr="005107DF" w:rsidRDefault="00832F98" w:rsidP="003947FF">
      <w:pPr>
        <w:jc w:val="both"/>
        <w:rPr>
          <w:rFonts w:ascii="Times New Roman" w:hAnsi="Times New Roman" w:cs="Times New Roman"/>
        </w:rPr>
      </w:pPr>
      <w:r>
        <w:rPr>
          <w:rFonts w:ascii="Times New Roman" w:hAnsi="Times New Roman"/>
          <w:sz w:val="24"/>
        </w:rPr>
        <w:t>Pour ce qui est des salaires, il convient de mentionner le traitement de base et les avantages statutaires. Le traitement de base est déterminé en fonction de la catégorie salariale: les fonctions exercées par le fonctionnaire ne sont alors pas prises en compte et seule la catégorie salariale fixée sur la base des régimes officiels de rémunération dans la fonction publique au niveau national ou local est considérée. Les autres coûts statutaires comprennent les rémunérations supplémentaires qui se présentent sous la forme de prestations légales liées à des fonctions, responsabilités et/ou conditions particulières, ainsi que des éléments spécifiques du salaire qui ne font pas l’objet d’un paiement mensuel (par exemple, les primes de vacances ou le traitement mensuel supplémentaire versé à la fin de l’année). Étant donné que la diversité des conditions législatives nationales liées à la rémunération du personnel ne permet pas d’établir une liste exhaustive des différents coûts éligibles, les États membres sont guidés par le principe selon lequel peuvent être inclus les coûts qui sont conformes à leur politique habituelle de rémunération et qui sont conformes à la législation nationale. Les primes extra-légales, non obligatoires et discrétionnaires ne sont pas incluses.</w:t>
      </w:r>
    </w:p>
    <w:p w14:paraId="12A4461B"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Pour ce qui est des coûts non salariaux de la main-d’œuvre, ce sont les contributions sociales versées par l’employeur qui doivent être considérées, telles que les cotisations d’assurance, maladie, invalidité et chômage et les autres cotisations statutaires.</w:t>
      </w:r>
    </w:p>
    <w:p w14:paraId="43224590"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l’expert proposé en tant que CRJ est un fonctionnaire ou agent assimilé retraité qui a été réengagé (voir la section 4.1.5 du manuel de jumelage), le salaire à rembourser par le projet est basé sur la déclaration comptable analytique correspondant au dernier exercice comptable clôturé durant lequel l’expert était en fonction. Si, toutefois, la législation nationale en vigueur prévoit la déduction du montant de la pension du salaire du fonctionnaire du secteur public, seuls le salaire réel de l’expert et les dépenses non salariales de l’institution qui le réengage seront remboursés dans le cadre du projet.</w:t>
      </w:r>
    </w:p>
    <w:p w14:paraId="14D3714B" w14:textId="77777777" w:rsidR="00832F98" w:rsidRPr="005107DF" w:rsidRDefault="00832F98" w:rsidP="003947FF">
      <w:pPr>
        <w:jc w:val="both"/>
        <w:rPr>
          <w:rFonts w:ascii="Times New Roman" w:eastAsia="Times New Roman" w:hAnsi="Times New Roman" w:cs="Times New Roman"/>
          <w:b/>
          <w:sz w:val="24"/>
          <w:szCs w:val="24"/>
        </w:rPr>
      </w:pPr>
      <w:r>
        <w:rPr>
          <w:rFonts w:ascii="Times New Roman" w:hAnsi="Times New Roman"/>
          <w:b/>
          <w:sz w:val="24"/>
        </w:rPr>
        <w:t>3.2.2</w:t>
      </w:r>
      <w:r>
        <w:tab/>
      </w:r>
      <w:r>
        <w:rPr>
          <w:rFonts w:ascii="Times New Roman" w:hAnsi="Times New Roman"/>
          <w:b/>
          <w:sz w:val="24"/>
        </w:rPr>
        <w:t xml:space="preserve">Indemnités </w:t>
      </w:r>
    </w:p>
    <w:p w14:paraId="0EAE04C5" w14:textId="77777777" w:rsidR="00832F98" w:rsidRPr="005107DF" w:rsidRDefault="00832F98" w:rsidP="003947FF">
      <w:pPr>
        <w:spacing w:after="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Coût unitaire pour la compensation des dépenses journalières</w:t>
      </w:r>
    </w:p>
    <w:p w14:paraId="44F9A7B9"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  </w:t>
      </w:r>
    </w:p>
    <w:p w14:paraId="38A439DA" w14:textId="77777777" w:rsidR="00832F98" w:rsidRPr="005107DF" w:rsidRDefault="00832F98" w:rsidP="003947FF">
      <w:pPr>
        <w:jc w:val="both"/>
        <w:rPr>
          <w:rFonts w:ascii="Times New Roman" w:hAnsi="Times New Roman" w:cs="Times New Roman"/>
        </w:rPr>
      </w:pPr>
      <w:r>
        <w:rPr>
          <w:rFonts w:ascii="Times New Roman" w:hAnsi="Times New Roman"/>
          <w:sz w:val="24"/>
        </w:rPr>
        <w:t>Si l’on peut considérer que le salaire du CRJ couvre les dépenses qui continuent d’être supportées sur le lieu d’origine, l’État membre peut verser au CRJ une indemnité journalière destinée à couvrir les frais supplémentaires engagés dans le pays bénéficiaire, notamment pour l’hébergement, la sécurité et l’assurance maladie complémentaire.</w:t>
      </w:r>
    </w:p>
    <w:p w14:paraId="0F4C2B47" w14:textId="77777777" w:rsidR="00832F98" w:rsidRPr="005107DF" w:rsidRDefault="00832F98" w:rsidP="003947FF">
      <w:pPr>
        <w:jc w:val="both"/>
        <w:rPr>
          <w:rFonts w:ascii="Times New Roman" w:eastAsia="Times New Roman" w:hAnsi="Times New Roman" w:cs="Times New Roman"/>
          <w:sz w:val="24"/>
          <w:szCs w:val="24"/>
        </w:rPr>
      </w:pPr>
      <w:r>
        <w:rPr>
          <w:rFonts w:ascii="Times New Roman" w:hAnsi="Times New Roman"/>
          <w:sz w:val="24"/>
        </w:rPr>
        <w:t xml:space="preserve">L’indemnité journalière du CRJ est plafonnée à un maximum de 75 % du barème des indemnités journalières dans le pays bénéficiaire publié par la direction générale pour la </w:t>
      </w:r>
      <w:r>
        <w:rPr>
          <w:rFonts w:ascii="Times New Roman" w:hAnsi="Times New Roman"/>
          <w:sz w:val="24"/>
        </w:rPr>
        <w:lastRenderedPageBreak/>
        <w:t>coopération internationale et le développement (DG DEVCO) et applicable au moment de la signature du contrat de jumelage.</w:t>
      </w:r>
    </w:p>
    <w:p w14:paraId="7824F66A" w14:textId="77777777" w:rsidR="00832F98" w:rsidRPr="005107DF" w:rsidRDefault="00832F98" w:rsidP="003947FF">
      <w:pPr>
        <w:jc w:val="both"/>
        <w:rPr>
          <w:rFonts w:ascii="Times New Roman" w:hAnsi="Times New Roman" w:cs="Times New Roman"/>
        </w:rPr>
      </w:pPr>
      <w:r>
        <w:rPr>
          <w:rFonts w:ascii="Times New Roman" w:hAnsi="Times New Roman"/>
          <w:color w:val="000000"/>
          <w:sz w:val="24"/>
        </w:rPr>
        <w:t>Les taux des indemnités journalières sont communiqués par le siège de la Commission aux points de contact nationaux des États membres et du pays bénéficiaire. Ils sont basés sur la liste disponible sur le site web d’Europe Aid</w:t>
      </w:r>
      <w:r>
        <w:rPr>
          <w:rFonts w:ascii="Times New Roman" w:hAnsi="Times New Roman"/>
          <w:color w:val="000000"/>
          <w:sz w:val="24"/>
          <w:vertAlign w:val="superscript"/>
        </w:rPr>
        <w:footnoteReference w:id="44"/>
      </w:r>
      <w:r>
        <w:rPr>
          <w:rFonts w:ascii="Times New Roman" w:hAnsi="Times New Roman"/>
          <w:color w:val="000000"/>
          <w:sz w:val="24"/>
        </w:rPr>
        <w:t>. Il s’agit de taux maximaux: des taux plus bas peuvent être convenus et appliqués dans le cadre d’un contrat de jumelage.</w:t>
      </w:r>
    </w:p>
    <w:p w14:paraId="3D0E467B" w14:textId="77777777" w:rsidR="00832F98" w:rsidRPr="005107DF" w:rsidRDefault="00832F98" w:rsidP="003947FF">
      <w:pPr>
        <w:jc w:val="both"/>
        <w:rPr>
          <w:rFonts w:ascii="Times New Roman" w:hAnsi="Times New Roman" w:cs="Times New Roman"/>
        </w:rPr>
      </w:pPr>
      <w:r>
        <w:rPr>
          <w:rFonts w:ascii="Times New Roman" w:hAnsi="Times New Roman"/>
          <w:sz w:val="24"/>
        </w:rPr>
        <w:t>L’indemnité journalière du CRJ couvrant les coûts qui doivent être pris en charge également durant les absences temporaires comme les congés et les déplacements professionnels, les États membres peuvent la payer pour toute la durée de l’affectation du CRJ dans le pays bénéficiaire.</w:t>
      </w:r>
    </w:p>
    <w:p w14:paraId="67B2ADD4"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CRJ sont censés trouver un logement et s’inscrire auprès des autorités locales sans l’aide de la Commission. Ils peuvent toutefois obtenir des conseils auprès de l’ambassade de leur État membre, de la délégation de l’UE et/ou de l’administration bénéficiaire.</w:t>
      </w:r>
    </w:p>
    <w:p w14:paraId="4CC3935A"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p>
    <w:p w14:paraId="05F8CEC6"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p>
    <w:p w14:paraId="352124B3" w14:textId="77777777" w:rsidR="00832F98" w:rsidRPr="005107DF" w:rsidRDefault="00832F98" w:rsidP="003947FF">
      <w:pPr>
        <w:spacing w:after="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Coût unitaire pour la compensation des frais de voyage du CRJ et de sa famille</w:t>
      </w:r>
    </w:p>
    <w:p w14:paraId="5389A54B"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p>
    <w:p w14:paraId="629705E9" w14:textId="77777777" w:rsidR="00832F98" w:rsidRPr="005107DF" w:rsidRDefault="00832F98" w:rsidP="003947FF">
      <w:pPr>
        <w:jc w:val="both"/>
        <w:rPr>
          <w:rFonts w:ascii="Times New Roman" w:hAnsi="Times New Roman" w:cs="Times New Roman"/>
        </w:rPr>
      </w:pPr>
      <w:r>
        <w:rPr>
          <w:rFonts w:ascii="Times New Roman" w:hAnsi="Times New Roman"/>
          <w:sz w:val="24"/>
        </w:rPr>
        <w:t xml:space="preserve">Si le CRJ se rend dans le pays bénéficiaire </w:t>
      </w:r>
      <w:r>
        <w:rPr>
          <w:rFonts w:ascii="Times New Roman" w:hAnsi="Times New Roman"/>
          <w:b/>
          <w:sz w:val="24"/>
        </w:rPr>
        <w:t>sans</w:t>
      </w:r>
      <w:r>
        <w:rPr>
          <w:rFonts w:ascii="Times New Roman" w:hAnsi="Times New Roman"/>
          <w:sz w:val="24"/>
        </w:rPr>
        <w:t xml:space="preserve"> effets personnels et/ou sans être accompagné de membres de sa famille, les frais de voyage peuvent être compensés par une allocation de voyage mensuelle destinée à couvrir les frais d’aller et retour avec un bagage enregistré. Le montant de cette allocation mensuelle est établi sur la base de l’offre économiquement la plus favorable parmi celles présentées par trois agences de voyage avant la signature du contrat de jumelage. Ces offres sont approuvées par l’autorité qui signe le contrat de jumelage.</w:t>
      </w:r>
      <w:r>
        <w:rPr>
          <w:rFonts w:ascii="Times New Roman" w:hAnsi="Times New Roman"/>
          <w:b/>
          <w:sz w:val="24"/>
        </w:rPr>
        <w:t xml:space="preserve"> </w:t>
      </w:r>
      <w:r>
        <w:rPr>
          <w:rFonts w:ascii="Times New Roman" w:hAnsi="Times New Roman"/>
          <w:sz w:val="24"/>
          <w:highlight w:val="yellow"/>
        </w:rPr>
        <w:t xml:space="preserve"> </w:t>
      </w:r>
    </w:p>
    <w:p w14:paraId="56CAA96A" w14:textId="77777777" w:rsidR="00832F98" w:rsidRPr="005107DF" w:rsidRDefault="00832F98" w:rsidP="003947FF">
      <w:pPr>
        <w:jc w:val="both"/>
        <w:rPr>
          <w:rFonts w:ascii="Times New Roman" w:eastAsia="Times New Roman" w:hAnsi="Times New Roman" w:cs="Times New Roman"/>
          <w:sz w:val="24"/>
          <w:szCs w:val="24"/>
        </w:rPr>
      </w:pPr>
      <w:r>
        <w:rPr>
          <w:rFonts w:ascii="Times New Roman" w:hAnsi="Times New Roman"/>
          <w:sz w:val="24"/>
        </w:rPr>
        <w:t xml:space="preserve">Si le CRJ se rend dans le pays bénéficiaire </w:t>
      </w:r>
      <w:r>
        <w:rPr>
          <w:rFonts w:ascii="Times New Roman" w:hAnsi="Times New Roman"/>
          <w:b/>
          <w:sz w:val="24"/>
        </w:rPr>
        <w:t>avec</w:t>
      </w:r>
      <w:r>
        <w:rPr>
          <w:rFonts w:ascii="Times New Roman" w:hAnsi="Times New Roman"/>
          <w:sz w:val="24"/>
        </w:rPr>
        <w:t xml:space="preserve"> ses effets personnels et/ou accompagné de membres de sa famille, les frais de voyage peuvent être compensés par une allocation de voyage annuelle destinée à couvrir les frais d’aller et retour avec un bagage enregistré pour le CRJ et chacun des membres de sa famille qui l’accompagnent. Le montant de cette allocation annuelle est établi selon la même méthode que celle indiquée pour l’allocation mensuelle.</w:t>
      </w:r>
    </w:p>
    <w:p w14:paraId="37D22552"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Les frais de visa sont éligibles au remboursement sur la base des coûts encourus justifiés par une facture payée. </w:t>
      </w:r>
    </w:p>
    <w:p w14:paraId="13EE7E27" w14:textId="77777777" w:rsidR="00832F98" w:rsidRPr="005107DF" w:rsidRDefault="00832F98" w:rsidP="003947FF">
      <w:pPr>
        <w:spacing w:after="0" w:line="240" w:lineRule="auto"/>
        <w:jc w:val="both"/>
        <w:rPr>
          <w:rFonts w:ascii="Times New Roman" w:eastAsia="Times New Roman" w:hAnsi="Times New Roman" w:cs="Times New Roman"/>
          <w:sz w:val="24"/>
          <w:szCs w:val="24"/>
        </w:rPr>
      </w:pPr>
      <w:r>
        <w:rPr>
          <w:rFonts w:ascii="Times New Roman" w:hAnsi="Times New Roman"/>
          <w:sz w:val="24"/>
        </w:rPr>
        <w:t>Les déplacements du CRJ à l’intérieur du pays bénéficiaire et à au moins 25 km de son lieu de travail doivent être identifiés et budgétisés séparément. L’utilisation des transports publics est obligatoire chaque fois que cela s’avère possible et approprié. Ces frais sont remboursés sur la base des coûts encourus justifiés par une facture payée.</w:t>
      </w:r>
    </w:p>
    <w:p w14:paraId="3F6A5CF5"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u w:val="single"/>
        </w:rPr>
      </w:pPr>
    </w:p>
    <w:p w14:paraId="6E7D0515" w14:textId="77777777" w:rsidR="00832F98" w:rsidRPr="005107DF" w:rsidRDefault="00832F98" w:rsidP="003947FF">
      <w:pPr>
        <w:jc w:val="both"/>
        <w:rPr>
          <w:rFonts w:ascii="Times New Roman" w:eastAsia="Times New Roman" w:hAnsi="Times New Roman" w:cs="Times New Roman"/>
          <w:b/>
          <w:sz w:val="24"/>
          <w:szCs w:val="24"/>
        </w:rPr>
      </w:pPr>
      <w:r>
        <w:rPr>
          <w:rFonts w:ascii="Times New Roman" w:hAnsi="Times New Roman"/>
          <w:b/>
          <w:sz w:val="24"/>
        </w:rPr>
        <w:t>3.2.3. Remboursement des frais de scolarité</w:t>
      </w:r>
    </w:p>
    <w:p w14:paraId="4D38EDEA" w14:textId="77777777" w:rsidR="00832F98" w:rsidRPr="005107DF" w:rsidRDefault="00832F98" w:rsidP="003947FF">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z w:val="24"/>
        </w:rPr>
        <w:t xml:space="preserve">Aux fins de la détermination des coûts éligibles au remboursement des frais de scolarité et de voyage, on entend par «enfant à charge», au sens de la législation de l’État membre concerné, l’enfant légitime, naturel ou adopté ou de celui de son conjoint, dont le lien avec le CJR a été juridiquement établi et qui se rend avec lui dans le pays d’affectation. </w:t>
      </w:r>
      <w:r>
        <w:rPr>
          <w:rFonts w:ascii="Times New Roman" w:hAnsi="Times New Roman"/>
          <w:snapToGrid w:val="0"/>
          <w:color w:val="000000"/>
          <w:sz w:val="24"/>
        </w:rPr>
        <w:t>Cela s’applique également aux enfants pour lesquels une demande d’adoption a été déposée et une procédure d’adoption a été engagée.</w:t>
      </w:r>
    </w:p>
    <w:p w14:paraId="1C0C0A71"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 xml:space="preserve">Lorsque le CRJ se rend dans son pays d’affectation accompagné d’enfants à charge, les frais de scolarité de ceux-ci peuvent être remboursés par le budget du projet à condition que l’enseignement dispensé satisfasse aux règles de la scolarité à temps plein dans le pays bénéficiaire ou, en l’absence de telles règles, représente au minimum 16 heures d’enseignement par semaine pendant une période minimale de trois mois consécutifs. </w:t>
      </w:r>
    </w:p>
    <w:p w14:paraId="14F96220"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droits d’inscription, les frais d’examen, le transport entre le domicile et l’école lorsqu’il est assuré par cette dernière et figure dans les frais de scolarité et le coût des livres et des autres fournitures nécessaires pour participer aux cours obligatoires sont remboursés, tandis que les coûts liés au transport privé entre le domicile et l’école, à la cantine, aux uniformes, ainsi qu’aux cours extrascolaires ou autres cours ou activités facultatifs et aux excursions scolaires non obligatoires ne sont pas éligibles et ne sont pas remboursés par le projet.</w:t>
      </w:r>
    </w:p>
    <w:p w14:paraId="3E362DA2"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frais de scolarité sont remboursés dans la limite de 18 600 EUR par enfant et par année scolaire. Le remboursement s’effectue sur la base de factures détaillant les postes de frais justifiés, accompagnées d’un document dûment certifié par l’établissement d’enseignement en question indiquant les nom et prénom de chaque enfant, le montant exposé par enfant et la devise dans lequel les paiements ont été effectués; la date du paiement à l’établissement d’enseignement, l’année scolaire et la période concernée (mois, trimestre, semestre).</w:t>
      </w:r>
    </w:p>
    <w:p w14:paraId="3F8168AF" w14:textId="77777777" w:rsidR="00832F98" w:rsidRPr="005107DF" w:rsidRDefault="00832F98" w:rsidP="003947FF">
      <w:pPr>
        <w:numPr>
          <w:ilvl w:val="12"/>
          <w:numId w:val="0"/>
        </w:num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Ces frais varieront selon l’âge de l’enfant. Les frais de garde ne seront pas remboursés. </w:t>
      </w:r>
    </w:p>
    <w:p w14:paraId="6299CA54"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p>
    <w:p w14:paraId="40F3E0AB"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remboursement sera effectué sur la base des coûts réellement supportés et de factures détaillant les postes de frais justifiés. Le CRJ devra fournir les informations suivantes dans un document dûment certifié par l’établissement d’enseignement en question:</w:t>
      </w:r>
    </w:p>
    <w:p w14:paraId="66FEC607" w14:textId="77777777" w:rsidR="00832F98" w:rsidRPr="005107DF" w:rsidRDefault="00832F98" w:rsidP="003947FF">
      <w:pPr>
        <w:numPr>
          <w:ilvl w:val="12"/>
          <w:numId w:val="0"/>
        </w:num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w:t>
      </w:r>
      <w:r>
        <w:tab/>
      </w:r>
      <w:r>
        <w:rPr>
          <w:rFonts w:ascii="Times New Roman" w:hAnsi="Times New Roman"/>
          <w:color w:val="000000"/>
          <w:sz w:val="24"/>
        </w:rPr>
        <w:t>nom et prénom de chaque enfant</w:t>
      </w:r>
    </w:p>
    <w:p w14:paraId="56FFE670" w14:textId="77777777" w:rsidR="00832F98" w:rsidRPr="005107DF" w:rsidRDefault="00832F98" w:rsidP="003947FF">
      <w:pPr>
        <w:numPr>
          <w:ilvl w:val="12"/>
          <w:numId w:val="0"/>
        </w:num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w:t>
      </w:r>
      <w:r>
        <w:tab/>
      </w:r>
      <w:r>
        <w:rPr>
          <w:rFonts w:ascii="Times New Roman" w:hAnsi="Times New Roman"/>
          <w:color w:val="000000"/>
          <w:sz w:val="24"/>
        </w:rPr>
        <w:t>montant versé par enfant</w:t>
      </w:r>
    </w:p>
    <w:p w14:paraId="3238461B" w14:textId="77777777" w:rsidR="00832F98" w:rsidRPr="005107DF" w:rsidRDefault="00832F98" w:rsidP="003947FF">
      <w:pPr>
        <w:numPr>
          <w:ilvl w:val="12"/>
          <w:numId w:val="0"/>
        </w:num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w:t>
      </w:r>
      <w:r>
        <w:tab/>
      </w:r>
      <w:r>
        <w:rPr>
          <w:rFonts w:ascii="Times New Roman" w:hAnsi="Times New Roman"/>
          <w:color w:val="000000"/>
          <w:sz w:val="24"/>
        </w:rPr>
        <w:t>date de paiement par le CRJ</w:t>
      </w:r>
    </w:p>
    <w:p w14:paraId="33E65778" w14:textId="77777777" w:rsidR="00832F98" w:rsidRPr="005107DF" w:rsidRDefault="00832F98" w:rsidP="003947FF">
      <w:pPr>
        <w:numPr>
          <w:ilvl w:val="12"/>
          <w:numId w:val="0"/>
        </w:num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w:t>
      </w:r>
      <w:r>
        <w:tab/>
      </w:r>
      <w:r>
        <w:rPr>
          <w:rFonts w:ascii="Times New Roman" w:hAnsi="Times New Roman"/>
          <w:color w:val="000000"/>
          <w:sz w:val="24"/>
        </w:rPr>
        <w:t>devise dans laquelle le paiement a été effectué</w:t>
      </w:r>
    </w:p>
    <w:p w14:paraId="404EE0A2" w14:textId="570C7CC1" w:rsidR="00832F98" w:rsidRDefault="00832F98" w:rsidP="004946B7">
      <w:pPr>
        <w:numPr>
          <w:ilvl w:val="12"/>
          <w:numId w:val="0"/>
        </w:num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w:t>
      </w:r>
      <w:r>
        <w:tab/>
      </w:r>
      <w:r>
        <w:rPr>
          <w:rFonts w:ascii="Times New Roman" w:hAnsi="Times New Roman"/>
          <w:color w:val="000000"/>
          <w:sz w:val="24"/>
        </w:rPr>
        <w:t>année scolaire et période (mois, trimestre, semestre) concernées.</w:t>
      </w:r>
    </w:p>
    <w:p w14:paraId="151AECB4" w14:textId="77777777" w:rsidR="004946B7" w:rsidRPr="005107DF" w:rsidRDefault="004946B7" w:rsidP="004946B7">
      <w:pPr>
        <w:numPr>
          <w:ilvl w:val="12"/>
          <w:numId w:val="0"/>
        </w:numPr>
        <w:spacing w:after="0" w:line="240" w:lineRule="auto"/>
        <w:rPr>
          <w:rFonts w:ascii="Times New Roman" w:eastAsia="Times New Roman" w:hAnsi="Times New Roman" w:cs="Times New Roman"/>
          <w:color w:val="000000"/>
          <w:sz w:val="24"/>
          <w:szCs w:val="24"/>
        </w:rPr>
      </w:pPr>
    </w:p>
    <w:p w14:paraId="2D0C882F"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remboursement sera effectué sur la base des coûts réels justifiés par une facture payée. </w:t>
      </w:r>
    </w:p>
    <w:p w14:paraId="54D14B0A" w14:textId="77777777" w:rsidR="00832F98" w:rsidRPr="005107DF" w:rsidRDefault="00832F98" w:rsidP="003947FF">
      <w:pPr>
        <w:numPr>
          <w:ilvl w:val="12"/>
          <w:numId w:val="0"/>
        </w:numPr>
        <w:spacing w:after="0" w:line="240" w:lineRule="auto"/>
        <w:jc w:val="both"/>
        <w:rPr>
          <w:rFonts w:ascii="Times New Roman" w:eastAsia="Times New Roman" w:hAnsi="Times New Roman" w:cs="Times New Roman"/>
          <w:color w:val="000000"/>
          <w:sz w:val="24"/>
          <w:szCs w:val="24"/>
        </w:rPr>
      </w:pPr>
    </w:p>
    <w:p w14:paraId="7C38A1E9" w14:textId="77777777" w:rsidR="00832F98" w:rsidRPr="005107DF" w:rsidRDefault="00832F98" w:rsidP="003947FF">
      <w:pPr>
        <w:jc w:val="both"/>
        <w:rPr>
          <w:rFonts w:ascii="Times New Roman" w:eastAsia="Times New Roman" w:hAnsi="Times New Roman" w:cs="Times New Roman"/>
          <w:b/>
          <w:sz w:val="24"/>
          <w:szCs w:val="24"/>
        </w:rPr>
      </w:pPr>
      <w:r>
        <w:rPr>
          <w:rFonts w:ascii="Times New Roman" w:hAnsi="Times New Roman"/>
          <w:b/>
          <w:sz w:val="24"/>
        </w:rPr>
        <w:t>3.2.4 Remboursement des frais de déménagement</w:t>
      </w:r>
    </w:p>
    <w:p w14:paraId="23A85B56" w14:textId="77777777" w:rsidR="00832F98" w:rsidRPr="005107DF" w:rsidRDefault="00832F98" w:rsidP="003947FF">
      <w:pPr>
        <w:numPr>
          <w:ilvl w:val="12"/>
          <w:numId w:val="0"/>
        </w:numPr>
        <w:spacing w:after="0" w:line="240" w:lineRule="auto"/>
        <w:jc w:val="both"/>
        <w:rPr>
          <w:rFonts w:ascii="Times New Roman" w:eastAsia="Times New Roman" w:hAnsi="Times New Roman" w:cs="Times New Roman"/>
          <w:color w:val="000000"/>
          <w:sz w:val="24"/>
          <w:szCs w:val="24"/>
        </w:rPr>
      </w:pPr>
      <w:r>
        <w:rPr>
          <w:rFonts w:ascii="Times New Roman" w:hAnsi="Times New Roman"/>
          <w:snapToGrid w:val="0"/>
          <w:color w:val="000000"/>
          <w:sz w:val="24"/>
        </w:rPr>
        <w:t xml:space="preserve">Le projet de jumelage peut rembourser, sur la base d’une facture, les coûts afférents au déménagement de la totalité ou d’une partie des meubles et effets personnels du CRJ (y compris sa voiture) entre son lieu de travail habituel et le lieu de sa mission, au début et à la fin de celle-ci.  </w:t>
      </w:r>
      <w:r>
        <w:rPr>
          <w:rFonts w:ascii="Times New Roman" w:hAnsi="Times New Roman"/>
          <w:color w:val="000000"/>
          <w:sz w:val="24"/>
        </w:rPr>
        <w:t xml:space="preserve">L’offre de déménagement devra inclure la totalité des frais d’assurance relatifs au transport des effets personnels, du contenu de la maison et du véhicule (le cas échéant). </w:t>
      </w:r>
    </w:p>
    <w:p w14:paraId="0CC4B71B" w14:textId="77777777" w:rsidR="00832F98" w:rsidRPr="005107DF" w:rsidRDefault="00832F98" w:rsidP="003947FF">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Le remboursement, basé sur les coûts réels</w:t>
      </w:r>
      <w:r>
        <w:rPr>
          <w:rFonts w:ascii="Times New Roman" w:hAnsi="Times New Roman"/>
          <w:color w:val="000000"/>
          <w:sz w:val="24"/>
        </w:rPr>
        <w:t>, tiendra compte de la moins chère de trois offres soumises par des sociétés de déménagement. Le remboursement sera effectué sur la base des coûts réellement supportés et de factures payées détaillant les postes de frais.</w:t>
      </w:r>
    </w:p>
    <w:p w14:paraId="71B13782" w14:textId="77777777" w:rsidR="00832F98" w:rsidRPr="005107DF" w:rsidRDefault="00832F98" w:rsidP="003947FF">
      <w:pPr>
        <w:numPr>
          <w:ilvl w:val="12"/>
          <w:numId w:val="0"/>
        </w:numPr>
        <w:spacing w:after="0" w:line="240" w:lineRule="auto"/>
        <w:jc w:val="both"/>
        <w:rPr>
          <w:rFonts w:ascii="Times New Roman" w:eastAsia="Times New Roman" w:hAnsi="Times New Roman" w:cs="Times New Roman"/>
          <w:color w:val="000000"/>
          <w:sz w:val="24"/>
          <w:szCs w:val="24"/>
        </w:rPr>
      </w:pPr>
      <w:r>
        <w:rPr>
          <w:rFonts w:ascii="Times New Roman" w:hAnsi="Times New Roman"/>
          <w:snapToGrid w:val="0"/>
          <w:color w:val="000000"/>
          <w:sz w:val="24"/>
        </w:rPr>
        <w:t>En cas de remplacement du CRJ pendant la mise en œuvre d’un projet de jumelage pour des motifs autres que la force majeure (telle que définie à l’article 11.8 des conditions générales), les frais de déménagement du CRJ arrivant ne sont pas remboursés si le CRJ sortant a bénéficié d’un tel remboursement.</w:t>
      </w:r>
    </w:p>
    <w:p w14:paraId="36AB78FA" w14:textId="31BE84C1" w:rsidR="00832F98" w:rsidRDefault="00832F98" w:rsidP="003947FF">
      <w:pPr>
        <w:numPr>
          <w:ilvl w:val="12"/>
          <w:numId w:val="0"/>
        </w:numPr>
        <w:spacing w:after="0" w:line="240" w:lineRule="auto"/>
        <w:jc w:val="both"/>
        <w:rPr>
          <w:rFonts w:ascii="Times New Roman" w:eastAsia="Times New Roman" w:hAnsi="Times New Roman" w:cs="Times New Roman"/>
          <w:color w:val="000000"/>
          <w:sz w:val="24"/>
          <w:szCs w:val="24"/>
        </w:rPr>
      </w:pPr>
    </w:p>
    <w:p w14:paraId="74F7A977" w14:textId="77777777" w:rsidR="004946B7" w:rsidRPr="005107DF" w:rsidRDefault="004946B7" w:rsidP="003947FF">
      <w:pPr>
        <w:numPr>
          <w:ilvl w:val="12"/>
          <w:numId w:val="0"/>
        </w:numPr>
        <w:spacing w:after="0" w:line="240" w:lineRule="auto"/>
        <w:jc w:val="both"/>
        <w:rPr>
          <w:rFonts w:ascii="Times New Roman" w:eastAsia="Times New Roman" w:hAnsi="Times New Roman" w:cs="Times New Roman"/>
          <w:color w:val="000000"/>
          <w:sz w:val="24"/>
          <w:szCs w:val="24"/>
        </w:rPr>
      </w:pPr>
    </w:p>
    <w:p w14:paraId="6B4CE74F"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lastRenderedPageBreak/>
        <w:t>Remarques:</w:t>
      </w:r>
    </w:p>
    <w:p w14:paraId="0052AF66" w14:textId="77777777" w:rsidR="00832F98" w:rsidRPr="005107DF" w:rsidRDefault="00832F98"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mêmes conditions s’appliquent au déménagement </w:t>
      </w:r>
      <w:r>
        <w:rPr>
          <w:rFonts w:ascii="Times New Roman" w:hAnsi="Times New Roman"/>
          <w:color w:val="000000"/>
          <w:sz w:val="24"/>
          <w:u w:val="single"/>
        </w:rPr>
        <w:t>de retour</w:t>
      </w:r>
      <w:r>
        <w:rPr>
          <w:rFonts w:ascii="Times New Roman" w:hAnsi="Times New Roman"/>
          <w:color w:val="000000"/>
          <w:sz w:val="24"/>
        </w:rPr>
        <w:t xml:space="preserve"> au pays d’origine, lequel doit se faire dans les trois mois suivant la fin du détachement. </w:t>
      </w:r>
    </w:p>
    <w:p w14:paraId="7F1F8C88" w14:textId="77777777" w:rsidR="00832F98" w:rsidRPr="005107DF" w:rsidRDefault="00832F98"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rPr>
      </w:pPr>
      <w:r>
        <w:rPr>
          <w:rFonts w:ascii="Times New Roman" w:hAnsi="Times New Roman"/>
          <w:color w:val="000000"/>
          <w:sz w:val="24"/>
        </w:rPr>
        <w:t>Les frais occasionnés par d’éventuels retards de livraison, quel que soit le moyen de transport choisi, ne seront pas remboursés.</w:t>
      </w:r>
    </w:p>
    <w:p w14:paraId="785F2B40" w14:textId="77777777" w:rsidR="00832F98" w:rsidRPr="005107DF" w:rsidRDefault="00832F98"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rPr>
      </w:pPr>
      <w:r>
        <w:rPr>
          <w:rFonts w:ascii="Times New Roman" w:hAnsi="Times New Roman"/>
          <w:color w:val="000000"/>
          <w:sz w:val="24"/>
        </w:rPr>
        <w:t>Tout litige intervenant entre les CRJ et la société de transport/garde-meuble sur un aspect quelconque du déménagement, de l’entreposage ou du paiement relève de la seule responsabilité des CRJ.</w:t>
      </w:r>
    </w:p>
    <w:p w14:paraId="760B2969" w14:textId="77777777" w:rsidR="00832F98" w:rsidRPr="005107DF" w:rsidRDefault="00832F98" w:rsidP="003947FF">
      <w:pPr>
        <w:numPr>
          <w:ilvl w:val="12"/>
          <w:numId w:val="0"/>
        </w:numPr>
        <w:spacing w:after="0" w:line="240" w:lineRule="auto"/>
        <w:rPr>
          <w:rFonts w:ascii="Times New Roman" w:eastAsia="Times New Roman" w:hAnsi="Times New Roman" w:cs="Times New Roman"/>
          <w:b/>
          <w:color w:val="000000"/>
          <w:sz w:val="24"/>
          <w:szCs w:val="24"/>
        </w:rPr>
      </w:pPr>
    </w:p>
    <w:p w14:paraId="2540A864" w14:textId="77777777" w:rsidR="00832F98" w:rsidRPr="005107DF" w:rsidRDefault="00832F98" w:rsidP="003947FF">
      <w:pPr>
        <w:numPr>
          <w:ilvl w:val="12"/>
          <w:numId w:val="0"/>
        </w:num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3.2.5. Congés</w:t>
      </w:r>
    </w:p>
    <w:p w14:paraId="3C88D8EC" w14:textId="77777777" w:rsidR="00832F98" w:rsidRPr="005107DF" w:rsidRDefault="00832F98" w:rsidP="003947FF">
      <w:pPr>
        <w:numPr>
          <w:ilvl w:val="12"/>
          <w:numId w:val="0"/>
        </w:numPr>
        <w:spacing w:after="0" w:line="240" w:lineRule="auto"/>
        <w:outlineLvl w:val="0"/>
        <w:rPr>
          <w:rFonts w:ascii="Times New Roman" w:eastAsia="Times New Roman" w:hAnsi="Times New Roman" w:cs="Times New Roman"/>
          <w:b/>
          <w:color w:val="000000"/>
          <w:sz w:val="24"/>
          <w:szCs w:val="24"/>
        </w:rPr>
      </w:pPr>
    </w:p>
    <w:p w14:paraId="68F6B258" w14:textId="77777777" w:rsidR="00832F98" w:rsidRPr="005107DF" w:rsidRDefault="00832F98" w:rsidP="003947FF">
      <w:pPr>
        <w:numPr>
          <w:ilvl w:val="12"/>
          <w:numId w:val="0"/>
        </w:num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L’État membre peut être indemnisé des coûts relatifs aux congés du CRJ pendant la durée de sa mission dans le pays bénéficiaire à raison de 2,5 jours ouvrables par mois de service effectué (soit 30 jours par an). En ce qui concerne les jours fériés en vigueur dans le pays, les CJR ont le droit de prendre congé durant ceux-ci. Les jours fériés sont identiques à ceux dont bénéficient leurs homologues du pays bénéficiaire dans l’administration où ils travaillent.</w:t>
      </w:r>
    </w:p>
    <w:p w14:paraId="5B24C74A" w14:textId="77777777" w:rsidR="00832F98" w:rsidRPr="005107DF" w:rsidRDefault="00832F98" w:rsidP="003947FF">
      <w:pPr>
        <w:numPr>
          <w:ilvl w:val="12"/>
          <w:numId w:val="0"/>
        </w:numPr>
        <w:spacing w:after="0" w:line="240" w:lineRule="auto"/>
        <w:jc w:val="both"/>
        <w:rPr>
          <w:rFonts w:ascii="Times New Roman" w:eastAsia="Times New Roman" w:hAnsi="Times New Roman" w:cs="Times New Roman"/>
          <w:color w:val="000000"/>
          <w:sz w:val="24"/>
          <w:szCs w:val="24"/>
        </w:rPr>
      </w:pPr>
    </w:p>
    <w:p w14:paraId="2CFE3C3F" w14:textId="77777777" w:rsidR="00832F98" w:rsidRPr="005107DF" w:rsidRDefault="00832F98" w:rsidP="003947FF">
      <w:pPr>
        <w:numPr>
          <w:ilvl w:val="12"/>
          <w:numId w:val="0"/>
        </w:num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En ce qui concerne les congés spéciaux, le CRJ peut s’en voir accorder conformément aux règles régissant sa mission et sur la base d’un accord entre lui-même et son administration d’origine. Une autorisation de congé écrite devra être préalablement obtenue auprès du chef de projet de l’État membre.</w:t>
      </w:r>
    </w:p>
    <w:p w14:paraId="305A18FA" w14:textId="77777777" w:rsidR="00832F98" w:rsidRPr="005107DF" w:rsidRDefault="00832F98" w:rsidP="003947FF">
      <w:pPr>
        <w:spacing w:after="0" w:line="240" w:lineRule="auto"/>
        <w:rPr>
          <w:rFonts w:ascii="Times New Roman" w:eastAsia="Times New Roman" w:hAnsi="Times New Roman" w:cs="Times New Roman"/>
          <w:b/>
          <w:color w:val="000000"/>
          <w:sz w:val="24"/>
          <w:szCs w:val="24"/>
        </w:rPr>
      </w:pPr>
    </w:p>
    <w:p w14:paraId="0B7CEB5E" w14:textId="77777777" w:rsidR="00832F98" w:rsidRPr="005107DF" w:rsidRDefault="00832F98" w:rsidP="003947FF">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3.2.6 Situation fiscale du CRJ</w:t>
      </w:r>
    </w:p>
    <w:p w14:paraId="525E1FA2" w14:textId="77777777" w:rsidR="00832F98" w:rsidRPr="005107DF" w:rsidRDefault="00832F98" w:rsidP="003947FF">
      <w:pPr>
        <w:spacing w:after="0" w:line="240" w:lineRule="auto"/>
        <w:rPr>
          <w:rFonts w:ascii="Times New Roman" w:eastAsia="Times New Roman" w:hAnsi="Times New Roman" w:cs="Times New Roman"/>
          <w:color w:val="000000"/>
          <w:sz w:val="24"/>
          <w:szCs w:val="24"/>
        </w:rPr>
      </w:pPr>
    </w:p>
    <w:p w14:paraId="7FF06350"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conseiller résident de jumelage (CRJ) est tenu de se conformer à la législation fiscale de son pays d’origine en ce qui concerne les revenus perçus lors de sa mission dans le pays bénéficiaire.</w:t>
      </w:r>
    </w:p>
    <w:p w14:paraId="441EEF9F"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éventuelles exemptions des droits de douane, des droits d’importation, des taxes et autres charges fiscales applicables au CRJ sont habituellement régies par la convention-cadre ou la convention de financement qui a été conclue entre la Commission et le bénéficiaire au sujet de l’aide financière apportée par l’UE au pays. </w:t>
      </w:r>
    </w:p>
    <w:p w14:paraId="71DB6E77" w14:textId="77777777" w:rsidR="00832F98" w:rsidRPr="005107DF" w:rsidRDefault="00832F98" w:rsidP="00BA0D9E">
      <w:pPr>
        <w:spacing w:after="0" w:line="240" w:lineRule="auto"/>
        <w:jc w:val="both"/>
        <w:rPr>
          <w:rFonts w:ascii="Times New Roman" w:eastAsia="Times New Roman" w:hAnsi="Times New Roman" w:cs="Times New Roman"/>
          <w:color w:val="000000"/>
          <w:sz w:val="24"/>
          <w:szCs w:val="24"/>
        </w:rPr>
      </w:pPr>
    </w:p>
    <w:p w14:paraId="0A29C4EB" w14:textId="77777777" w:rsidR="00832F98" w:rsidRPr="005107DF" w:rsidRDefault="00832F98" w:rsidP="00BA0D9E">
      <w:pPr>
        <w:jc w:val="both"/>
        <w:rPr>
          <w:rFonts w:ascii="Times New Roman" w:hAnsi="Times New Roman" w:cs="Times New Roman"/>
          <w:b/>
          <w:sz w:val="28"/>
          <w:szCs w:val="28"/>
        </w:rPr>
      </w:pPr>
      <w:r>
        <w:rPr>
          <w:rFonts w:ascii="Times New Roman" w:hAnsi="Times New Roman"/>
          <w:b/>
          <w:sz w:val="28"/>
        </w:rPr>
        <w:t>3.3 Coûts relatifs aux experts de courte durée travaillant dans le pays bénéficiaire</w:t>
      </w:r>
    </w:p>
    <w:p w14:paraId="7F741E3E" w14:textId="77777777" w:rsidR="00832F98" w:rsidRPr="005107DF" w:rsidRDefault="00832F98" w:rsidP="003947FF">
      <w:pPr>
        <w:spacing w:after="0" w:line="240" w:lineRule="auto"/>
        <w:rPr>
          <w:rFonts w:ascii="Times New Roman" w:eastAsia="Times New Roman" w:hAnsi="Times New Roman" w:cs="Times New Roman"/>
          <w:color w:val="000000"/>
          <w:sz w:val="24"/>
          <w:szCs w:val="24"/>
          <w:u w:val="single"/>
        </w:rPr>
      </w:pPr>
      <w:r>
        <w:rPr>
          <w:rFonts w:ascii="Times New Roman" w:hAnsi="Times New Roman"/>
          <w:color w:val="000000"/>
          <w:sz w:val="24"/>
          <w:u w:val="single"/>
        </w:rPr>
        <w:t xml:space="preserve">Coût unitaire pour </w:t>
      </w:r>
      <w:r>
        <w:rPr>
          <w:rFonts w:ascii="Times New Roman" w:hAnsi="Times New Roman"/>
          <w:sz w:val="24"/>
          <w:u w:val="single"/>
        </w:rPr>
        <w:t xml:space="preserve">la compensation des coûts de rémunération et des coûts non salariaux </w:t>
      </w:r>
      <w:r>
        <w:rPr>
          <w:rFonts w:ascii="Times New Roman" w:hAnsi="Times New Roman"/>
          <w:color w:val="000000"/>
          <w:sz w:val="24"/>
          <w:u w:val="single"/>
        </w:rPr>
        <w:t xml:space="preserve"> </w:t>
      </w:r>
    </w:p>
    <w:p w14:paraId="24B93D8A" w14:textId="77777777" w:rsidR="00832F98" w:rsidRPr="005107DF" w:rsidRDefault="00832F98" w:rsidP="003947FF">
      <w:pPr>
        <w:spacing w:after="0" w:line="240" w:lineRule="auto"/>
        <w:rPr>
          <w:rFonts w:ascii="Times New Roman" w:eastAsia="Times New Roman" w:hAnsi="Times New Roman" w:cs="Times New Roman"/>
          <w:b/>
          <w:color w:val="000000"/>
          <w:sz w:val="24"/>
          <w:szCs w:val="24"/>
        </w:rPr>
      </w:pPr>
    </w:p>
    <w:p w14:paraId="717AAB46" w14:textId="77777777" w:rsidR="00832F98" w:rsidRPr="005107DF" w:rsidRDefault="00832F98" w:rsidP="003947FF">
      <w:pPr>
        <w:spacing w:line="240" w:lineRule="auto"/>
        <w:jc w:val="both"/>
        <w:rPr>
          <w:rFonts w:ascii="Times New Roman" w:hAnsi="Times New Roman" w:cs="Times New Roman"/>
        </w:rPr>
      </w:pPr>
      <w:r>
        <w:rPr>
          <w:rFonts w:ascii="Times New Roman" w:hAnsi="Times New Roman"/>
          <w:sz w:val="24"/>
        </w:rPr>
        <w:t>Les États membres reçoivent une indemnité journalière forfaitaire pour compenser l’absence à leur poste des fonctionnaires ou agents assimilés qui agissent en tant qu’experts en jumelage de courte durée, ce qui signifie qu’ils sont détachés pour une durée inférieure à 29 jours calendrier consécutifs dans le pays bénéficiaire.</w:t>
      </w:r>
    </w:p>
    <w:p w14:paraId="0A099BF6"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L’indemnité journalière forfaitaire à verser aux États membres pour compenser l’absence de fonctionnaires et agents assimilés en tant qu’experts en jumelage de courte durée est équivalente à 350 EUR par jour. </w:t>
      </w:r>
      <w:r>
        <w:rPr>
          <w:rFonts w:ascii="Times New Roman" w:hAnsi="Times New Roman"/>
          <w:color w:val="000000"/>
          <w:sz w:val="24"/>
        </w:rPr>
        <w:t xml:space="preserve">Une prestation d’expert de courte durée est définie comme étant une mission dans le pays bénéficiaire. </w:t>
      </w:r>
    </w:p>
    <w:p w14:paraId="2DB0E5D7"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missions du chef de projet de l’État membre et du personnel de soutien dans le pays bénéficiaire en qualité d’experts de courte durée peuvent être couvertes par le budget du projet si elles sont en rapport avec l’élaboration et l’actualisation d’un plan de travail, la </w:t>
      </w:r>
      <w:r>
        <w:rPr>
          <w:rFonts w:ascii="Times New Roman" w:hAnsi="Times New Roman"/>
          <w:color w:val="000000"/>
          <w:sz w:val="24"/>
        </w:rPr>
        <w:lastRenderedPageBreak/>
        <w:t xml:space="preserve">participation à des actions relatives au programme de communication et la participation aux réunions du comité de pilotage du projet. </w:t>
      </w:r>
    </w:p>
    <w:p w14:paraId="766E28CB" w14:textId="77777777" w:rsidR="00832F98" w:rsidRPr="005107DF" w:rsidRDefault="00832F98" w:rsidP="003947FF">
      <w:pPr>
        <w:spacing w:after="0" w:line="240" w:lineRule="auto"/>
        <w:rPr>
          <w:rFonts w:ascii="Times New Roman" w:eastAsia="Times New Roman" w:hAnsi="Times New Roman" w:cs="Times New Roman"/>
          <w:color w:val="000000"/>
          <w:sz w:val="24"/>
          <w:szCs w:val="24"/>
        </w:rPr>
      </w:pPr>
    </w:p>
    <w:p w14:paraId="7B1FDCB8" w14:textId="77777777" w:rsidR="00832F98" w:rsidRDefault="00832F98" w:rsidP="003947FF">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Des indemnités peuvent être versées pour les jours de voyage durant lesquels des travaux sont exécutés dans le pays bénéficiaire - seuls les jours de travail complets ou les demi-journées seront pris en considération. En revanche, aucune indemnité n’est versée lorsque le voyage est effectué le week-end. Il convient d’en tenir compte lors du calcul des coûts relatifs aux prestations de courte durée et de la budgétisation des jours ouvrables adéquats.  </w:t>
      </w:r>
    </w:p>
    <w:p w14:paraId="10636B1E" w14:textId="77777777" w:rsidR="00832F98" w:rsidRDefault="00832F98" w:rsidP="003947FF">
      <w:pPr>
        <w:spacing w:after="0" w:line="240" w:lineRule="auto"/>
        <w:jc w:val="both"/>
        <w:rPr>
          <w:rFonts w:ascii="Times New Roman" w:eastAsia="Times New Roman" w:hAnsi="Times New Roman" w:cs="Times New Roman"/>
          <w:color w:val="000000"/>
          <w:sz w:val="24"/>
          <w:szCs w:val="24"/>
        </w:rPr>
      </w:pPr>
    </w:p>
    <w:p w14:paraId="2B3F2ACA" w14:textId="115A4CE8"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p>
    <w:p w14:paraId="3159638C" w14:textId="77777777" w:rsidR="00832F98" w:rsidRPr="005107DF" w:rsidRDefault="00832F98" w:rsidP="003947FF">
      <w:pPr>
        <w:spacing w:after="240" w:line="240" w:lineRule="auto"/>
        <w:rPr>
          <w:rFonts w:ascii="Times New Roman" w:eastAsia="Times New Roman" w:hAnsi="Times New Roman" w:cs="Times New Roman"/>
          <w:sz w:val="24"/>
          <w:szCs w:val="24"/>
          <w:u w:val="single"/>
        </w:rPr>
      </w:pPr>
      <w:r>
        <w:rPr>
          <w:rFonts w:ascii="Times New Roman" w:hAnsi="Times New Roman"/>
          <w:sz w:val="24"/>
          <w:u w:val="single"/>
        </w:rPr>
        <w:t xml:space="preserve">Indemnités des experts de courte durée </w:t>
      </w:r>
    </w:p>
    <w:p w14:paraId="4D4CB55F"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u w:val="single"/>
        </w:rPr>
      </w:pPr>
      <w:r>
        <w:rPr>
          <w:rFonts w:ascii="Times New Roman" w:hAnsi="Times New Roman"/>
          <w:color w:val="000000"/>
          <w:sz w:val="24"/>
          <w:u w:val="single"/>
        </w:rPr>
        <w:t>Coût unitaire pour la compensation des dépenses journalières</w:t>
      </w:r>
    </w:p>
    <w:p w14:paraId="12D6CA3E" w14:textId="77777777" w:rsidR="00832F98" w:rsidRPr="005107DF" w:rsidRDefault="00832F98" w:rsidP="003947FF">
      <w:pPr>
        <w:spacing w:line="240" w:lineRule="auto"/>
        <w:jc w:val="both"/>
        <w:rPr>
          <w:rFonts w:ascii="Times New Roman" w:eastAsia="Times New Roman" w:hAnsi="Times New Roman" w:cs="Times New Roman"/>
          <w:sz w:val="24"/>
          <w:szCs w:val="24"/>
        </w:rPr>
      </w:pPr>
    </w:p>
    <w:p w14:paraId="55196000" w14:textId="77777777" w:rsidR="00832F98" w:rsidRPr="005107DF" w:rsidRDefault="00832F98" w:rsidP="003947FF">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Un </w:t>
      </w:r>
      <w:r>
        <w:rPr>
          <w:rFonts w:ascii="Times New Roman" w:hAnsi="Times New Roman"/>
          <w:color w:val="000000"/>
          <w:sz w:val="24"/>
        </w:rPr>
        <w:t>État</w:t>
      </w:r>
      <w:r>
        <w:rPr>
          <w:rFonts w:ascii="Times New Roman" w:hAnsi="Times New Roman"/>
          <w:sz w:val="24"/>
        </w:rPr>
        <w:t xml:space="preserve"> membre peut verser à ses fonctionnaires ou agents assimilés une indemnité journalière</w:t>
      </w:r>
      <w:r>
        <w:rPr>
          <w:rFonts w:ascii="Times New Roman" w:hAnsi="Times New Roman"/>
        </w:rPr>
        <w:t xml:space="preserve"> </w:t>
      </w:r>
      <w:r>
        <w:rPr>
          <w:rFonts w:ascii="Times New Roman" w:hAnsi="Times New Roman"/>
          <w:sz w:val="24"/>
        </w:rPr>
        <w:t>lorsqu’ils sont en mission dans le pays bénéficiaire. Le montant maximal de cette indemnité journalière correspond au montant de l’indemnité journalière dans le pays bénéficiaire publié par la DG DEVCO et applicable au moment de la signature du contrat de subvention de jumelage.</w:t>
      </w:r>
    </w:p>
    <w:p w14:paraId="4984B1AC" w14:textId="77777777" w:rsidR="00832F98" w:rsidRPr="005107DF" w:rsidRDefault="00832F98" w:rsidP="003947FF">
      <w:pPr>
        <w:spacing w:after="0" w:line="240" w:lineRule="auto"/>
        <w:jc w:val="both"/>
        <w:rPr>
          <w:rFonts w:ascii="Times New Roman" w:eastAsia="Times New Roman" w:hAnsi="Times New Roman" w:cs="Times New Roman"/>
          <w:sz w:val="24"/>
          <w:szCs w:val="24"/>
        </w:rPr>
      </w:pPr>
    </w:p>
    <w:p w14:paraId="02A0ECE1" w14:textId="77777777" w:rsidR="00832F98" w:rsidRPr="005107DF" w:rsidRDefault="00832F98" w:rsidP="003947FF">
      <w:pPr>
        <w:spacing w:line="240" w:lineRule="auto"/>
        <w:jc w:val="both"/>
        <w:rPr>
          <w:rFonts w:ascii="Times New Roman" w:hAnsi="Times New Roman" w:cs="Times New Roman"/>
        </w:rPr>
      </w:pPr>
      <w:r>
        <w:rPr>
          <w:rFonts w:ascii="Times New Roman" w:hAnsi="Times New Roman"/>
          <w:color w:val="000000"/>
          <w:sz w:val="24"/>
        </w:rPr>
        <w:t>Les taux des indemnités journalières sont communiqués par le siège de la Commission aux points de contact nationaux des États membres et du pays bénéficiaire. Ils sont basés sur la liste disponible sur le site web d’Europe Aid</w:t>
      </w:r>
      <w:r>
        <w:rPr>
          <w:rFonts w:ascii="Times New Roman" w:hAnsi="Times New Roman"/>
          <w:color w:val="000000"/>
          <w:sz w:val="24"/>
          <w:vertAlign w:val="superscript"/>
        </w:rPr>
        <w:footnoteReference w:id="45"/>
      </w:r>
      <w:r>
        <w:rPr>
          <w:rFonts w:ascii="Times New Roman" w:hAnsi="Times New Roman"/>
          <w:color w:val="000000"/>
          <w:sz w:val="24"/>
        </w:rPr>
        <w:t>. Il s’agit de taux maximaux; des taux plus bas peuvent être convenus et appliqués dans le cadre d’un contrat de jumelage.</w:t>
      </w:r>
    </w:p>
    <w:p w14:paraId="72AC1B99" w14:textId="77777777" w:rsidR="00832F98" w:rsidRPr="005107DF" w:rsidRDefault="00832F98" w:rsidP="003947FF">
      <w:pPr>
        <w:spacing w:after="240" w:line="240" w:lineRule="auto"/>
        <w:rPr>
          <w:rFonts w:ascii="Times New Roman" w:eastAsia="Times New Roman" w:hAnsi="Times New Roman" w:cs="Times New Roman"/>
          <w:sz w:val="24"/>
          <w:szCs w:val="24"/>
          <w:u w:val="single"/>
        </w:rPr>
      </w:pPr>
      <w:r>
        <w:rPr>
          <w:rFonts w:ascii="Times New Roman" w:hAnsi="Times New Roman"/>
          <w:sz w:val="24"/>
          <w:u w:val="single"/>
        </w:rPr>
        <w:t>Coût unitaire pour la compensation des frais de voyage</w:t>
      </w:r>
    </w:p>
    <w:p w14:paraId="4FABAEB3" w14:textId="77777777" w:rsidR="00832F98" w:rsidRPr="005107DF" w:rsidRDefault="00832F98" w:rsidP="000C3DA8">
      <w:pPr>
        <w:numPr>
          <w:ilvl w:val="12"/>
          <w:numId w:val="0"/>
        </w:numPr>
        <w:spacing w:after="240"/>
        <w:jc w:val="both"/>
        <w:rPr>
          <w:rFonts w:ascii="Times New Roman" w:eastAsia="Times New Roman" w:hAnsi="Times New Roman" w:cs="Times New Roman"/>
          <w:color w:val="000000"/>
          <w:sz w:val="24"/>
        </w:rPr>
      </w:pPr>
      <w:r>
        <w:rPr>
          <w:rFonts w:ascii="Times New Roman" w:hAnsi="Times New Roman"/>
          <w:color w:val="000000"/>
          <w:sz w:val="24"/>
        </w:rPr>
        <w:t>Chaque fois qu’un fonctionnaire d’un État membre ou agent assimilé est affecté dans le pays bénéficiaire pour agir en tant qu’expert de courte durée, les frais de voyage devraient être compensés par une allocation de voyage déterminée soit sur la base de l’offre économiquement la plus avantageuse parmi celles présentées par trois agences de voyage avant la signature du contrat de jumelage et collectées par l’administration de l’État membre, soit sur la base du devis fourni par l’entité de l’administration de l’État membre sélectionnée par procédure concurrentielle et chargée de l’organisation des déplacements.</w:t>
      </w:r>
    </w:p>
    <w:p w14:paraId="0859EC03" w14:textId="77777777" w:rsidR="00832F98" w:rsidRDefault="00832F98" w:rsidP="000C3DA8">
      <w:pPr>
        <w:numPr>
          <w:ilvl w:val="12"/>
          <w:numId w:val="0"/>
        </w:numPr>
        <w:spacing w:after="240"/>
        <w:jc w:val="both"/>
        <w:rPr>
          <w:rFonts w:ascii="Times New Roman" w:eastAsia="Times New Roman" w:hAnsi="Times New Roman" w:cs="Times New Roman"/>
          <w:color w:val="000000" w:themeColor="text1"/>
          <w:sz w:val="24"/>
          <w:szCs w:val="24"/>
        </w:rPr>
      </w:pPr>
      <w:r>
        <w:rPr>
          <w:rFonts w:ascii="Times New Roman" w:hAnsi="Times New Roman"/>
          <w:sz w:val="24"/>
        </w:rPr>
        <w:t xml:space="preserve">Les coûts unitaires sont convenus </w:t>
      </w:r>
      <w:r>
        <w:rPr>
          <w:rFonts w:ascii="Times New Roman" w:hAnsi="Times New Roman"/>
          <w:color w:val="000000" w:themeColor="text1"/>
          <w:sz w:val="24"/>
        </w:rPr>
        <w:t xml:space="preserve">entre les parties au contrat aux fins de la signature du contrat de jumelage. </w:t>
      </w:r>
    </w:p>
    <w:p w14:paraId="7CBFE08A" w14:textId="77777777" w:rsidR="00832F98" w:rsidRPr="005107DF" w:rsidRDefault="00832F98" w:rsidP="0019382C">
      <w:pPr>
        <w:numPr>
          <w:ilvl w:val="12"/>
          <w:numId w:val="0"/>
        </w:numPr>
        <w:spacing w:after="240"/>
        <w:jc w:val="both"/>
        <w:rPr>
          <w:rFonts w:ascii="Times New Roman" w:eastAsia="Times New Roman" w:hAnsi="Times New Roman" w:cs="Times New Roman"/>
          <w:color w:val="000000"/>
          <w:sz w:val="24"/>
          <w:szCs w:val="24"/>
        </w:rPr>
      </w:pPr>
      <w:r>
        <w:rPr>
          <w:rFonts w:ascii="Times New Roman" w:hAnsi="Times New Roman"/>
          <w:color w:val="000000" w:themeColor="text1"/>
          <w:sz w:val="24"/>
        </w:rPr>
        <w:t xml:space="preserve">En cas de trajet en voiture de l’État membre vers le pays bénéficiaire, </w:t>
      </w:r>
      <w:r>
        <w:rPr>
          <w:rFonts w:ascii="Times New Roman" w:hAnsi="Times New Roman"/>
          <w:sz w:val="24"/>
        </w:rPr>
        <w:t xml:space="preserve">l’administration contractante et l’État membre déterminent l’indemnité relative à chaque voyage au moment de la conclusion du contrat. </w:t>
      </w:r>
    </w:p>
    <w:p w14:paraId="681609D6" w14:textId="77777777" w:rsidR="00832F98" w:rsidRPr="005107DF" w:rsidRDefault="00832F98" w:rsidP="007338F0">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déplacements à destination et au départ de l’aéroport de la ville où l’expertise doit être fournie sont considérés comme des déplacements locaux et sont couverts par l’indemnité journalière plafonnée à un maximum correspondant au barème des indemnités journalières de la DG DEVCO. </w:t>
      </w:r>
    </w:p>
    <w:p w14:paraId="308452C0" w14:textId="77777777" w:rsidR="00832F98" w:rsidRPr="005107DF" w:rsidRDefault="00832F98" w:rsidP="003947FF">
      <w:pPr>
        <w:spacing w:after="0" w:line="240" w:lineRule="auto"/>
        <w:rPr>
          <w:rFonts w:ascii="Times New Roman" w:eastAsia="Times New Roman" w:hAnsi="Times New Roman" w:cs="Times New Roman"/>
          <w:color w:val="000000"/>
          <w:sz w:val="24"/>
          <w:szCs w:val="24"/>
        </w:rPr>
      </w:pPr>
    </w:p>
    <w:p w14:paraId="5F675AD4"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déplacements des experts des États membres à l’intérieur du pays bénéficiaire et à au moins 25 km de leur lieu de travail doivent être identifiés et budgétisés séparément. </w:t>
      </w:r>
      <w:r>
        <w:rPr>
          <w:rFonts w:ascii="Times New Roman" w:hAnsi="Times New Roman"/>
          <w:color w:val="000000"/>
          <w:sz w:val="24"/>
        </w:rPr>
        <w:lastRenderedPageBreak/>
        <w:t xml:space="preserve">L’utilisation des transports publics est obligatoire chaque fois que cela s’avère possible. Ces frais sont remboursés </w:t>
      </w:r>
      <w:r>
        <w:rPr>
          <w:rFonts w:ascii="Times New Roman" w:hAnsi="Times New Roman"/>
          <w:color w:val="000000"/>
        </w:rPr>
        <w:t>sur la base des coûts</w:t>
      </w:r>
      <w:r>
        <w:rPr>
          <w:rFonts w:ascii="Times New Roman" w:hAnsi="Times New Roman"/>
          <w:sz w:val="24"/>
        </w:rPr>
        <w:t xml:space="preserve"> encourus justifiés</w:t>
      </w:r>
      <w:r>
        <w:rPr>
          <w:rFonts w:ascii="Times New Roman" w:hAnsi="Times New Roman"/>
          <w:sz w:val="24"/>
          <w:u w:val="single"/>
        </w:rPr>
        <w:t xml:space="preserve"> </w:t>
      </w:r>
      <w:r>
        <w:rPr>
          <w:rFonts w:ascii="Times New Roman" w:hAnsi="Times New Roman"/>
          <w:color w:val="000000"/>
          <w:sz w:val="24"/>
        </w:rPr>
        <w:t>par une facture payée.</w:t>
      </w:r>
    </w:p>
    <w:p w14:paraId="1B145102"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p>
    <w:p w14:paraId="757472F8"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frais de visa sont éligibles au remboursement sur la base des coûts encourus justifiés par une facture payée. </w:t>
      </w:r>
    </w:p>
    <w:p w14:paraId="0F6B8B9C" w14:textId="77777777" w:rsidR="00832F98" w:rsidRPr="005107DF" w:rsidRDefault="00832F98" w:rsidP="003947FF">
      <w:pPr>
        <w:spacing w:after="240" w:line="240" w:lineRule="auto"/>
        <w:jc w:val="both"/>
        <w:rPr>
          <w:rFonts w:ascii="Times New Roman" w:eastAsia="Times New Roman" w:hAnsi="Times New Roman" w:cs="Times New Roman"/>
          <w:b/>
          <w:sz w:val="24"/>
          <w:szCs w:val="24"/>
          <w:u w:val="single"/>
        </w:rPr>
      </w:pPr>
      <w:r>
        <w:rPr>
          <w:rFonts w:ascii="Times New Roman" w:hAnsi="Times New Roman"/>
          <w:sz w:val="24"/>
        </w:rPr>
        <w:t xml:space="preserve">Dans le cas où un coût unitaire n’aurait pas été établi pour un itinéraire au moment de la conclusion du contrat, les coûts y afférents seront remboursés sur </w:t>
      </w:r>
      <w:r>
        <w:rPr>
          <w:rFonts w:ascii="Times New Roman" w:hAnsi="Times New Roman"/>
          <w:color w:val="000000"/>
          <w:sz w:val="24"/>
        </w:rPr>
        <w:t>production d’une facture payée</w:t>
      </w:r>
      <w:r>
        <w:rPr>
          <w:rFonts w:ascii="Times New Roman" w:hAnsi="Times New Roman"/>
          <w:sz w:val="24"/>
        </w:rPr>
        <w:t>.</w:t>
      </w:r>
      <w:r>
        <w:rPr>
          <w:rFonts w:ascii="Times New Roman" w:hAnsi="Times New Roman"/>
          <w:color w:val="000000"/>
          <w:sz w:val="24"/>
        </w:rPr>
        <w:t xml:space="preserve"> </w:t>
      </w:r>
    </w:p>
    <w:p w14:paraId="2BD7885C"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3.4 Coûts relatifs aux assistants du CRJ</w:t>
      </w:r>
    </w:p>
    <w:p w14:paraId="0696FD1A" w14:textId="77777777" w:rsidR="00832F98" w:rsidRPr="005107DF" w:rsidRDefault="00832F98" w:rsidP="003947FF">
      <w:pPr>
        <w:spacing w:line="240" w:lineRule="auto"/>
        <w:jc w:val="both"/>
        <w:rPr>
          <w:rFonts w:ascii="Times New Roman" w:eastAsia="Times New Roman" w:hAnsi="Times New Roman" w:cs="Times New Roman"/>
          <w:sz w:val="24"/>
          <w:szCs w:val="24"/>
          <w:u w:val="single"/>
        </w:rPr>
      </w:pPr>
      <w:r>
        <w:rPr>
          <w:rFonts w:ascii="Times New Roman" w:hAnsi="Times New Roman"/>
          <w:sz w:val="24"/>
          <w:u w:val="single"/>
        </w:rPr>
        <w:t xml:space="preserve">Coût unitaire pour la compensation des frais relatifs aux assistants du CRJ </w:t>
      </w:r>
    </w:p>
    <w:p w14:paraId="69789374" w14:textId="77777777" w:rsidR="00832F98" w:rsidRPr="005107DF" w:rsidRDefault="00832F98" w:rsidP="003947FF">
      <w:pPr>
        <w:jc w:val="both"/>
        <w:rPr>
          <w:rFonts w:ascii="Times New Roman" w:hAnsi="Times New Roman" w:cs="Times New Roman"/>
        </w:rPr>
      </w:pPr>
      <w:r>
        <w:rPr>
          <w:rFonts w:ascii="Times New Roman" w:hAnsi="Times New Roman"/>
          <w:sz w:val="24"/>
        </w:rPr>
        <w:t>Un CRJ est normalement assisté par un (ou exceptionnellement plusieurs) assistant linguistique ou administratif à temps plein, ou par un assistant qui remplit à la fois le rôle d’assistant linguistique et administratif, dont la rémunération mensuelle est portée au budget en tant que coûts unitaires mensuels, sur la base de la valeur du ou des contrats signés divisée par le nombre de mois de la durée du contrat, à la suite d’une procédure de passation de marchés et fixée au cas par cas en tenant compte des conditions qui prévalent dans le pays bénéficiaire et des indications fournies par la délégation de l’UE locale.</w:t>
      </w:r>
    </w:p>
    <w:p w14:paraId="51BDAE25"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procédures de sélection et d’attribution suivent les dispositions arrêtées à l’annexe A4 du contrat de subvention de jumelage. Trois candidats au minimum doivent être évalués/interviewés.  </w:t>
      </w:r>
    </w:p>
    <w:p w14:paraId="74CE9595" w14:textId="77777777" w:rsidR="00832F98" w:rsidRPr="005107DF" w:rsidRDefault="00832F98" w:rsidP="007338F0">
      <w:pPr>
        <w:spacing w:after="240" w:line="240" w:lineRule="auto"/>
        <w:jc w:val="both"/>
        <w:rPr>
          <w:rFonts w:ascii="Times New Roman" w:hAnsi="Times New Roman" w:cs="Times New Roman"/>
          <w:b/>
          <w:sz w:val="28"/>
          <w:szCs w:val="28"/>
        </w:rPr>
      </w:pPr>
      <w:r>
        <w:rPr>
          <w:rFonts w:ascii="Times New Roman" w:hAnsi="Times New Roman"/>
          <w:color w:val="000000"/>
          <w:sz w:val="24"/>
        </w:rPr>
        <w:t>Comme pour toute prestation effectuée par le bénéficiaire, les coûts afférents aux assistants mis à la disposition du CRJ au début de la mise en œuvre du projet (voir le point 4.2.6 du manuel de jumelage) ne peuvent être couverts par le budget du jumelage. De même, si l’assistant du CRJ est détaché par le bénéficiaire, les coûts correspondants ne sont pas éligibles à un financement au titre du projet.</w:t>
      </w:r>
      <w:r>
        <w:br w:type="page"/>
      </w:r>
    </w:p>
    <w:p w14:paraId="344D74A8"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lastRenderedPageBreak/>
        <w:t xml:space="preserve">3.5 Coûts relatifs au personnel du bénéficiaire dans le(s) État(s) membre(s) </w:t>
      </w:r>
    </w:p>
    <w:p w14:paraId="1A8130DE" w14:textId="77777777" w:rsidR="00832F98" w:rsidRPr="005107DF" w:rsidRDefault="00832F98" w:rsidP="003947FF">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u w:val="single"/>
        </w:rPr>
        <w:t>Coût unitaire pour la compensation des indemnités de voyage et indemnités journalières</w:t>
      </w:r>
      <w:r>
        <w:rPr>
          <w:rFonts w:ascii="Times New Roman" w:hAnsi="Times New Roman"/>
          <w:color w:val="000000"/>
          <w:sz w:val="24"/>
        </w:rPr>
        <w:t xml:space="preserve"> octroyées aux membres du personnel du bénéficiaire participant aux activités organisées dans un État membre (voyages d’étude, stages, etc.) Ces coûts sont éligibles et indemnisés aux exactes mêmes conditions qu’à la section 3.3</w:t>
      </w:r>
      <w:r>
        <w:rPr>
          <w:rFonts w:ascii="Times New Roman" w:hAnsi="Times New Roman"/>
          <w:color w:val="000000"/>
          <w:sz w:val="24"/>
          <w:vertAlign w:val="superscript"/>
        </w:rPr>
        <w:footnoteReference w:id="46"/>
      </w:r>
      <w:r>
        <w:rPr>
          <w:rFonts w:ascii="Times New Roman" w:hAnsi="Times New Roman"/>
          <w:color w:val="000000"/>
          <w:sz w:val="24"/>
        </w:rPr>
        <w:t>.</w:t>
      </w:r>
    </w:p>
    <w:p w14:paraId="693C7456" w14:textId="77777777" w:rsidR="00832F98" w:rsidRPr="005107DF" w:rsidRDefault="00832F98" w:rsidP="003947FF">
      <w:pPr>
        <w:spacing w:after="0" w:line="240" w:lineRule="auto"/>
        <w:rPr>
          <w:rFonts w:ascii="Times New Roman" w:eastAsia="Times New Roman" w:hAnsi="Times New Roman" w:cs="Times New Roman"/>
          <w:color w:val="000000"/>
          <w:sz w:val="24"/>
          <w:szCs w:val="24"/>
        </w:rPr>
      </w:pPr>
    </w:p>
    <w:p w14:paraId="4F47F037"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coûts relatifs aux déplacements à l’intérieur des États membres ou entre ceux-ci effectués dans le cadre du programme d’étude sont éligibles.</w:t>
      </w:r>
    </w:p>
    <w:p w14:paraId="15D75A2E"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Pour les formations ou stages de plus de 28 jours, l’indemnité journalière est toutefois réduite de 50 % à partir du 29</w:t>
      </w:r>
      <w:r>
        <w:rPr>
          <w:rFonts w:ascii="Times New Roman" w:hAnsi="Times New Roman"/>
          <w:color w:val="000000"/>
          <w:sz w:val="24"/>
          <w:vertAlign w:val="superscript"/>
        </w:rPr>
        <w:t>e</w:t>
      </w:r>
      <w:r>
        <w:rPr>
          <w:rFonts w:ascii="Times New Roman" w:hAnsi="Times New Roman"/>
          <w:color w:val="000000"/>
          <w:sz w:val="24"/>
        </w:rPr>
        <w:t> jour.</w:t>
      </w:r>
    </w:p>
    <w:p w14:paraId="01AB5548"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Aucune indemnité n’est versée pour les absences du personnel.</w:t>
      </w:r>
    </w:p>
    <w:p w14:paraId="24F351F9"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3.6 Coûts relatifs aux prestations du secteur privé</w:t>
      </w:r>
    </w:p>
    <w:p w14:paraId="259C7462" w14:textId="77777777" w:rsidR="00832F98" w:rsidRPr="005107DF" w:rsidRDefault="00832F98" w:rsidP="003947FF">
      <w:pPr>
        <w:spacing w:after="0" w:line="240" w:lineRule="auto"/>
        <w:rPr>
          <w:rFonts w:ascii="Times New Roman" w:eastAsia="Times New Roman" w:hAnsi="Times New Roman" w:cs="Times New Roman"/>
          <w:sz w:val="24"/>
          <w:szCs w:val="24"/>
        </w:rPr>
      </w:pPr>
    </w:p>
    <w:p w14:paraId="7E29A38C"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partenaires de l’État membre partenaire ne sont pas autorisés à sous-traiter des activités </w:t>
      </w:r>
      <w:r>
        <w:rPr>
          <w:rFonts w:ascii="Times New Roman" w:hAnsi="Times New Roman"/>
          <w:b/>
          <w:color w:val="000000"/>
          <w:sz w:val="24"/>
        </w:rPr>
        <w:t>essentielles</w:t>
      </w:r>
      <w:r>
        <w:rPr>
          <w:rFonts w:ascii="Times New Roman" w:hAnsi="Times New Roman"/>
          <w:color w:val="000000"/>
          <w:sz w:val="24"/>
        </w:rPr>
        <w:t xml:space="preserve"> du projet de jumelage qui doivent demeurer dans tous les cas la seule prérogative des acteurs du secteur public des États membres partenaires.</w:t>
      </w:r>
    </w:p>
    <w:p w14:paraId="1E742ACC"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Lorsqu’un État membre partenaire se trouve dans l’incapacité de mener une activité nécessaire à la mise en œuvre du projet de jumelage et fournit une attestation adéquate à cet effet, cette activité peut être sous-traitée. Cela pourrait concerner notamment la conception ou le développement de logiciels pour lesquels la participation d’un spécialiste du secteur privé serait essentielle à l’accomplissement du projet de jumelage.</w:t>
      </w:r>
    </w:p>
    <w:p w14:paraId="699A8E2D"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Tous les services à sous-traiter doivent figurer dans le budget du contrat de subvention de jumelage et comporter une annotation indiquant clairement quelles autorités sont responsables de l’attribution et du paiement de ces postes. Les experts du secteur privé inclus dans le contrat de subvention de jumelage tel que décrit ci-dessus doivent être inscrits au budget en fonction de leurs honoraires (factures) et ne sont </w:t>
      </w:r>
      <w:r>
        <w:rPr>
          <w:rFonts w:ascii="Times New Roman" w:hAnsi="Times New Roman"/>
          <w:b/>
          <w:sz w:val="24"/>
          <w:u w:val="single"/>
        </w:rPr>
        <w:t>pas</w:t>
      </w:r>
      <w:r>
        <w:rPr>
          <w:rFonts w:ascii="Times New Roman" w:hAnsi="Times New Roman"/>
          <w:sz w:val="24"/>
        </w:rPr>
        <w:t xml:space="preserve"> éligibles à la compensation au titre des coûts de soutien aux projets de jumelage. </w:t>
      </w:r>
      <w:r>
        <w:rPr>
          <w:rFonts w:ascii="Times New Roman" w:hAnsi="Times New Roman"/>
          <w:color w:val="000000"/>
          <w:sz w:val="24"/>
        </w:rPr>
        <w:t xml:space="preserve">Toutes les factures ainsi que les documents justificatifs relatifs à l’apport de sous-traitants privés doivent être conservés à des fins de vérification des dépenses et d’audit. Le remboursement sera effectué sur la base des coûts réels justifiés par une facture payée. </w:t>
      </w:r>
    </w:p>
    <w:p w14:paraId="694D4BC8"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 choix des sous-traitants du secteur privé doit respecter les règles et procédures décrites à l’annexe A4.</w:t>
      </w:r>
    </w:p>
    <w:p w14:paraId="55612606"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coûts maximaux relatifs aux prestations du secteur privé se montent à 5 000 EUR par volet au titre de la rubrique budgétaire «Résultats/produits obligatoires».</w:t>
      </w:r>
    </w:p>
    <w:p w14:paraId="0AFCA360"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p>
    <w:p w14:paraId="191462A2"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3.7 Autres coûts relatifs aux activités dans le pays bénéficiaire</w:t>
      </w:r>
    </w:p>
    <w:p w14:paraId="3E18A2A4"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u w:val="single"/>
        </w:rPr>
      </w:pPr>
      <w:r>
        <w:rPr>
          <w:rFonts w:ascii="Times New Roman" w:hAnsi="Times New Roman"/>
          <w:color w:val="000000"/>
          <w:sz w:val="24"/>
          <w:u w:val="single"/>
        </w:rPr>
        <w:t>Les règles et procédures énoncées à l’annexe A4 s’appliquent à toutes les passations de marchés.</w:t>
      </w:r>
    </w:p>
    <w:p w14:paraId="5224337C"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u w:val="single"/>
        </w:rPr>
      </w:pPr>
      <w:r>
        <w:rPr>
          <w:rFonts w:ascii="Times New Roman" w:hAnsi="Times New Roman"/>
          <w:color w:val="000000"/>
          <w:sz w:val="24"/>
          <w:u w:val="single"/>
        </w:rPr>
        <w:t xml:space="preserve">Locaux pour formations et conférences </w:t>
      </w:r>
    </w:p>
    <w:p w14:paraId="51D807F1"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Les principaux coûts des activités mises en œuvre dans le pays bénéficiaire sont ceux relatifs au transport et aux indemnités journalières des experts des États membres (voir ci-dessus).</w:t>
      </w:r>
    </w:p>
    <w:p w14:paraId="67B597F8"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L’administration bénéficiaire met gratuitement à disposition des locaux appropriés pour toutes les activités réalisées dans le pays bénéficiaire. Dans des cas justifiés, lorsqu’aucun local adéquat n’est disponible ou que le type d’activité prévu nécessite un environnement spécifique (laboratoires, centres de formation, etc.), les frais de location de locaux sont éligibles à un financement sur le budget du jumelage. Les coûts doivent être spécifiés aux rubrique et sous-rubrique budgétaires adéquates. À l’annexe A3 du contrat de subvention de jumelage, et si le besoin n’est constaté qu’au cours de la phase de mise en œuvre, la spécification peut être apportée dans le plan de travail et les fonds de réserve peuvent être activés. Le remboursement sera effectué sur la base des coûts réels justifiés par une facture payée. </w:t>
      </w:r>
    </w:p>
    <w:p w14:paraId="3C93E2C1"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Il est à noter qu’aucun coût relatif à la participation du personnel du bénéficiaire aux activités (ou à leur suivi) organisées dans le pays bénéficiaire ne peut être couvert par le projet de jumelage. L’administration bénéficiaire a l’obligation de faire en sorte que ses fonctionnaires puissent utilement participer à ces activités. </w:t>
      </w:r>
    </w:p>
    <w:p w14:paraId="106EE1E7" w14:textId="77777777" w:rsidR="00832F98" w:rsidRPr="005107DF" w:rsidRDefault="00832F98" w:rsidP="003947FF">
      <w:pPr>
        <w:tabs>
          <w:tab w:val="left" w:pos="3780"/>
        </w:tabs>
        <w:spacing w:after="240" w:line="240" w:lineRule="auto"/>
        <w:jc w:val="both"/>
        <w:rPr>
          <w:rFonts w:ascii="Times New Roman" w:eastAsia="Times New Roman" w:hAnsi="Times New Roman" w:cs="Times New Roman"/>
          <w:color w:val="000000"/>
          <w:sz w:val="24"/>
          <w:szCs w:val="24"/>
          <w:u w:val="single"/>
        </w:rPr>
      </w:pPr>
      <w:r>
        <w:rPr>
          <w:rFonts w:ascii="Times New Roman" w:hAnsi="Times New Roman"/>
          <w:color w:val="000000"/>
          <w:sz w:val="24"/>
          <w:u w:val="single"/>
        </w:rPr>
        <w:t>Traduction et interprétation</w:t>
      </w:r>
    </w:p>
    <w:p w14:paraId="08DD21F4"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l’administration bénéficiaire n’est pas en mesure de fournir les services de traduction et d’interprétation nécessaires à la mise en œuvre des activités en utilisant ses propres ressources, le coût de ces services peut être couvert par le budget du projet en tant qu’apport du secteur privé et inclus dans les rubrique et sous-rubrique budgétaires pertinentes (volet et activité dans le cadre de celui-ci). Ces coûts d’interprétation seront compensés sur la base d’une facture justifiant les coûts réels et d’une procédure de passation de marché pour laquelle au moins trois offres auront été soumises.</w:t>
      </w:r>
    </w:p>
    <w:p w14:paraId="266C489C"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L’administration bénéficiaire informe l’administration contractante ou la délégation de l’UE (lorsque celle-ci n’est pas l’administration contractante) de ces besoins durant la préparation du contrat. Les coûts doivent être spécifiés aux rubrique et sous-rubrique budgétaires adéquates. À l’annexe A3 du contrat de subvention de jumelage, et si le besoin n’est constaté qu’au cours de la phase de mise en œuvre, la spécification peut être apportée dans le plan de travail et les fonds de réserve peuvent être activés. </w:t>
      </w:r>
    </w:p>
    <w:p w14:paraId="232A60A4"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le volume de traduction et/ou d’interprétation demandé dans le cadre d’un projet de jumelage risque d’être important, il peut être envisagé de recruter en lieu et place un assistant linguistique à temps complet ou partiel. Les dispositions relatives au recrutement de l’assistant du CRJ (voir le point 6.2.13 du manuel de jumelage) s’appliquent également au recrutement de l’assistant linguistique.</w:t>
      </w:r>
    </w:p>
    <w:p w14:paraId="2BCA307F"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remboursement sera effectué sur la base des coûts réels justifiés par une facture payée. </w:t>
      </w:r>
    </w:p>
    <w:p w14:paraId="06B34577" w14:textId="77777777" w:rsidR="00832F98" w:rsidRPr="005107DF" w:rsidRDefault="00832F98" w:rsidP="003947FF">
      <w:pPr>
        <w:tabs>
          <w:tab w:val="left" w:pos="3780"/>
        </w:tabs>
        <w:spacing w:after="240" w:line="240" w:lineRule="auto"/>
        <w:jc w:val="both"/>
        <w:rPr>
          <w:rFonts w:ascii="Times New Roman" w:eastAsia="Times New Roman" w:hAnsi="Times New Roman" w:cs="Times New Roman"/>
          <w:color w:val="000000"/>
          <w:sz w:val="24"/>
          <w:szCs w:val="24"/>
          <w:u w:val="single"/>
        </w:rPr>
      </w:pPr>
      <w:r>
        <w:rPr>
          <w:rFonts w:ascii="Times New Roman" w:hAnsi="Times New Roman"/>
          <w:color w:val="000000"/>
          <w:sz w:val="24"/>
          <w:u w:val="single"/>
        </w:rPr>
        <w:t>Équipements et fournitures</w:t>
      </w:r>
    </w:p>
    <w:p w14:paraId="267CAB17"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projets de jumelage n’incluent pas l’achat d’équipements. Le bénéficiaire assume seul l’entière responsabilité de fournir l’équipement de bureau requis pour garantir des conditions de travail optimales pour le projet et, en particulier, pour le CRJ et son ou ses assistants.</w:t>
      </w:r>
    </w:p>
    <w:p w14:paraId="17BC686D"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 xml:space="preserve">Dans des cas exceptionnels et dûment justifiés, de petites fournitures essentielles (par exemple, petit matériel ou équipement de laboratoire) peuvent être éligibles à un remboursement, dans les limites du plafond global de 5 000 EUR prévus pour l’achat de biens (voir le point 6.2.1 du manuel de jumelage). </w:t>
      </w:r>
    </w:p>
    <w:p w14:paraId="31FED39F" w14:textId="77777777" w:rsidR="00832F98" w:rsidRPr="005107DF" w:rsidRDefault="00832F98" w:rsidP="003947FF">
      <w:pPr>
        <w:tabs>
          <w:tab w:val="left" w:pos="3780"/>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Les biens achetés avec les fonds du projet deviennent la propriété du bénéficiaire à la fin du projet, pour autant qu’un certificat de transfert soit signé par les deux chefs de projet et que le ou les articles en question soient inscrits au registre des actifs du bénéficiaire.</w:t>
      </w:r>
    </w:p>
    <w:p w14:paraId="1809532E" w14:textId="77777777" w:rsidR="00832F98" w:rsidRPr="005107DF" w:rsidRDefault="00832F98" w:rsidP="003947FF">
      <w:pPr>
        <w:tabs>
          <w:tab w:val="left" w:pos="3780"/>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sélection des fournisseurs suit la même approche que celle prévue pour les prestations immatérielles. Les règles de nationalité et d’origine applicables au programme de l’Union européenne finançant le projet de jumelage s’appliquent.</w:t>
      </w:r>
    </w:p>
    <w:p w14:paraId="1086665C" w14:textId="5937A2E8" w:rsidR="00BA0D9E" w:rsidRDefault="00832F98" w:rsidP="00BA0D9E">
      <w:pPr>
        <w:spacing w:after="240" w:line="240" w:lineRule="auto"/>
        <w:jc w:val="both"/>
        <w:rPr>
          <w:rFonts w:ascii="Times New Roman" w:hAnsi="Times New Roman"/>
          <w:color w:val="000000"/>
          <w:sz w:val="24"/>
        </w:rPr>
      </w:pPr>
      <w:r>
        <w:rPr>
          <w:rFonts w:ascii="Times New Roman" w:hAnsi="Times New Roman"/>
          <w:color w:val="000000"/>
          <w:sz w:val="24"/>
        </w:rPr>
        <w:t>Le remboursement sera effectué sur la base des coûts réels j</w:t>
      </w:r>
      <w:r w:rsidR="00BA0D9E">
        <w:rPr>
          <w:rFonts w:ascii="Times New Roman" w:hAnsi="Times New Roman"/>
          <w:color w:val="000000"/>
          <w:sz w:val="24"/>
        </w:rPr>
        <w:t>ustifiés par une facture payée.</w:t>
      </w:r>
    </w:p>
    <w:p w14:paraId="0A49CFDE" w14:textId="695C2F10" w:rsidR="00832F98" w:rsidRPr="00BA0D9E" w:rsidRDefault="00832F98" w:rsidP="00BA0D9E">
      <w:pPr>
        <w:spacing w:after="240" w:line="240" w:lineRule="auto"/>
        <w:jc w:val="both"/>
        <w:rPr>
          <w:rFonts w:ascii="Times New Roman" w:eastAsia="Times New Roman" w:hAnsi="Times New Roman" w:cs="Times New Roman"/>
          <w:color w:val="000000"/>
          <w:sz w:val="24"/>
          <w:szCs w:val="24"/>
          <w:u w:val="single"/>
        </w:rPr>
      </w:pPr>
      <w:r w:rsidRPr="00BA0D9E">
        <w:rPr>
          <w:rFonts w:ascii="Times New Roman" w:hAnsi="Times New Roman"/>
          <w:color w:val="000000"/>
          <w:sz w:val="24"/>
          <w:u w:val="single"/>
        </w:rPr>
        <w:t>Communication et visibilité</w:t>
      </w:r>
    </w:p>
    <w:p w14:paraId="4CB83EC1" w14:textId="77777777" w:rsidR="00832F98" w:rsidRPr="005107DF" w:rsidRDefault="00832F98" w:rsidP="003947FF">
      <w:pPr>
        <w:tabs>
          <w:tab w:val="left" w:pos="3780"/>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u w:val="single"/>
        </w:rPr>
        <w:t>Les coûts relatifs à la mise en œuvre du plan de communication et de visibilité sont remboursés</w:t>
      </w:r>
      <w:r>
        <w:rPr>
          <w:rFonts w:ascii="Times New Roman" w:hAnsi="Times New Roman"/>
          <w:color w:val="000000"/>
          <w:sz w:val="24"/>
        </w:rPr>
        <w:t xml:space="preserve"> sur la base des coûts réels justifiés par une facture payée. </w:t>
      </w:r>
    </w:p>
    <w:p w14:paraId="214E5532" w14:textId="7DEFC44D" w:rsidR="00BA0D9E" w:rsidRPr="004946B7" w:rsidRDefault="00832F98" w:rsidP="003947FF">
      <w:pPr>
        <w:tabs>
          <w:tab w:val="left" w:pos="3780"/>
        </w:tabs>
        <w:spacing w:after="240" w:line="240" w:lineRule="auto"/>
        <w:jc w:val="both"/>
        <w:rPr>
          <w:rFonts w:ascii="Times New Roman" w:hAnsi="Times New Roman"/>
          <w:color w:val="000000"/>
          <w:sz w:val="24"/>
        </w:rPr>
      </w:pPr>
      <w:r>
        <w:rPr>
          <w:rFonts w:ascii="Times New Roman" w:hAnsi="Times New Roman"/>
          <w:color w:val="000000"/>
          <w:sz w:val="24"/>
        </w:rPr>
        <w:t>Pour les achats, voir</w:t>
      </w:r>
      <w:r w:rsidR="004946B7">
        <w:rPr>
          <w:rFonts w:ascii="Times New Roman" w:hAnsi="Times New Roman"/>
          <w:color w:val="000000"/>
          <w:sz w:val="24"/>
        </w:rPr>
        <w:t xml:space="preserve"> l’annexe A4.</w:t>
      </w:r>
    </w:p>
    <w:p w14:paraId="3335685B"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3.8 Autres coûts relatifs aux activités dans l’État membre</w:t>
      </w:r>
    </w:p>
    <w:p w14:paraId="22F1285A"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Il est expressément précisé que les visites dans des pays non membres de l’UE ne peuvent être couvertes par un contrat de subvention de jumelage.</w:t>
      </w:r>
    </w:p>
    <w:p w14:paraId="18A5CE81"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la majorité des activités d’un projet de jumelage doivent être réalisées dans le pays bénéficiaire, certaines activités peuvent, à titre exceptionnel et en cas de nécessité, avoir lieu dans un État membre.</w:t>
      </w:r>
    </w:p>
    <w:p w14:paraId="2BEFDB1E"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activités organisées dans les États membres sont principalement des visites d’étude; des stages et formations peuvent également être prévus, sur justification particulière. L’utilité d’organiser des activités dans un État membre plutôt que dans le pays bénéficiaire est toujours envisagée dans un souci d’efficacité, d’efficience et de bonne gestion financière et la nécessité de ces activités pour l’obtention des résultats/produits obligatoires est dûment justifiée. Les mêmes critères s’appliquent à la détermination du nombre et du profil des fonctionnaires du bénéficiaire qui participeront à ces activités. Toute visite d’étude doit faire l’objet d’une évaluation et d’un suivi par les participants du bénéficiaire.</w:t>
      </w:r>
    </w:p>
    <w:p w14:paraId="2BB5E6D7"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États membres peuvent également proposer à certains fonctionnaires du bénéficiaire un nombre limité de places de stage au sein de leur propre administration, si ceux-ci sont jugés contribuer au renforcement des liens structurels entre les administrations prenant part au projet de jumelage. Les stages diffèrent des voyages d’étude non seulement par le nombre de participants et la durée, mais aussi au niveau de la méthodologie (suivre les homologues de l’État membre dans leurs tâches quotidiennes).</w:t>
      </w:r>
    </w:p>
    <w:p w14:paraId="7C6590E1"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Aucun coût relatif à la participation de fonctionnaires ou agents assimilés des États membres aux activités organisées dans un État membre ne pourra être remboursé par le projet de jumelage. </w:t>
      </w:r>
    </w:p>
    <w:p w14:paraId="5F741294" w14:textId="03540E42" w:rsidR="00832F98" w:rsidRDefault="00832F98" w:rsidP="003947FF">
      <w:pPr>
        <w:spacing w:after="240" w:line="240" w:lineRule="auto"/>
        <w:jc w:val="both"/>
        <w:rPr>
          <w:rFonts w:ascii="Times New Roman" w:hAnsi="Times New Roman"/>
          <w:color w:val="000000"/>
          <w:sz w:val="24"/>
        </w:rPr>
      </w:pPr>
      <w:r>
        <w:rPr>
          <w:rFonts w:ascii="Times New Roman" w:hAnsi="Times New Roman"/>
          <w:color w:val="000000"/>
          <w:sz w:val="24"/>
        </w:rPr>
        <w:t>Certains établissements de formation des États membres qui dispensent des formations intensives et hautement spécialisées perçoivent des honoraires par stagiaire: ces honoraires sont alors éligibles. Si ces honoraires incluent l’hébergement et/ou les repas, les montants correspondants doivent être déduits de l’indemnité journalière versée aux participants afin que le montant total payé n’excède pas le taux des indemnités journalières applicables.</w:t>
      </w:r>
    </w:p>
    <w:p w14:paraId="4AB3B3AC" w14:textId="77777777" w:rsidR="004946B7" w:rsidRPr="005107DF" w:rsidRDefault="004946B7" w:rsidP="003947FF">
      <w:pPr>
        <w:spacing w:after="240" w:line="240" w:lineRule="auto"/>
        <w:jc w:val="both"/>
        <w:rPr>
          <w:rFonts w:ascii="Times New Roman" w:eastAsia="Times New Roman" w:hAnsi="Times New Roman" w:cs="Times New Roman"/>
          <w:color w:val="000000"/>
          <w:sz w:val="24"/>
          <w:szCs w:val="24"/>
        </w:rPr>
      </w:pPr>
    </w:p>
    <w:p w14:paraId="02F9A7F0"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lastRenderedPageBreak/>
        <w:t xml:space="preserve">3.9 Formation au siège de la Commission </w:t>
      </w:r>
    </w:p>
    <w:p w14:paraId="3EAC5271" w14:textId="77777777" w:rsidR="00832F98" w:rsidRPr="005107DF" w:rsidRDefault="00832F98" w:rsidP="006E7DA0">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CRJ reçoit une formation préparatoire au siège de la Commission avant ou peu après son arrivée dans le pays bénéficiaire. Cette formation porte notamment sur les dispositions techniques du manuel de jumelage (voir la section 4.1.6.6 du manuel de jumelage).</w:t>
      </w:r>
    </w:p>
    <w:p w14:paraId="73E391FD"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Idéalement, le CRJ devrait suivre la formation pendant la période comprise entre l’attribution du contrat de subvention de jumelage et la finalisation du plan de travail initial. Les invitations à suivre la formation sont envoyées par l’équipe de coordination du jumelage.</w:t>
      </w:r>
    </w:p>
    <w:p w14:paraId="7C649F0D"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coûts relatifs à la participation à la formation (frais de voyage et indemnités journalières pour la Belgique) sont éligibles à un remboursement et peuvent être inclus dans le budget, ainsi que les autres coûts budgétisés relatifs au CRJ. </w:t>
      </w:r>
    </w:p>
    <w:p w14:paraId="3B36B793"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chef de projet du bénéficiaire ou l’homologue du CRJ peuvent assister à la formation avec le CRJ du même projet. Les coûts (frais de voyage et indemnités journalières pour la Belgique) peuvent être financés par le budget du projet (comme pour le CRJ). La participation du chef de projet du bénéficiaire ne peut être déléguée à une tierce personne, sauf à l’homologue du CRJ. La formation étant en principe dispensée en anglais et en français (interprétation simultanée fournie), les personnes qui ne maîtrisent aucune de ces langues devraient s’abstenir de participer.</w:t>
      </w:r>
    </w:p>
    <w:p w14:paraId="3D2D5400"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participation du chef de projet du bénéficiaire ou de l’homologue du CRJ doit être convenue avec le chef de projet de l’État membre, qui sera responsable des arrangements logistiques nécessaires à cette participation et qui inscrira les coûts correspondants dans le budget conformément aux mêmes dispositions que celles applicables au CRJ. </w:t>
      </w:r>
    </w:p>
    <w:p w14:paraId="0EFC566D"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chefs de projet des États membres peuvent également assister à la formation s’ils le souhaitent, mais les coûts correspondants ne seront pas éligibles à un remboursement sur le budget du jumelage.</w:t>
      </w:r>
    </w:p>
    <w:p w14:paraId="7C700281" w14:textId="13F8EA4D" w:rsidR="00832F98" w:rsidRPr="00BA0D9E" w:rsidRDefault="00832F98" w:rsidP="00BA0D9E">
      <w:pPr>
        <w:rPr>
          <w:rFonts w:ascii="Times New Roman" w:hAnsi="Times New Roman" w:cs="Times New Roman"/>
          <w:b/>
          <w:sz w:val="28"/>
          <w:szCs w:val="28"/>
        </w:rPr>
      </w:pPr>
      <w:r>
        <w:rPr>
          <w:rFonts w:ascii="Times New Roman" w:hAnsi="Times New Roman"/>
          <w:b/>
          <w:sz w:val="28"/>
        </w:rPr>
        <w:t xml:space="preserve">3.10 </w:t>
      </w:r>
      <w:r>
        <w:tab/>
      </w:r>
      <w:r>
        <w:rPr>
          <w:rFonts w:ascii="Times New Roman" w:hAnsi="Times New Roman"/>
          <w:b/>
          <w:sz w:val="28"/>
        </w:rPr>
        <w:t>Coûts de soutien aux projets de jumelage</w:t>
      </w:r>
    </w:p>
    <w:p w14:paraId="701D04B9" w14:textId="77777777" w:rsidR="00832F98" w:rsidRPr="005107DF" w:rsidRDefault="00832F98" w:rsidP="003947FF">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Taux forfaitaire pour la compensation des coûts de soutien aux projets de jumelage</w:t>
      </w:r>
    </w:p>
    <w:p w14:paraId="244B2E4F"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p>
    <w:p w14:paraId="733C6556" w14:textId="77777777" w:rsidR="00832F98" w:rsidRPr="005107DF" w:rsidRDefault="00832F98" w:rsidP="003947FF">
      <w:pPr>
        <w:jc w:val="both"/>
        <w:rPr>
          <w:rFonts w:ascii="Times New Roman" w:hAnsi="Times New Roman" w:cs="Times New Roman"/>
        </w:rPr>
      </w:pPr>
      <w:r>
        <w:rPr>
          <w:rFonts w:ascii="Times New Roman" w:hAnsi="Times New Roman"/>
          <w:sz w:val="24"/>
        </w:rPr>
        <w:t>Le jumelage ne rémunère pas les experts mobilisés mais indemnise l’administration d’un État membre qui, pour une certaine période, ne peut attendre de ses fonctionnaires qu’ils remplissent les fonctions pour lesquelles elle les paie. Ainsi, en plus de l’indemnité journalière forfaitaire (voir la section 2.3) versée pour les jours de travail de fonctionnaires ou agents assimilés dans le pays bénéficiaire, il est nécessaire d’envisager un taux forfaitaire couvrant le soutien au projet de jumelage qui compense les coûts engagés par l’État membre correspondant à d’autres coûts éligibles engagés dans la mise en œuvre d’un projet de jumelage.</w:t>
      </w:r>
    </w:p>
    <w:p w14:paraId="6F088FDF" w14:textId="77777777" w:rsidR="00832F98" w:rsidRPr="005107DF" w:rsidRDefault="00832F98" w:rsidP="003947FF">
      <w:pPr>
        <w:jc w:val="both"/>
        <w:rPr>
          <w:rFonts w:ascii="Times New Roman" w:hAnsi="Times New Roman" w:cs="Times New Roman"/>
        </w:rPr>
      </w:pPr>
      <w:r>
        <w:rPr>
          <w:rFonts w:ascii="Times New Roman" w:hAnsi="Times New Roman"/>
          <w:sz w:val="24"/>
        </w:rPr>
        <w:t>Les coûts suivants sont couverts par ce taux forfaitaire:</w:t>
      </w:r>
    </w:p>
    <w:p w14:paraId="36845320" w14:textId="77777777" w:rsidR="00832F98" w:rsidRPr="005107DF" w:rsidRDefault="00832F98" w:rsidP="003947FF">
      <w:pPr>
        <w:jc w:val="both"/>
        <w:rPr>
          <w:rFonts w:ascii="Times New Roman" w:hAnsi="Times New Roman" w:cs="Times New Roman"/>
        </w:rPr>
      </w:pPr>
      <w:r>
        <w:rPr>
          <w:rFonts w:ascii="Times New Roman" w:hAnsi="Times New Roman"/>
          <w:sz w:val="24"/>
        </w:rPr>
        <w:t>a) les frais liés au temps passé par les fonctionnaires ou agents assimilés dans l’État membre afin de préparer et d’assurer le suivi de leur missions dans le pays bénéficiaire;</w:t>
      </w:r>
    </w:p>
    <w:p w14:paraId="0D75C8DF" w14:textId="77777777" w:rsidR="00832F98" w:rsidRPr="005107DF" w:rsidRDefault="00832F98" w:rsidP="003947FF">
      <w:pPr>
        <w:jc w:val="both"/>
        <w:rPr>
          <w:rFonts w:ascii="Times New Roman" w:hAnsi="Times New Roman" w:cs="Times New Roman"/>
        </w:rPr>
      </w:pPr>
      <w:r>
        <w:rPr>
          <w:rFonts w:ascii="Times New Roman" w:hAnsi="Times New Roman"/>
          <w:sz w:val="24"/>
        </w:rPr>
        <w:t xml:space="preserve">b) les frais liés au temps passé par le ou les chefs de projet afin de coordonner la mise en œuvre des projets depuis leur administration de base sans être détachés de </w:t>
      </w:r>
      <w:r>
        <w:rPr>
          <w:rFonts w:ascii="Times New Roman" w:hAnsi="Times New Roman"/>
        </w:rPr>
        <w:t>leur poste;</w:t>
      </w:r>
    </w:p>
    <w:p w14:paraId="7AA7C91B" w14:textId="77777777" w:rsidR="00832F98" w:rsidRPr="005107DF" w:rsidRDefault="00832F98" w:rsidP="003947FF">
      <w:pPr>
        <w:jc w:val="both"/>
        <w:rPr>
          <w:rFonts w:ascii="Times New Roman" w:hAnsi="Times New Roman" w:cs="Times New Roman"/>
        </w:rPr>
      </w:pPr>
      <w:r>
        <w:rPr>
          <w:rFonts w:ascii="Times New Roman" w:hAnsi="Times New Roman"/>
          <w:sz w:val="24"/>
        </w:rPr>
        <w:lastRenderedPageBreak/>
        <w:t>c) les frais liés au temps passé et les frais engagés pour la réalisation d’activités durant la visite d’étude dans un État membre des fonctionnaires ou agents du pays bénéficiaire;</w:t>
      </w:r>
    </w:p>
    <w:p w14:paraId="11DB168F" w14:textId="77777777" w:rsidR="00832F98" w:rsidRPr="005107DF" w:rsidRDefault="00832F98" w:rsidP="003947FF">
      <w:pPr>
        <w:jc w:val="both"/>
        <w:rPr>
          <w:rFonts w:ascii="Times New Roman" w:hAnsi="Times New Roman" w:cs="Times New Roman"/>
        </w:rPr>
      </w:pPr>
      <w:r>
        <w:rPr>
          <w:rFonts w:ascii="Times New Roman" w:hAnsi="Times New Roman"/>
          <w:sz w:val="24"/>
        </w:rPr>
        <w:t>d) les frais liés au temps consacré aux arrangements logistiques nécessaires pour l’organisation d’activités dans le pays bénéficiaire;</w:t>
      </w:r>
    </w:p>
    <w:p w14:paraId="1CFD2845" w14:textId="77777777" w:rsidR="00832F98" w:rsidRPr="005107DF" w:rsidRDefault="00832F98" w:rsidP="003947FF">
      <w:pPr>
        <w:jc w:val="both"/>
        <w:rPr>
          <w:rFonts w:ascii="Times New Roman" w:hAnsi="Times New Roman" w:cs="Times New Roman"/>
        </w:rPr>
      </w:pPr>
      <w:r>
        <w:rPr>
          <w:rFonts w:ascii="Times New Roman" w:hAnsi="Times New Roman"/>
          <w:sz w:val="24"/>
        </w:rPr>
        <w:t>Les éléments a), b), c) et d) seront compensés sur la base d’un taux forfaitaire de 136 % de toutes les indemnités journalières forfaitaires versées pour les activités réalisées dans le pays bénéficiaire par des experts de courte durée.</w:t>
      </w:r>
    </w:p>
    <w:p w14:paraId="36FE9B03"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coûts de soutien aux projets de jumelage sont facturés par et payés comme montant forfaitaire à l’État membre partenaire (principal) en même temps que tous les frais correspondant aux prestations fournies dans le pays bénéficiaire. </w:t>
      </w:r>
    </w:p>
    <w:p w14:paraId="608D818D"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Dans le budget (annexe A3) et au sein de chaque activité, chaque poste du budget correspondant aux honoraires relatifs à des prestations effectuées dans le pays bénéficiaire est immédiatement suivi d’un poste intitulé «coûts de soutien aux projets de jumelage» et quantifié à 136 % du nombre global de jours-experts de courte durée. Ces montants sont indicatifs: la somme payée sera basée sur le nombre réel de jours de travail prestés dans le pays bénéficiaire.</w:t>
      </w:r>
    </w:p>
    <w:p w14:paraId="2FAFF8A8"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p>
    <w:p w14:paraId="7EFEEFDF" w14:textId="5EC2D209" w:rsidR="00832F98" w:rsidRPr="005107DF" w:rsidRDefault="00832F98" w:rsidP="00BA0D9E">
      <w:pPr>
        <w:rPr>
          <w:rFonts w:ascii="Times New Roman" w:eastAsia="Times New Roman" w:hAnsi="Times New Roman" w:cs="Times New Roman"/>
          <w:i/>
          <w:color w:val="000000"/>
          <w:sz w:val="24"/>
          <w:szCs w:val="24"/>
        </w:rPr>
      </w:pPr>
      <w:r>
        <w:rPr>
          <w:rFonts w:ascii="Times New Roman" w:hAnsi="Times New Roman"/>
          <w:i/>
          <w:color w:val="000000"/>
          <w:sz w:val="24"/>
        </w:rPr>
        <w:t>Coûts de soutien aux projets de jumelage (en cas de consortium)</w:t>
      </w:r>
    </w:p>
    <w:p w14:paraId="15453C1E"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Lorsqu’un projet de jumelage est mis en œuvre par un consortium, l’État membre principal transfère à l’État membre ou aux États membres juniors une partie de la compensation des coûts de soutien aux projets de jumelage et des coûts indirects proportionnellement à leur participation aux travaux exécutés dans le pays bénéficiaire. L’État membre principal peut garder une proportion raisonnable des compensations pour couvrir les tâches et coûts supplémentaires liés à son rôle de direction. Afin d’éviter d’éventuels malentendus entre les partenaires du consortium, </w:t>
      </w:r>
      <w:r>
        <w:rPr>
          <w:rFonts w:ascii="Times New Roman" w:hAnsi="Times New Roman"/>
          <w:sz w:val="24"/>
        </w:rPr>
        <w:t>l’accord de consortium</w:t>
      </w:r>
      <w:r>
        <w:rPr>
          <w:rFonts w:ascii="Times New Roman" w:hAnsi="Times New Roman"/>
          <w:color w:val="000000"/>
          <w:sz w:val="24"/>
        </w:rPr>
        <w:t xml:space="preserve"> (voir le point 5.4.2 du manuel de jumelage) devrait</w:t>
      </w:r>
      <w:r>
        <w:rPr>
          <w:rFonts w:ascii="Times New Roman" w:hAnsi="Times New Roman"/>
          <w:sz w:val="24"/>
        </w:rPr>
        <w:t xml:space="preserve"> définir les modalités claires et précises du partage de ces compensations. </w:t>
      </w:r>
      <w:r>
        <w:rPr>
          <w:rFonts w:ascii="Times New Roman" w:hAnsi="Times New Roman"/>
          <w:color w:val="000000"/>
          <w:sz w:val="24"/>
        </w:rPr>
        <w:t>Les membres du consortium élaborent cet accord de façon indépendante sans aucun conseil ni interférence de l’administration contractante, de l’administration bénéficiaire ou des services de la Commission.</w:t>
      </w:r>
    </w:p>
    <w:p w14:paraId="1C20195A"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3.11</w:t>
      </w:r>
      <w:r>
        <w:tab/>
      </w:r>
      <w:r>
        <w:rPr>
          <w:rFonts w:ascii="Times New Roman" w:hAnsi="Times New Roman"/>
          <w:b/>
          <w:sz w:val="28"/>
        </w:rPr>
        <w:t xml:space="preserve">Coûts indirects </w:t>
      </w:r>
    </w:p>
    <w:p w14:paraId="16794BFE" w14:textId="77777777" w:rsidR="00832F98" w:rsidRPr="005107DF" w:rsidRDefault="00832F98" w:rsidP="003947FF">
      <w:pPr>
        <w:jc w:val="both"/>
        <w:rPr>
          <w:rFonts w:ascii="Times New Roman" w:hAnsi="Times New Roman" w:cs="Times New Roman"/>
          <w:sz w:val="24"/>
          <w:szCs w:val="24"/>
        </w:rPr>
      </w:pPr>
      <w:r>
        <w:rPr>
          <w:rFonts w:ascii="Times New Roman" w:hAnsi="Times New Roman"/>
          <w:sz w:val="24"/>
        </w:rPr>
        <w:t>Taux forfaitaire pour la compensation des coûts indirects</w:t>
      </w:r>
    </w:p>
    <w:p w14:paraId="46650EE3" w14:textId="77777777" w:rsidR="00832F98" w:rsidRPr="005107DF" w:rsidRDefault="00832F98" w:rsidP="003947FF">
      <w:pPr>
        <w:jc w:val="both"/>
        <w:rPr>
          <w:rFonts w:ascii="Times New Roman" w:hAnsi="Times New Roman" w:cs="Times New Roman"/>
          <w:sz w:val="24"/>
          <w:szCs w:val="24"/>
        </w:rPr>
      </w:pPr>
      <w:r>
        <w:rPr>
          <w:rFonts w:ascii="Times New Roman" w:hAnsi="Times New Roman"/>
          <w:sz w:val="24"/>
        </w:rPr>
        <w:t xml:space="preserve">Un taux forfaitaire correspondant à 6 % des coûts directs éligibles totaux est prévu à titre d’indemnisation des États membres pour </w:t>
      </w:r>
    </w:p>
    <w:p w14:paraId="2DF8FC79" w14:textId="77777777" w:rsidR="00832F98" w:rsidRPr="005107DF" w:rsidRDefault="00832F98" w:rsidP="007338F0">
      <w:pPr>
        <w:pStyle w:val="ListParagraph"/>
        <w:numPr>
          <w:ilvl w:val="0"/>
          <w:numId w:val="266"/>
        </w:numPr>
        <w:jc w:val="both"/>
        <w:rPr>
          <w:rFonts w:ascii="Times New Roman" w:hAnsi="Times New Roman"/>
        </w:rPr>
      </w:pPr>
      <w:r>
        <w:rPr>
          <w:rFonts w:ascii="Times New Roman" w:hAnsi="Times New Roman"/>
          <w:sz w:val="24"/>
        </w:rPr>
        <w:t>les frais liés au temps consacré à l’aide à la rédaction des rapports intermédiaires et du rapport final;</w:t>
      </w:r>
    </w:p>
    <w:p w14:paraId="43FA77E9" w14:textId="0E20AED9" w:rsidR="00832F98" w:rsidRPr="00BA0D9E" w:rsidRDefault="00832F98" w:rsidP="007338F0">
      <w:pPr>
        <w:pStyle w:val="ListParagraph"/>
        <w:numPr>
          <w:ilvl w:val="0"/>
          <w:numId w:val="266"/>
        </w:numPr>
        <w:jc w:val="both"/>
        <w:rPr>
          <w:rFonts w:ascii="Times New Roman" w:hAnsi="Times New Roman"/>
          <w:color w:val="000000"/>
          <w:sz w:val="24"/>
          <w:szCs w:val="24"/>
        </w:rPr>
      </w:pPr>
      <w:r>
        <w:rPr>
          <w:rFonts w:ascii="Times New Roman" w:hAnsi="Times New Roman"/>
          <w:sz w:val="24"/>
        </w:rPr>
        <w:t xml:space="preserve">les autres frais, par exemple ceux liés à la formation dispensée aux fonctionnaires, aux bureaux et à l’équipement, à la gestion des ressources humaines, à la gestion en général, ainsi que les coûts administratifs de l’État membre bénéficiaire liés, entre autres, à la comptabilité ou à la facturation. </w:t>
      </w:r>
    </w:p>
    <w:p w14:paraId="16E06817" w14:textId="77777777" w:rsidR="00BA0D9E" w:rsidRPr="00BA0D9E" w:rsidRDefault="00BA0D9E" w:rsidP="00BA0D9E">
      <w:pPr>
        <w:jc w:val="both"/>
        <w:rPr>
          <w:rFonts w:ascii="Times New Roman" w:hAnsi="Times New Roman"/>
          <w:color w:val="000000"/>
          <w:sz w:val="24"/>
          <w:szCs w:val="24"/>
        </w:rPr>
      </w:pPr>
    </w:p>
    <w:p w14:paraId="7AD70A32"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lastRenderedPageBreak/>
        <w:t>3.12</w:t>
      </w:r>
      <w:r>
        <w:tab/>
      </w:r>
      <w:r>
        <w:rPr>
          <w:rFonts w:ascii="Times New Roman" w:hAnsi="Times New Roman"/>
          <w:b/>
          <w:sz w:val="28"/>
        </w:rPr>
        <w:t>Coûts relatifs à la vérification des dépenses</w:t>
      </w:r>
    </w:p>
    <w:p w14:paraId="26AF173A" w14:textId="77777777" w:rsidR="00832F98" w:rsidRPr="005107DF" w:rsidRDefault="00832F98" w:rsidP="003947FF">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 xml:space="preserve">Le rapport final sera accompagné d’un rapport de vérification des dépenses élaboré par un auditeur agréé ou choisi conjointement par l’administration contractante et l’État membre. Idéalement, l’auditeur aura déjà été désigné au moment de la signature du contrat, conformément à l’article 5.2 du </w:t>
      </w:r>
      <w:r>
        <w:rPr>
          <w:rFonts w:ascii="Times New Roman" w:hAnsi="Times New Roman"/>
          <w:color w:val="000000"/>
          <w:sz w:val="24"/>
        </w:rPr>
        <w:t>contrat de subvention de jumelage. Si ce n’est pas possible, l’auditeur pourra être choisi ultérieurement et les informations seront ajoutées au contrat.</w:t>
      </w:r>
    </w:p>
    <w:p w14:paraId="261AD7AD"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 xml:space="preserve">Le rapport de vérification des dépenses est élaboré conformément à l’annexe A6 du contrat de subvention de jumelage. </w:t>
      </w:r>
      <w:r>
        <w:rPr>
          <w:rFonts w:ascii="Times New Roman" w:hAnsi="Times New Roman"/>
          <w:sz w:val="24"/>
        </w:rPr>
        <w:t xml:space="preserve">Le rapport de vérification des dépenses est soumis au plus tard dans les trois mois suivant la fin de la période de mise en œuvre du projet et dans tous les cas avant l’expiration de la période d’exécution du contrat. </w:t>
      </w:r>
    </w:p>
    <w:p w14:paraId="6ED0C5E3"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Les coûts relatifs à la vérification des dépenses sont budgétisés en tant que coûts horizontaux sous la forme d’un montant maximal. </w:t>
      </w:r>
    </w:p>
    <w:p w14:paraId="5A447E97"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p>
    <w:p w14:paraId="10B93AB4" w14:textId="77777777" w:rsidR="00832F98" w:rsidRPr="005107DF" w:rsidRDefault="00832F98" w:rsidP="003947FF">
      <w:pPr>
        <w:spacing w:after="0" w:line="240" w:lineRule="auto"/>
        <w:jc w:val="both"/>
        <w:rPr>
          <w:rFonts w:ascii="Times New Roman" w:eastAsia="Times New Roman" w:hAnsi="Times New Roman" w:cs="Times New Roman"/>
          <w:sz w:val="36"/>
          <w:szCs w:val="36"/>
        </w:rPr>
      </w:pPr>
      <w:r>
        <w:rPr>
          <w:rFonts w:ascii="Times New Roman" w:hAnsi="Times New Roman"/>
          <w:sz w:val="36"/>
        </w:rPr>
        <w:t xml:space="preserve">4. </w:t>
      </w:r>
      <w:r>
        <w:tab/>
      </w:r>
      <w:r>
        <w:rPr>
          <w:rFonts w:ascii="Times New Roman" w:hAnsi="Times New Roman"/>
          <w:sz w:val="36"/>
        </w:rPr>
        <w:t>Infrastructures mises à disposition par l’administration bénéficiaire</w:t>
      </w:r>
    </w:p>
    <w:p w14:paraId="2D0DC8AF" w14:textId="77777777" w:rsidR="00832F98" w:rsidRPr="005107DF" w:rsidRDefault="00832F98" w:rsidP="003947FF">
      <w:pPr>
        <w:spacing w:after="0" w:line="240" w:lineRule="auto"/>
        <w:jc w:val="both"/>
        <w:rPr>
          <w:rFonts w:ascii="Times New Roman" w:eastAsia="Times New Roman" w:hAnsi="Times New Roman" w:cs="Times New Roman"/>
          <w:sz w:val="24"/>
          <w:szCs w:val="24"/>
        </w:rPr>
      </w:pPr>
    </w:p>
    <w:p w14:paraId="04D8AB62" w14:textId="77777777" w:rsidR="00832F98" w:rsidRPr="005107DF" w:rsidRDefault="00832F98"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 xml:space="preserve">Le bénéficiaire met gratuitement à la disposition des experts de l’État membre, y compris le CRJ et son ou ses assistants, un certain nombre d’infrastructures pour la gestion quotidienne du projet. </w:t>
      </w:r>
    </w:p>
    <w:p w14:paraId="07337EDC" w14:textId="77777777" w:rsidR="00832F98" w:rsidRPr="005107DF" w:rsidRDefault="00832F98"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 xml:space="preserve">Il est fortement recommandé que l’administration contractante analyse, dans le cadre de la préparation du projet, les infrastructures disponibles et en transmette une description lors de la diffusion de la fiche de jumelage: cela permettra en effet à l’État membre de proposer des mesures supplémentaires dans sa proposition.  </w:t>
      </w:r>
    </w:p>
    <w:p w14:paraId="5D96707F" w14:textId="77777777" w:rsidR="00832F98" w:rsidRPr="005107DF" w:rsidRDefault="00832F98"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 xml:space="preserve">L’analyse et la description ultérieure devront inclure en particulier: </w:t>
      </w:r>
    </w:p>
    <w:p w14:paraId="6F66A947" w14:textId="77777777" w:rsidR="00832F98" w:rsidRPr="005107DF" w:rsidRDefault="00832F98"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rPr>
      </w:pPr>
      <w:r>
        <w:rPr>
          <w:rFonts w:ascii="Times New Roman" w:hAnsi="Times New Roman"/>
          <w:color w:val="000000"/>
          <w:sz w:val="24"/>
        </w:rPr>
        <w:t>des bureaux équipés de sièges, de tables, d’un système d’air conditionné, etc.;</w:t>
      </w:r>
    </w:p>
    <w:p w14:paraId="5078ED45" w14:textId="77777777" w:rsidR="00832F98" w:rsidRPr="005107DF" w:rsidRDefault="00832F98"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rPr>
      </w:pPr>
      <w:r>
        <w:rPr>
          <w:rFonts w:ascii="Times New Roman" w:hAnsi="Times New Roman"/>
          <w:color w:val="000000"/>
          <w:sz w:val="24"/>
        </w:rPr>
        <w:t>des ordinateurs, y compris des ordinateurs portables, et des photocopieurs;</w:t>
      </w:r>
    </w:p>
    <w:p w14:paraId="4A33603C" w14:textId="77777777" w:rsidR="00832F98" w:rsidRPr="005107DF" w:rsidRDefault="00832F98"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rPr>
      </w:pPr>
      <w:r>
        <w:rPr>
          <w:rFonts w:ascii="Times New Roman" w:hAnsi="Times New Roman"/>
          <w:color w:val="000000"/>
          <w:sz w:val="24"/>
        </w:rPr>
        <w:t>des logiciels et les licences de ceux-ci, y compris des systèmes de courrier électronique et un accès à l’internet (permettant une communication rapide);</w:t>
      </w:r>
    </w:p>
    <w:p w14:paraId="2FFFB46A" w14:textId="77777777" w:rsidR="00832F98" w:rsidRPr="005107DF" w:rsidRDefault="00832F98"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rPr>
      </w:pPr>
      <w:r>
        <w:rPr>
          <w:rFonts w:ascii="Times New Roman" w:hAnsi="Times New Roman"/>
          <w:color w:val="000000"/>
          <w:sz w:val="24"/>
        </w:rPr>
        <w:t>des mesures de sécurité pour les infrastructures et/ou les systèmes de communication;</w:t>
      </w:r>
    </w:p>
    <w:p w14:paraId="7FB91F72" w14:textId="77777777" w:rsidR="00832F98" w:rsidRPr="005107DF" w:rsidRDefault="00832F98"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rPr>
      </w:pPr>
      <w:r>
        <w:rPr>
          <w:rFonts w:ascii="Times New Roman" w:hAnsi="Times New Roman"/>
          <w:color w:val="000000"/>
          <w:sz w:val="24"/>
        </w:rPr>
        <w:t>un service de secrétariat;</w:t>
      </w:r>
    </w:p>
    <w:p w14:paraId="7BF8498D" w14:textId="77777777" w:rsidR="00832F98" w:rsidRPr="005107DF" w:rsidRDefault="00832F98"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rPr>
      </w:pPr>
      <w:r>
        <w:rPr>
          <w:rFonts w:ascii="Times New Roman" w:hAnsi="Times New Roman"/>
          <w:color w:val="000000"/>
          <w:sz w:val="24"/>
        </w:rPr>
        <w:t xml:space="preserve">des locaux pour l’organisation de conférences, formations et séminaires; </w:t>
      </w:r>
    </w:p>
    <w:p w14:paraId="7F2AB136" w14:textId="77777777" w:rsidR="00832F98" w:rsidRPr="005107DF" w:rsidRDefault="00832F98" w:rsidP="003947FF">
      <w:pPr>
        <w:numPr>
          <w:ilvl w:val="0"/>
          <w:numId w:val="20"/>
        </w:numPr>
        <w:tabs>
          <w:tab w:val="clear" w:pos="360"/>
          <w:tab w:val="left" w:pos="851"/>
          <w:tab w:val="left" w:pos="900"/>
        </w:tabs>
        <w:spacing w:after="0" w:line="240" w:lineRule="auto"/>
        <w:ind w:left="896" w:hanging="357"/>
        <w:jc w:val="both"/>
        <w:rPr>
          <w:rFonts w:ascii="Times New Roman" w:eastAsia="Times New Roman" w:hAnsi="Times New Roman" w:cs="Times New Roman"/>
          <w:color w:val="000000"/>
          <w:sz w:val="24"/>
          <w:szCs w:val="20"/>
        </w:rPr>
      </w:pPr>
      <w:r>
        <w:rPr>
          <w:rFonts w:ascii="Times New Roman" w:hAnsi="Times New Roman"/>
          <w:color w:val="000000"/>
          <w:sz w:val="24"/>
        </w:rPr>
        <w:t>les droits d’accès aux informations nécessaires à la mission.</w:t>
      </w:r>
    </w:p>
    <w:p w14:paraId="23DD62B9" w14:textId="77777777" w:rsidR="00832F98" w:rsidRPr="005107DF" w:rsidRDefault="00832F98" w:rsidP="003947FF">
      <w:pPr>
        <w:tabs>
          <w:tab w:val="left" w:pos="851"/>
          <w:tab w:val="left" w:pos="900"/>
        </w:tabs>
        <w:spacing w:after="0" w:line="240" w:lineRule="auto"/>
        <w:ind w:left="896"/>
        <w:jc w:val="both"/>
        <w:rPr>
          <w:rFonts w:ascii="Times New Roman" w:eastAsia="Times New Roman" w:hAnsi="Times New Roman" w:cs="Times New Roman"/>
          <w:color w:val="000000"/>
          <w:sz w:val="24"/>
          <w:szCs w:val="20"/>
        </w:rPr>
      </w:pPr>
    </w:p>
    <w:p w14:paraId="7F2121A7" w14:textId="77777777" w:rsidR="00832F98" w:rsidRPr="005107DF" w:rsidRDefault="00832F98"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 xml:space="preserve">Dans le cas où ces infrastructures ne seraient pas encore adéquates, mais où l’administration bénéficiaire se serait engagée à les moderniser, l’administration contractante devra prouver que les plans de modernisation permettront d’accueillir le CRJ et ses assistants et de disposer de locaux de réunion et de conférence, etc., conformément aux besoins du projet, dès le premier jour d’activité du projet. </w:t>
      </w:r>
    </w:p>
    <w:p w14:paraId="35150AB1" w14:textId="56B45FFA" w:rsidR="00832F98" w:rsidRDefault="00832F98" w:rsidP="003947FF">
      <w:pPr>
        <w:tabs>
          <w:tab w:val="left" w:pos="851"/>
          <w:tab w:val="left" w:pos="1191"/>
          <w:tab w:val="left" w:pos="1531"/>
        </w:tabs>
        <w:spacing w:after="0" w:line="240" w:lineRule="auto"/>
        <w:jc w:val="both"/>
        <w:rPr>
          <w:rFonts w:ascii="Times New Roman" w:eastAsia="Times New Roman" w:hAnsi="Times New Roman" w:cs="Times New Roman"/>
          <w:color w:val="000000"/>
          <w:sz w:val="24"/>
          <w:szCs w:val="20"/>
        </w:rPr>
      </w:pPr>
    </w:p>
    <w:p w14:paraId="60D2EDA8" w14:textId="3649A1EF" w:rsidR="00BA0D9E" w:rsidRDefault="00BA0D9E" w:rsidP="003947FF">
      <w:pPr>
        <w:tabs>
          <w:tab w:val="left" w:pos="851"/>
          <w:tab w:val="left" w:pos="1191"/>
          <w:tab w:val="left" w:pos="1531"/>
        </w:tabs>
        <w:spacing w:after="0" w:line="240" w:lineRule="auto"/>
        <w:jc w:val="both"/>
        <w:rPr>
          <w:rFonts w:ascii="Times New Roman" w:eastAsia="Times New Roman" w:hAnsi="Times New Roman" w:cs="Times New Roman"/>
          <w:color w:val="000000"/>
          <w:sz w:val="24"/>
          <w:szCs w:val="20"/>
        </w:rPr>
      </w:pPr>
    </w:p>
    <w:p w14:paraId="41D627E3" w14:textId="56710EB6" w:rsidR="00BA0D9E" w:rsidRDefault="00BA0D9E" w:rsidP="003947FF">
      <w:pPr>
        <w:tabs>
          <w:tab w:val="left" w:pos="851"/>
          <w:tab w:val="left" w:pos="1191"/>
          <w:tab w:val="left" w:pos="1531"/>
        </w:tabs>
        <w:spacing w:after="0" w:line="240" w:lineRule="auto"/>
        <w:jc w:val="both"/>
        <w:rPr>
          <w:rFonts w:ascii="Times New Roman" w:eastAsia="Times New Roman" w:hAnsi="Times New Roman" w:cs="Times New Roman"/>
          <w:color w:val="000000"/>
          <w:sz w:val="24"/>
          <w:szCs w:val="20"/>
        </w:rPr>
      </w:pPr>
    </w:p>
    <w:p w14:paraId="4A4E447E" w14:textId="77777777" w:rsidR="00BA0D9E" w:rsidRPr="005107DF" w:rsidRDefault="00BA0D9E" w:rsidP="003947FF">
      <w:pPr>
        <w:tabs>
          <w:tab w:val="left" w:pos="851"/>
          <w:tab w:val="left" w:pos="1191"/>
          <w:tab w:val="left" w:pos="1531"/>
        </w:tabs>
        <w:spacing w:after="0" w:line="240" w:lineRule="auto"/>
        <w:jc w:val="both"/>
        <w:rPr>
          <w:rFonts w:ascii="Times New Roman" w:eastAsia="Times New Roman" w:hAnsi="Times New Roman" w:cs="Times New Roman"/>
          <w:color w:val="000000"/>
          <w:sz w:val="24"/>
          <w:szCs w:val="20"/>
        </w:rPr>
      </w:pPr>
    </w:p>
    <w:p w14:paraId="0347E812" w14:textId="77777777" w:rsidR="00832F98" w:rsidRPr="005107DF" w:rsidRDefault="00832F98" w:rsidP="003947FF">
      <w:pPr>
        <w:spacing w:after="0" w:line="240" w:lineRule="auto"/>
        <w:jc w:val="both"/>
        <w:rPr>
          <w:rFonts w:ascii="Times New Roman" w:eastAsia="Times New Roman" w:hAnsi="Times New Roman" w:cs="Times New Roman"/>
          <w:sz w:val="36"/>
          <w:szCs w:val="36"/>
        </w:rPr>
      </w:pPr>
      <w:r>
        <w:rPr>
          <w:rFonts w:ascii="Times New Roman" w:hAnsi="Times New Roman"/>
          <w:sz w:val="36"/>
        </w:rPr>
        <w:lastRenderedPageBreak/>
        <w:t>5. Exigences en matière de rapports</w:t>
      </w:r>
    </w:p>
    <w:p w14:paraId="789E9DC1" w14:textId="77777777" w:rsidR="00832F98" w:rsidRPr="005107DF" w:rsidRDefault="00832F98" w:rsidP="003947FF">
      <w:pPr>
        <w:spacing w:after="0" w:line="240" w:lineRule="auto"/>
        <w:jc w:val="both"/>
        <w:rPr>
          <w:rFonts w:ascii="Times New Roman" w:eastAsia="Times New Roman" w:hAnsi="Times New Roman" w:cs="Times New Roman"/>
          <w:sz w:val="24"/>
          <w:szCs w:val="24"/>
        </w:rPr>
      </w:pPr>
    </w:p>
    <w:p w14:paraId="7816DD30"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L’élaboration de rapports appropriés sur le projet est essentielle pour assurer un suivi adéquat de la mise en œuvre, pour évaluer les résultats de manière réaliste et pour fournir des informations de qualité en vue de la future programmation des réformes nationales et de l’aide extérieure. La langue choisie pour l’élaboration du contrat de subvention de jumelage (voir le point 3.1.1 du manuel de jumelage) est également celle utilisée pour les rapports.</w:t>
      </w:r>
    </w:p>
    <w:p w14:paraId="203076BF"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Deux types de rapports sont prévus dans le cadre du jumelage. Un rapport intermédiaire trimestriel est présenté pour discussion à chaque réunion trimestrielle du comité de pilotage du projet. Un rapport final accompagne la demande de paiement du solde de la subvention. Tous les rapports sont signés par les chefs de projet de l’État membre et du bénéficiaire et soumis par le chef de projet de l’État membre à l’administration contractante, avec copie à la délégation de l’UE (lorsque celle-ci n’est pas l’administration contractante).</w:t>
      </w:r>
    </w:p>
    <w:p w14:paraId="7E483E0C"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Les rapports sur le projet se concentrent sur la mise en œuvre du projet de jumelage et plus particulièrement sur les progrès (ou l’absence de progrès) accomplis en vue d’atteindre les résultats/produits obligatoires, les réalisations et la contribution attendue aux retombées à long terme, mais replacent également le projet dans le contexte des initiatives connexes entreprises dans le cadre du même programme et/ou dans le même secteur; ils sont donc partagés avec les autres entités actives dans le secteur (avec l’accord des parties). Les rapports de jumelage doivent être considérés comme l’une des sources d’informations pour la programmation et le suivi au niveau du secteur ou du programme.</w:t>
      </w:r>
    </w:p>
    <w:p w14:paraId="34814932" w14:textId="77777777" w:rsidR="00832F98" w:rsidRPr="00BA0D9E" w:rsidRDefault="00832F98" w:rsidP="003947FF">
      <w:pPr>
        <w:spacing w:after="240" w:line="240" w:lineRule="auto"/>
        <w:jc w:val="both"/>
        <w:rPr>
          <w:rFonts w:ascii="Times New Roman" w:hAnsi="Times New Roman"/>
          <w:color w:val="000000"/>
          <w:sz w:val="24"/>
        </w:rPr>
      </w:pPr>
      <w:r w:rsidRPr="00BA0D9E">
        <w:rPr>
          <w:rFonts w:ascii="Times New Roman" w:hAnsi="Times New Roman"/>
          <w:color w:val="000000"/>
          <w:sz w:val="24"/>
        </w:rPr>
        <w:t>L’État membre est responsable de l’élaboration des rapports intermédiaires et du rapport final. L’administration bénéficiaire est</w:t>
      </w:r>
      <w:r>
        <w:rPr>
          <w:rFonts w:ascii="Times New Roman" w:hAnsi="Times New Roman"/>
          <w:color w:val="000000"/>
          <w:sz w:val="24"/>
        </w:rPr>
        <w:t xml:space="preserve"> pleinement associée au processus d’élaboration du rapport et dispose du temps nécessaire pour transmettre ses commentaires sur les projets de rapports, de sorte qu’au moment de la signature du rapport, le chef de projet du bénéficiaire en approuve entièrement le contenu.</w:t>
      </w:r>
    </w:p>
    <w:p w14:paraId="5EE1E04C"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rapports doivent tenir compte non seulement de l’évaluation de l’état d’avancement du projet de jumelage effectuée par les chefs de projet des États membres, mais aussi des informations fournies par le CRJ et l’administration bénéficiaire et tirées d’autres sources d’informations. </w:t>
      </w:r>
    </w:p>
    <w:p w14:paraId="1A66BB59"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Tous les rapports sont constitués d’une partie descriptive et d’une partie financière. Ils comprennent au minimum les informations détaillées aux points 5.5.2 (rapports intermédiaires) et 5.5.3 (rapport final) du manuel de jumelage. Si les obligations minimales en matière de rapports ne sont pas remplies, l’administration contractante peut, en accord avec la délégation de l’UE (lorsque l’UE n’est pas l’administration contractante) et l’équipe de coordination du jumelage, décider de reconsidérer ou de suspendre le financement du projet de jumelage.</w:t>
      </w:r>
    </w:p>
    <w:p w14:paraId="722E02D8"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 xml:space="preserve">Les rapports doivent être soumis dans les délais prévus. En l’absence de réaction dans les 30 jours suivant leur présentation formelle, ils sont réputés être approuvés par l’administration contractante. </w:t>
      </w:r>
      <w:r>
        <w:rPr>
          <w:rFonts w:ascii="Times New Roman" w:hAnsi="Times New Roman"/>
          <w:sz w:val="24"/>
        </w:rPr>
        <w:t>Cette approbation par l’administration contractante ne préjuge pas de l’éligibilité des experts ni des autres postes de dépenses, qui ne seront contrôlés qu’au stade de la vérification des dépenses ou dans le cadre d’audits ultérieurs.</w:t>
      </w:r>
    </w:p>
    <w:p w14:paraId="6A301D8A" w14:textId="77777777" w:rsidR="00832F98" w:rsidRPr="0019382C" w:rsidRDefault="00832F98" w:rsidP="004A639B">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Dans le cas où il serait décidé de n’inclure la partie descriptive </w:t>
      </w:r>
      <w:r>
        <w:rPr>
          <w:rFonts w:ascii="Times New Roman" w:hAnsi="Times New Roman"/>
          <w:b/>
          <w:color w:val="000000"/>
          <w:sz w:val="24"/>
        </w:rPr>
        <w:t>détaillée</w:t>
      </w:r>
      <w:r>
        <w:rPr>
          <w:rFonts w:ascii="Times New Roman" w:hAnsi="Times New Roman"/>
          <w:color w:val="000000"/>
          <w:sz w:val="24"/>
        </w:rPr>
        <w:t xml:space="preserve"> du rapport que tous les six mois (voir la section 5.5.2.2), seul un résumé (progrès accomplis, recommandations, mesures correctives à envisager pour assurer la progression de la mise en œuvre du projet) sera présenté lors de la réunion </w:t>
      </w:r>
      <w:r>
        <w:rPr>
          <w:rFonts w:ascii="Times New Roman" w:hAnsi="Times New Roman"/>
          <w:b/>
          <w:color w:val="000000"/>
          <w:sz w:val="24"/>
          <w:u w:val="single"/>
        </w:rPr>
        <w:t>trimestrielle</w:t>
      </w:r>
      <w:r>
        <w:rPr>
          <w:rFonts w:ascii="Times New Roman" w:hAnsi="Times New Roman"/>
          <w:color w:val="000000"/>
          <w:sz w:val="24"/>
        </w:rPr>
        <w:t xml:space="preserve"> du comité de pilotage. Un rapport financier </w:t>
      </w:r>
      <w:r>
        <w:rPr>
          <w:rFonts w:ascii="Times New Roman" w:hAnsi="Times New Roman"/>
          <w:color w:val="000000"/>
          <w:sz w:val="24"/>
        </w:rPr>
        <w:lastRenderedPageBreak/>
        <w:t>devra néanmoins être présenté et approuvé par le comité de pilotage et l’administration contractante (même si le rapport descriptif détaillé n’est présenté que tous les six mois).</w:t>
      </w:r>
    </w:p>
    <w:p w14:paraId="52EA27C0"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5.1 Rapports intermédiaires trimestriels</w:t>
      </w:r>
    </w:p>
    <w:p w14:paraId="7C03CACF"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Les rapports intermédiaires trimestriels représentent des outils essentiels au suivi d’un projet de jumelage. Ils peuvent contribuer à faciliter la gestion du projet. La période de référence correspond globalement aux trois mois écoulés entre deux réunions du comité de pilotage du projet.</w:t>
      </w:r>
    </w:p>
    <w:p w14:paraId="38887424"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La partie descriptive contient des explications sur les activités réalisées, des preuves du travail accompli et des informations sur l’évolution globale de la réalisation des résultats/produits obligatoires, l’influence directe du projet sur la réalisation des objectifs spécifiques (résultats) et son influence indirecte sur celle des objectifs généraux (incidences). Elle mentionne également les lacunes et retards potentiels, décrit l’évolution des risques et des hypothèses initialement définis, propose au besoin des ajustements et des solutions et, surtout, résume les décisions qui doivent être adoptées lors de la réunion du comité de pilotage du projet. Plus particulièrement, la partie descriptive doit</w:t>
      </w:r>
      <w:r>
        <w:rPr>
          <w:rFonts w:ascii="Times New Roman" w:hAnsi="Times New Roman"/>
          <w:sz w:val="24"/>
        </w:rPr>
        <w:t>:</w:t>
      </w:r>
    </w:p>
    <w:p w14:paraId="65DC562D"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inclure un résumé des progrès accomplis, formuler des recommandations précises et proposer des mesures correctives à envisager pour assurer la progression de la mise en œuvre du projet;</w:t>
      </w:r>
    </w:p>
    <w:p w14:paraId="50E2F907"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décrire l’état d’avancement de la mise en œuvre du projet de jumelage durant la période couverte par le rapport, en se référant directement aux calendriers, aux cibles et aux indicateurs de performance définis dans le plan de travail et en mettant en évidence toutes les éventuelles activités qui n’avaient pas été prévues auparavant ou celles qui ont été annulées;</w:t>
      </w:r>
    </w:p>
    <w:p w14:paraId="2E7864F9"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fournir des informations actualisées sur les aspects qui influencent la mise en œuvre du projet;</w:t>
      </w:r>
    </w:p>
    <w:p w14:paraId="5BC67FB8"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revoir les hypothèses de départ et les risques inhérents à la mise en œuvre du projet;</w:t>
      </w:r>
    </w:p>
    <w:p w14:paraId="691E98D2"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décrire le processus de mise en œuvre (dynamique de l’état d’avancement global de la réforme sectorielle et des évolutions liées au projet et principaux problèmes et difficultés rencontrés);</w:t>
      </w:r>
    </w:p>
    <w:p w14:paraId="55D9AE78"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procéder à une évaluation globale des progrès accomplis et fournir une appréciation explicite sur la probabilité d’accomplissement du projet dans les limites du calendrier et du budget impartis; </w:t>
      </w:r>
    </w:p>
    <w:p w14:paraId="1B0706F1"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rPr>
      </w:pPr>
      <w:r>
        <w:rPr>
          <w:rFonts w:ascii="Times New Roman" w:hAnsi="Times New Roman"/>
          <w:color w:val="000000"/>
          <w:sz w:val="24"/>
        </w:rPr>
        <w:t>fournir au besoin des recommandations précises et des mesures correctives.</w:t>
      </w:r>
    </w:p>
    <w:p w14:paraId="77A1FAC1"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Il convient de faire spécifiquement référence aux progrès enregistrés en vue de la réalisation des résultats/produits obligatoires, à l’influence directe sur les résultats et à la probabilité d’une influence indirecte sur les effets escomptés, comme indiqué dans la fiche de jumelage. Il y a lieu également de confirmer que les indicateurs de performance basés sur des mesures définis dans le plan de travail initial sont toujours adéquats.</w:t>
      </w:r>
    </w:p>
    <w:p w14:paraId="1C1DA897"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 xml:space="preserve">La partie financière justifie les dépenses réelles par rapport aux coûts budgétisés, en détaillant chaque dépense encourue au cours de la période couverte par le rapport et en indiquant pour </w:t>
      </w:r>
      <w:r>
        <w:rPr>
          <w:rFonts w:ascii="Times New Roman" w:hAnsi="Times New Roman"/>
          <w:color w:val="000000"/>
          <w:sz w:val="24"/>
        </w:rPr>
        <w:lastRenderedPageBreak/>
        <w:t>chacune le libellé/la description de la dépense, le montant en euros, les rubriques budgétaires et volets concernés ainsi que toute référence à des pièces justificatives.</w:t>
      </w:r>
    </w:p>
    <w:p w14:paraId="38D960AE"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 rapport intermédiaire trimestriel est présenté pour discussion à chaque réunion du comité de pilotage du projet. Afin de permettre aux participants d’examiner le document, le chef de projet de l’État membre envoie le projet de rapport intermédiaire au chef de projet du bénéficiaire, à l’administration contractante et à la délégation de l’UE deux semaines avant la réunion. Au plus tard une semaine après la réunion, le rapport intermédiaire trimestriel doit être formellement soumis à l’administration contractante pour approbation.</w:t>
      </w:r>
    </w:p>
    <w:p w14:paraId="065EB30E"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5.2 Rapport descriptif bisannuel</w:t>
      </w:r>
    </w:p>
    <w:p w14:paraId="7A07CA44"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 chef de projet de l’État membre peut décider de n’inclure une longue partie descriptive (couvrant les principaux éléments mentionnés à la section précédente) que dans un rapport intermédiaire trimestriel sur deux, afin de couvrir une période de temps de 6 mois. Il en informe alors l’administration contractante, le chef de projet du bénéficiaire et la délégation de l’UE (lorsque celle-ci n’est pas l’administration contractante) lors de la première réunion du comité de pilotage du projet. Cette approche n’exclut pas que des questions nécessitant un examen rapide ou présentant un intérêt particulier soient mentionnées dans les rapports intermédiaires n’incluent pas de partie descriptive détaillée.</w:t>
      </w:r>
    </w:p>
    <w:p w14:paraId="17E79D06"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Une partie financière détaillée doit être incluse dans chaque rapport intermédiaire trimestriel même lorsque celui-ci n’inclut pas de partie descriptive détaillée.</w:t>
      </w:r>
    </w:p>
    <w:p w14:paraId="2B7FAEA5"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5.3 Rapport final</w:t>
      </w:r>
    </w:p>
    <w:p w14:paraId="5C5BC402"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En plus de décrire la mise en œuvre du projet de jumelage dans son ensemble, le rapport final répond à un triple objectif: évaluation, recommandation et responsabilité. Il s’agit d’un document global justifiant les résultats obtenus par les partenaires de jumelage et la contribution au processus de réforme dans le domaine d’action concerné du pays bénéficiaire et suggérant de possibles actions de suivi.</w:t>
      </w:r>
    </w:p>
    <w:p w14:paraId="477B7949"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La partie descriptive du rapport final rend compte de manière exhaustive de la mise en œuvre du projet, en le replaçant dans le cadre plus général de l’évolution sectorielle dans le pays bénéficiaire.</w:t>
      </w:r>
    </w:p>
    <w:p w14:paraId="66E8C952"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Plus particulièrement, la partie descriptive du rapport final doit:</w:t>
      </w:r>
    </w:p>
    <w:p w14:paraId="0B804CE6"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donner un aperçu de l’évolution du secteur concerné durant la période de mise en œuvre du projet de jumelage;</w:t>
      </w:r>
    </w:p>
    <w:p w14:paraId="5412BB91"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fournir une évaluation des résultats/produits obligatoires du projet en tenant compte de la contribution de ce dernier auxdits résultats/produits;</w:t>
      </w:r>
    </w:p>
    <w:p w14:paraId="6DB2835D"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inclure un résumé du projet de jumelage et indiquer les décisions qui doivent être adoptées en vue de pérenniser les résultats/produits obligatoires obtenus;</w:t>
      </w:r>
    </w:p>
    <w:p w14:paraId="746670E1"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évaluer les principaux problèmes persistants au niveau sectoriel;</w:t>
      </w:r>
    </w:p>
    <w:p w14:paraId="19056FBC"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décrire le processus de mise en œuvre (en présentant notamment les obstacles et difficultés rencontrés);</w:t>
      </w:r>
    </w:p>
    <w:p w14:paraId="009C4CDA"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confirmer la réalisation des résultats, l’obtention des résultats/produits obligatoires et l’influence du projet sur les retombées, en utilisant les indicateurs du plan de travail et/ou de la fiche de jumelage (dans le cas où un résultat n’aurait pas été atteint, il convient de fournir une explication détaillée);</w:t>
      </w:r>
    </w:p>
    <w:p w14:paraId="073CFA9A"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fournir une évaluation de l’effet à long terme du projet sur la base des objectifs/incidences globaux définis dans les accords conclus entre l’UE et le pays bénéficiaire);</w:t>
      </w:r>
    </w:p>
    <w:p w14:paraId="49668A49"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inclure des informations sur toutes les actions de communication et de visibilité ainsi que sur leur impact; </w:t>
      </w:r>
    </w:p>
    <w:p w14:paraId="7DD3FB87"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recenser les enseignements tirés (conception du projet, processus, obtention effective de résultats, etc.) susceptibles de présenter un intérêt pour les projets de jumelage similaires; </w:t>
      </w:r>
    </w:p>
    <w:p w14:paraId="48656CDE"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rPr>
      </w:pPr>
      <w:r>
        <w:rPr>
          <w:rFonts w:ascii="Times New Roman" w:hAnsi="Times New Roman"/>
          <w:color w:val="000000"/>
          <w:sz w:val="24"/>
        </w:rPr>
        <w:t>fournir des preuves des transferts de propriété (le cas échéant).</w:t>
      </w:r>
    </w:p>
    <w:p w14:paraId="760E602E"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partie financière du rapport final contient les mêmes informations que dans la partie financière des rapports intermédiaires trimestriels, mais fait référence à la mise en œuvre globale du projet. Il convient d’y inclure un relevé final de tous les coûts éligibles encourus, ainsi qu’un récapitulatif complet des dépenses du projet et des paiements reçus. Le rapport final sera accompagné d’un rapport de vérification des dépenses. .</w:t>
      </w:r>
    </w:p>
    <w:p w14:paraId="208CB541"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 rapport final, accompagné du rapport de vérification des dépenses et de la demande de paiement final, est transmis à l’administration contractante au plus tard dans les trois mois suivant la fin de la période de mise en œuvre telle que définie à l’article 2.2 des conditions particulières du contrat de subvention de jumelage, soit pendant la période d’exécution du contrat.</w:t>
      </w:r>
    </w:p>
    <w:p w14:paraId="511251DC"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l’État membre n’a pas présenté pas de rapport final à l’administration contractante à la date limite indiquée ci-dessus et s’il n’a pas fourni de justification écrite acceptable et suffisante pour expliquer les raisons qui l’ont empêché de respecter cette obligation, l’administration contractante peut résilier le contrat de subvention de jumelage, conformément au point 5.10.2 du manuel de jumelage et à l’article 12.2 des conditions générales du contrat de subvention de jumelage, et récupérer les montants non justifiés déjà payés à l’État membre.</w:t>
      </w:r>
    </w:p>
    <w:p w14:paraId="46DB3731" w14:textId="77777777" w:rsidR="00832F98" w:rsidRPr="005107DF" w:rsidRDefault="00832F98" w:rsidP="00521956">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Les audits effectués par la CE ne peuvent mettre en cause le montant établi dans le contrat (tel que défini ci-dessus à l’article 3 relatif aux coûts éligibles), et ce, même s’il existe des rapports de vérification des dépenses. En ce qui concerne les coûts unitaires et autres taux forfaitaires, les audits de la CE doivent vérifier l’existence des activités à la source de ces coûts.</w:t>
      </w:r>
    </w:p>
    <w:p w14:paraId="62E13D92" w14:textId="77777777" w:rsidR="00832F98" w:rsidRPr="005107DF" w:rsidRDefault="00832F98">
      <w:pPr>
        <w:rPr>
          <w:rFonts w:ascii="Times New Roman" w:hAnsi="Times New Roman" w:cs="Times New Roman"/>
        </w:rPr>
      </w:pPr>
      <w:r>
        <w:br w:type="page"/>
      </w:r>
    </w:p>
    <w:p w14:paraId="76040405"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252" w:name="_Toc517434469"/>
      <w:bookmarkStart w:id="1253" w:name="_Toc2861036"/>
      <w:r>
        <w:rPr>
          <w:sz w:val="32"/>
        </w:rPr>
        <w:lastRenderedPageBreak/>
        <w:t>ANNEXE A8: Mandats (en cas de constitution d’un consortium d’États membres)</w:t>
      </w:r>
      <w:bookmarkEnd w:id="1252"/>
      <w:bookmarkEnd w:id="1253"/>
    </w:p>
    <w:p w14:paraId="131B28EF" w14:textId="77777777" w:rsidR="00832F98" w:rsidRPr="0019382C" w:rsidRDefault="00832F98" w:rsidP="00790AA7">
      <w:pPr>
        <w:jc w:val="both"/>
        <w:rPr>
          <w:rFonts w:ascii="Times New Roman" w:hAnsi="Times New Roman" w:cs="Times New Roman"/>
          <w:b/>
          <w:i/>
          <w:color w:val="000000"/>
          <w:sz w:val="24"/>
          <w:szCs w:val="24"/>
        </w:rPr>
      </w:pPr>
      <w:r>
        <w:rPr>
          <w:rFonts w:ascii="Times New Roman" w:hAnsi="Times New Roman"/>
          <w:b/>
          <w:i/>
          <w:color w:val="000000"/>
          <w:sz w:val="24"/>
        </w:rPr>
        <w:t>Le texte suivant est seulement un modèle indicatif. Les États membres partenaires sont libres d’utiliser leurs propres texte et termes pour déléguer la responsabilité à l’État membre partenaire principal, pour autant que le même contenu soit inclus.</w:t>
      </w:r>
    </w:p>
    <w:p w14:paraId="13FE08B5" w14:textId="77777777" w:rsidR="00832F98" w:rsidRPr="005107DF" w:rsidRDefault="00832F98" w:rsidP="00790AA7">
      <w:pPr>
        <w:jc w:val="both"/>
        <w:rPr>
          <w:rFonts w:ascii="Times New Roman" w:hAnsi="Times New Roman" w:cs="Times New Roman"/>
          <w:color w:val="000000"/>
          <w:sz w:val="24"/>
          <w:szCs w:val="24"/>
        </w:rPr>
      </w:pPr>
    </w:p>
    <w:p w14:paraId="13A0BDDB" w14:textId="77777777" w:rsidR="00832F98" w:rsidRPr="005107DF" w:rsidRDefault="00832F98" w:rsidP="00790AA7">
      <w:pPr>
        <w:jc w:val="both"/>
        <w:rPr>
          <w:rFonts w:ascii="Times New Roman" w:hAnsi="Times New Roman" w:cs="Times New Roman"/>
          <w:color w:val="000000"/>
          <w:sz w:val="24"/>
          <w:szCs w:val="24"/>
        </w:rPr>
      </w:pPr>
      <w:r>
        <w:rPr>
          <w:rFonts w:ascii="Times New Roman" w:hAnsi="Times New Roman"/>
          <w:color w:val="000000"/>
          <w:sz w:val="24"/>
        </w:rPr>
        <w:t>Le soussigné, au nom de l’administration de l’État membre junior ….., s’engage à mettre en œuvre les actions confiées à son administration/son organisation par le contrat de subvention de jumelage. Il donne mandat à ...................., chef de projet, pour exercer la pleine responsabilité de la mise en œuvre dudit contrat de subvention de jumelage, prendre tous engagements et toutes décisions en son nom dans l’intérêt de la bonne réalisation de l’ensemble du projet de jumelage et dans le respect de l’accord conclu entre les membres du consortium.</w:t>
      </w:r>
    </w:p>
    <w:p w14:paraId="18A03395" w14:textId="77777777" w:rsidR="00832F98" w:rsidRPr="005107DF" w:rsidRDefault="00832F98" w:rsidP="00790AA7">
      <w:pPr>
        <w:jc w:val="both"/>
        <w:rPr>
          <w:rFonts w:ascii="Times New Roman" w:hAnsi="Times New Roman" w:cs="Times New Roman"/>
          <w:color w:val="000000"/>
          <w:sz w:val="24"/>
          <w:szCs w:val="24"/>
        </w:rPr>
      </w:pPr>
    </w:p>
    <w:p w14:paraId="54E7975F" w14:textId="77777777" w:rsidR="00832F98" w:rsidRPr="005107DF" w:rsidRDefault="00832F98" w:rsidP="00790AA7">
      <w:pPr>
        <w:jc w:val="both"/>
        <w:rPr>
          <w:rFonts w:ascii="Times New Roman" w:hAnsi="Times New Roman" w:cs="Times New Roman"/>
          <w:color w:val="000000"/>
          <w:sz w:val="24"/>
          <w:szCs w:val="24"/>
        </w:rPr>
      </w:pPr>
    </w:p>
    <w:p w14:paraId="53A6F2D9" w14:textId="77777777" w:rsidR="00832F98" w:rsidRPr="005107DF" w:rsidRDefault="00832F98" w:rsidP="00790AA7">
      <w:pPr>
        <w:rPr>
          <w:rFonts w:ascii="Times New Roman" w:hAnsi="Times New Roman" w:cs="Times New Roman"/>
          <w:sz w:val="24"/>
          <w:szCs w:val="24"/>
        </w:rPr>
      </w:pPr>
    </w:p>
    <w:p w14:paraId="46BF58C8" w14:textId="77777777" w:rsidR="00832F98" w:rsidRPr="005107DF" w:rsidRDefault="00832F98" w:rsidP="00790AA7">
      <w:pPr>
        <w:rPr>
          <w:rFonts w:ascii="Times New Roman" w:hAnsi="Times New Roman" w:cs="Times New Roman"/>
          <w:color w:val="000000"/>
          <w:sz w:val="24"/>
          <w:szCs w:val="24"/>
        </w:rPr>
      </w:pPr>
      <w:r>
        <w:rPr>
          <w:rFonts w:ascii="Times New Roman" w:hAnsi="Times New Roman"/>
          <w:color w:val="000000"/>
          <w:sz w:val="24"/>
        </w:rPr>
        <w:t>Signé par un représentant de l’administration de l’État membre partenaire junior:</w:t>
      </w:r>
    </w:p>
    <w:p w14:paraId="35BDC45A" w14:textId="77777777" w:rsidR="00832F98" w:rsidRPr="005107DF" w:rsidRDefault="00832F98" w:rsidP="00790AA7">
      <w:pPr>
        <w:rPr>
          <w:rFonts w:ascii="Times New Roman" w:hAnsi="Times New Roman" w:cs="Times New Roman"/>
          <w:color w:val="000000"/>
          <w:sz w:val="24"/>
          <w:szCs w:val="24"/>
        </w:rPr>
      </w:pPr>
    </w:p>
    <w:p w14:paraId="4C22866A" w14:textId="77777777" w:rsidR="00832F98" w:rsidRPr="005107DF" w:rsidRDefault="00832F98" w:rsidP="00790AA7">
      <w:pPr>
        <w:rPr>
          <w:rFonts w:ascii="Times New Roman" w:hAnsi="Times New Roman" w:cs="Times New Roman"/>
          <w:color w:val="000000"/>
          <w:sz w:val="24"/>
          <w:szCs w:val="24"/>
        </w:rPr>
      </w:pPr>
    </w:p>
    <w:p w14:paraId="638B628D" w14:textId="77777777" w:rsidR="00832F98" w:rsidRPr="005107DF" w:rsidRDefault="00832F98" w:rsidP="00790AA7">
      <w:pPr>
        <w:rPr>
          <w:rFonts w:ascii="Times New Roman" w:hAnsi="Times New Roman" w:cs="Times New Roman"/>
          <w:color w:val="000000"/>
          <w:sz w:val="24"/>
          <w:szCs w:val="24"/>
        </w:rPr>
      </w:pPr>
    </w:p>
    <w:p w14:paraId="7550B773" w14:textId="77777777" w:rsidR="00832F98" w:rsidRPr="005107DF" w:rsidRDefault="00832F98" w:rsidP="00790AA7">
      <w:pPr>
        <w:rPr>
          <w:rFonts w:ascii="Times New Roman" w:hAnsi="Times New Roman" w:cs="Times New Roman"/>
          <w:color w:val="000000"/>
          <w:sz w:val="24"/>
          <w:szCs w:val="24"/>
        </w:rPr>
      </w:pPr>
    </w:p>
    <w:p w14:paraId="349ABD20" w14:textId="77777777" w:rsidR="00832F98" w:rsidRPr="005107DF" w:rsidRDefault="00832F98" w:rsidP="00790AA7">
      <w:pPr>
        <w:rPr>
          <w:rFonts w:ascii="Times New Roman" w:hAnsi="Times New Roman" w:cs="Times New Roman"/>
          <w:sz w:val="24"/>
          <w:szCs w:val="24"/>
        </w:rPr>
      </w:pPr>
      <w:r>
        <w:rPr>
          <w:rFonts w:ascii="Times New Roman" w:hAnsi="Times New Roman"/>
          <w:color w:val="000000"/>
          <w:sz w:val="24"/>
        </w:rPr>
        <w:t>Approuvé par un représentant de l’administration de l’État membre partenaire principal:</w:t>
      </w:r>
    </w:p>
    <w:p w14:paraId="2F564254" w14:textId="77777777" w:rsidR="00832F98" w:rsidRPr="005107DF" w:rsidRDefault="00832F98" w:rsidP="00D0198E">
      <w:pPr>
        <w:numPr>
          <w:ilvl w:val="12"/>
          <w:numId w:val="0"/>
        </w:numPr>
        <w:jc w:val="both"/>
        <w:rPr>
          <w:rFonts w:ascii="Times New Roman" w:hAnsi="Times New Roman" w:cs="Times New Roman"/>
          <w:color w:val="000000"/>
        </w:rPr>
      </w:pPr>
    </w:p>
    <w:p w14:paraId="1B3B51DB" w14:textId="77777777" w:rsidR="00832F98" w:rsidRPr="005107DF" w:rsidRDefault="00832F98" w:rsidP="00D0198E">
      <w:pPr>
        <w:ind w:left="851"/>
        <w:jc w:val="both"/>
        <w:rPr>
          <w:rFonts w:ascii="Times New Roman" w:hAnsi="Times New Roman" w:cs="Times New Roman"/>
          <w:color w:val="000000"/>
          <w:sz w:val="18"/>
          <w:szCs w:val="18"/>
        </w:rPr>
      </w:pPr>
    </w:p>
    <w:p w14:paraId="4DC00105" w14:textId="77777777" w:rsidR="00832F98" w:rsidRPr="005107DF" w:rsidRDefault="00832F98" w:rsidP="00D0198E">
      <w:pPr>
        <w:ind w:left="851"/>
        <w:jc w:val="both"/>
        <w:rPr>
          <w:rFonts w:ascii="Times New Roman" w:hAnsi="Times New Roman" w:cs="Times New Roman"/>
          <w:color w:val="000000"/>
          <w:sz w:val="18"/>
          <w:szCs w:val="18"/>
        </w:rPr>
      </w:pPr>
    </w:p>
    <w:p w14:paraId="59F3FB13" w14:textId="77777777" w:rsidR="00832F98" w:rsidRPr="005107DF" w:rsidRDefault="00832F98" w:rsidP="00D0198E">
      <w:pPr>
        <w:ind w:left="851"/>
        <w:jc w:val="both"/>
        <w:rPr>
          <w:rFonts w:ascii="Times New Roman" w:hAnsi="Times New Roman" w:cs="Times New Roman"/>
          <w:color w:val="000000"/>
          <w:sz w:val="18"/>
          <w:szCs w:val="18"/>
        </w:rPr>
      </w:pPr>
    </w:p>
    <w:p w14:paraId="7FF3F512" w14:textId="77777777" w:rsidR="00832F98" w:rsidRPr="005107DF" w:rsidRDefault="00832F98" w:rsidP="00D0198E">
      <w:pPr>
        <w:rPr>
          <w:rFonts w:ascii="Times New Roman" w:hAnsi="Times New Roman" w:cs="Times New Roman"/>
        </w:rPr>
      </w:pPr>
    </w:p>
    <w:p w14:paraId="4D0DA654" w14:textId="77777777" w:rsidR="00832F98" w:rsidRPr="005107DF" w:rsidRDefault="00832F98" w:rsidP="00D0198E">
      <w:pPr>
        <w:rPr>
          <w:rFonts w:ascii="Times New Roman" w:hAnsi="Times New Roman" w:cs="Times New Roman"/>
          <w:sz w:val="2"/>
          <w:szCs w:val="2"/>
        </w:rPr>
      </w:pPr>
      <w:r>
        <w:br w:type="page"/>
      </w:r>
    </w:p>
    <w:p w14:paraId="1FB2C8D9"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254" w:name="_Toc517434470"/>
      <w:bookmarkStart w:id="1255" w:name="_Toc2861037"/>
      <w:r>
        <w:rPr>
          <w:sz w:val="32"/>
        </w:rPr>
        <w:lastRenderedPageBreak/>
        <w:t>ANNEXE A9: Curriculum vitæ et déclaration de disponibilité du CRJ</w:t>
      </w:r>
      <w:bookmarkEnd w:id="1254"/>
      <w:bookmarkEnd w:id="1255"/>
      <w:r>
        <w:rPr>
          <w:sz w:val="32"/>
        </w:rPr>
        <w:t xml:space="preserve"> </w:t>
      </w:r>
    </w:p>
    <w:p w14:paraId="28CFE8A0" w14:textId="77777777" w:rsidR="00832F98" w:rsidRPr="005107DF" w:rsidRDefault="00832F98" w:rsidP="00D0198E">
      <w:pPr>
        <w:ind w:left="709"/>
        <w:jc w:val="both"/>
        <w:rPr>
          <w:rFonts w:ascii="Times New Roman" w:hAnsi="Times New Roman" w:cs="Times New Roman"/>
        </w:rPr>
      </w:pPr>
    </w:p>
    <w:p w14:paraId="4B1C1A04" w14:textId="77777777" w:rsidR="00832F98" w:rsidRPr="005107DF" w:rsidRDefault="00832F98" w:rsidP="007338F0">
      <w:pPr>
        <w:jc w:val="both"/>
        <w:rPr>
          <w:rFonts w:ascii="Times New Roman" w:hAnsi="Times New Roman" w:cs="Times New Roman"/>
          <w:sz w:val="24"/>
          <w:szCs w:val="24"/>
        </w:rPr>
      </w:pPr>
      <w:r>
        <w:rPr>
          <w:rFonts w:ascii="Times New Roman" w:hAnsi="Times New Roman"/>
          <w:sz w:val="24"/>
        </w:rPr>
        <w:t xml:space="preserve">Les CV du CRJ de l’État membre, des responsables de volets et de leurs homologues doivent être rédigés sur la base du modèle disponible sur le site web «Europass»: </w:t>
      </w:r>
      <w:hyperlink r:id="rId44">
        <w:r>
          <w:rPr>
            <w:rFonts w:ascii="Times New Roman" w:hAnsi="Times New Roman"/>
            <w:color w:val="0000FF"/>
            <w:sz w:val="24"/>
            <w:u w:val="single"/>
          </w:rPr>
          <w:t>http://europass.cedefop.europa.eu/fr/documents/curriculum-vitae/templates-instructions</w:t>
        </w:r>
      </w:hyperlink>
      <w:r>
        <w:rPr>
          <w:rFonts w:ascii="Times New Roman" w:hAnsi="Times New Roman"/>
          <w:sz w:val="24"/>
        </w:rPr>
        <w:t xml:space="preserve">. Ils se limiteront idéalement à trois pages. </w:t>
      </w:r>
    </w:p>
    <w:p w14:paraId="101EE7C5" w14:textId="77777777" w:rsidR="00832F98" w:rsidRPr="005107DF" w:rsidRDefault="00832F98" w:rsidP="007338F0">
      <w:pPr>
        <w:jc w:val="both"/>
        <w:rPr>
          <w:rFonts w:ascii="Times New Roman" w:hAnsi="Times New Roman" w:cs="Times New Roman"/>
          <w:sz w:val="24"/>
          <w:szCs w:val="24"/>
        </w:rPr>
      </w:pPr>
    </w:p>
    <w:p w14:paraId="0CAE1BA7" w14:textId="77777777" w:rsidR="00832F98" w:rsidRPr="005107DF" w:rsidRDefault="00832F98" w:rsidP="007338F0">
      <w:pPr>
        <w:jc w:val="center"/>
        <w:rPr>
          <w:rFonts w:ascii="Times New Roman" w:hAnsi="Times New Roman" w:cs="Times New Roman"/>
        </w:rPr>
      </w:pPr>
      <w:r>
        <w:rPr>
          <w:rFonts w:ascii="Times New Roman" w:hAnsi="Times New Roman"/>
          <w:caps/>
          <w:sz w:val="32"/>
        </w:rPr>
        <w:t>Déclaration de disponibilité</w:t>
      </w:r>
      <w:r>
        <w:rPr>
          <w:rStyle w:val="FootnoteReference"/>
          <w:rFonts w:ascii="Times New Roman" w:hAnsi="Times New Roman"/>
          <w:caps/>
          <w:sz w:val="32"/>
        </w:rPr>
        <w:footnoteReference w:id="47"/>
      </w:r>
      <w:r>
        <w:rPr>
          <w:rFonts w:ascii="Times New Roman" w:hAnsi="Times New Roman"/>
          <w:caps/>
          <w:sz w:val="32"/>
        </w:rPr>
        <w:t>.</w:t>
      </w:r>
    </w:p>
    <w:p w14:paraId="0E679A28" w14:textId="77777777" w:rsidR="00832F98" w:rsidRPr="005107DF" w:rsidRDefault="00832F98" w:rsidP="00D0198E">
      <w:pPr>
        <w:tabs>
          <w:tab w:val="left" w:pos="1701"/>
        </w:tabs>
        <w:jc w:val="both"/>
        <w:rPr>
          <w:rFonts w:ascii="Times New Roman" w:hAnsi="Times New Roman" w:cs="Times New Roman"/>
          <w:sz w:val="24"/>
          <w:szCs w:val="24"/>
        </w:rPr>
      </w:pPr>
      <w:r>
        <w:rPr>
          <w:rFonts w:ascii="Times New Roman" w:hAnsi="Times New Roman"/>
          <w:sz w:val="24"/>
        </w:rPr>
        <w:t xml:space="preserve">Je soussigné déclare par la présente accepter d’exercer la fonction de CRJ dans le cadre de l’appel à propositions susmentionné. </w:t>
      </w:r>
    </w:p>
    <w:p w14:paraId="3791A4C2" w14:textId="77777777" w:rsidR="00832F98" w:rsidRPr="005107DF" w:rsidRDefault="00832F98" w:rsidP="00D0198E">
      <w:pPr>
        <w:tabs>
          <w:tab w:val="left" w:pos="1701"/>
        </w:tabs>
        <w:jc w:val="both"/>
        <w:rPr>
          <w:rFonts w:ascii="Times New Roman" w:hAnsi="Times New Roman" w:cs="Times New Roman"/>
          <w:sz w:val="24"/>
          <w:szCs w:val="24"/>
        </w:rPr>
      </w:pPr>
      <w:r>
        <w:rPr>
          <w:rFonts w:ascii="Times New Roman" w:hAnsi="Times New Roman"/>
          <w:sz w:val="24"/>
        </w:rPr>
        <w:t>Je déclare être apte et disposé à travailler pendant toute la période établie pour la mission de CRJ pour laquelle mon CV a été inclus.</w:t>
      </w:r>
    </w:p>
    <w:p w14:paraId="696A711A" w14:textId="77777777" w:rsidR="00832F98" w:rsidRPr="005107DF" w:rsidRDefault="00832F98" w:rsidP="00D0198E">
      <w:pPr>
        <w:tabs>
          <w:tab w:val="left" w:pos="1701"/>
        </w:tabs>
        <w:spacing w:before="240"/>
        <w:jc w:val="both"/>
        <w:rPr>
          <w:rFonts w:ascii="Times New Roman" w:hAnsi="Times New Roman" w:cs="Times New Roman"/>
          <w:sz w:val="24"/>
          <w:szCs w:val="24"/>
        </w:rPr>
      </w:pPr>
      <w:r>
        <w:rPr>
          <w:rFonts w:ascii="Times New Roman" w:hAnsi="Times New Roman"/>
          <w:sz w:val="24"/>
        </w:rPr>
        <w:t>Je confirme ne m’être définitivement engagé dans aucun autre projet (en tant que CRJ ou expert de longue durée) et aucune autre activité professionnelle incompatible, sur le plan de la capacité et du calendrier, avec la période de mise en œuvre prévue pour la subvention de jumelage en question.</w:t>
      </w:r>
    </w:p>
    <w:p w14:paraId="3381EF5A" w14:textId="77777777" w:rsidR="00832F98" w:rsidRPr="005107DF" w:rsidRDefault="00832F98" w:rsidP="00D0198E">
      <w:pPr>
        <w:jc w:val="both"/>
        <w:rPr>
          <w:rFonts w:ascii="Times New Roman" w:hAnsi="Times New Roman" w:cs="Times New Roman"/>
          <w:sz w:val="24"/>
          <w:szCs w:val="24"/>
        </w:rPr>
      </w:pPr>
      <w:r>
        <w:rPr>
          <w:rFonts w:ascii="Times New Roman" w:hAnsi="Times New Roman"/>
          <w:sz w:val="24"/>
        </w:rPr>
        <w:t>Je déclare également ne me trouver dans aucune situation de conflit d’intérêts ou d’indisponibilité et m’engage à informer le chef de projet de l’État membre de tout changement de ma situation.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626"/>
      </w:tblGrid>
      <w:tr w:rsidR="00832F98" w:rsidRPr="005107DF" w14:paraId="12FCDFEC" w14:textId="7777777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1AC821AB" w14:textId="77777777" w:rsidR="00832F98" w:rsidRPr="005107DF" w:rsidRDefault="00832F98" w:rsidP="006B3558">
            <w:pPr>
              <w:tabs>
                <w:tab w:val="left" w:pos="1701"/>
              </w:tabs>
              <w:spacing w:before="120" w:after="120"/>
              <w:rPr>
                <w:rFonts w:ascii="Times New Roman" w:hAnsi="Times New Roman" w:cs="Times New Roman"/>
                <w:b/>
                <w:sz w:val="24"/>
                <w:szCs w:val="24"/>
              </w:rPr>
            </w:pPr>
            <w:r>
              <w:rPr>
                <w:rFonts w:ascii="Times New Roman" w:hAnsi="Times New Roman"/>
                <w:b/>
                <w:sz w:val="24"/>
              </w:rPr>
              <w:t>Nom</w:t>
            </w:r>
          </w:p>
        </w:tc>
        <w:tc>
          <w:tcPr>
            <w:tcW w:w="7626" w:type="dxa"/>
            <w:tcBorders>
              <w:top w:val="single" w:sz="4" w:space="0" w:color="auto"/>
              <w:left w:val="single" w:sz="4" w:space="0" w:color="auto"/>
              <w:bottom w:val="single" w:sz="4" w:space="0" w:color="auto"/>
              <w:right w:val="single" w:sz="4" w:space="0" w:color="auto"/>
            </w:tcBorders>
          </w:tcPr>
          <w:p w14:paraId="0AC06C06" w14:textId="77777777" w:rsidR="00832F98" w:rsidRPr="005107DF" w:rsidRDefault="00832F98" w:rsidP="006B3558">
            <w:pPr>
              <w:tabs>
                <w:tab w:val="left" w:pos="1701"/>
              </w:tabs>
              <w:spacing w:before="120" w:after="120"/>
              <w:rPr>
                <w:rFonts w:ascii="Times New Roman" w:hAnsi="Times New Roman" w:cs="Times New Roman"/>
                <w:sz w:val="24"/>
                <w:szCs w:val="24"/>
              </w:rPr>
            </w:pPr>
          </w:p>
        </w:tc>
      </w:tr>
      <w:tr w:rsidR="00832F98" w:rsidRPr="005107DF" w14:paraId="795793A8" w14:textId="7777777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0A272DFD" w14:textId="77777777" w:rsidR="00832F98" w:rsidRPr="005107DF" w:rsidRDefault="00832F98" w:rsidP="006B3558">
            <w:pPr>
              <w:tabs>
                <w:tab w:val="left" w:pos="1701"/>
              </w:tabs>
              <w:spacing w:before="120" w:after="120"/>
              <w:rPr>
                <w:rFonts w:ascii="Times New Roman" w:hAnsi="Times New Roman" w:cs="Times New Roman"/>
                <w:b/>
                <w:sz w:val="24"/>
                <w:szCs w:val="24"/>
              </w:rPr>
            </w:pPr>
            <w:r>
              <w:rPr>
                <w:rFonts w:ascii="Times New Roman" w:hAnsi="Times New Roman"/>
                <w:b/>
                <w:sz w:val="24"/>
              </w:rPr>
              <w:t>Signature</w:t>
            </w:r>
          </w:p>
        </w:tc>
        <w:tc>
          <w:tcPr>
            <w:tcW w:w="7626" w:type="dxa"/>
            <w:tcBorders>
              <w:top w:val="single" w:sz="4" w:space="0" w:color="auto"/>
              <w:left w:val="single" w:sz="4" w:space="0" w:color="auto"/>
              <w:bottom w:val="single" w:sz="4" w:space="0" w:color="auto"/>
              <w:right w:val="single" w:sz="4" w:space="0" w:color="auto"/>
            </w:tcBorders>
          </w:tcPr>
          <w:p w14:paraId="1C1C00CE" w14:textId="77777777" w:rsidR="00832F98" w:rsidRPr="005107DF" w:rsidRDefault="00832F98" w:rsidP="006B3558">
            <w:pPr>
              <w:tabs>
                <w:tab w:val="left" w:pos="1701"/>
              </w:tabs>
              <w:spacing w:before="120" w:after="120"/>
              <w:rPr>
                <w:rFonts w:ascii="Times New Roman" w:hAnsi="Times New Roman" w:cs="Times New Roman"/>
                <w:sz w:val="24"/>
                <w:szCs w:val="24"/>
              </w:rPr>
            </w:pPr>
          </w:p>
        </w:tc>
      </w:tr>
      <w:tr w:rsidR="00832F98" w:rsidRPr="005107DF" w14:paraId="327F3AD0" w14:textId="7777777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2FC89668" w14:textId="77777777" w:rsidR="00832F98" w:rsidRPr="005107DF" w:rsidRDefault="00832F98" w:rsidP="006B3558">
            <w:pPr>
              <w:tabs>
                <w:tab w:val="left" w:pos="1701"/>
              </w:tabs>
              <w:spacing w:before="120" w:after="120"/>
              <w:rPr>
                <w:rFonts w:ascii="Times New Roman" w:hAnsi="Times New Roman" w:cs="Times New Roman"/>
                <w:b/>
                <w:sz w:val="24"/>
                <w:szCs w:val="24"/>
              </w:rPr>
            </w:pPr>
            <w:r>
              <w:rPr>
                <w:rFonts w:ascii="Times New Roman" w:hAnsi="Times New Roman"/>
                <w:b/>
                <w:sz w:val="24"/>
              </w:rPr>
              <w:t>Date</w:t>
            </w:r>
          </w:p>
        </w:tc>
        <w:tc>
          <w:tcPr>
            <w:tcW w:w="7626" w:type="dxa"/>
            <w:tcBorders>
              <w:top w:val="single" w:sz="4" w:space="0" w:color="auto"/>
              <w:left w:val="single" w:sz="4" w:space="0" w:color="auto"/>
              <w:bottom w:val="single" w:sz="4" w:space="0" w:color="auto"/>
              <w:right w:val="single" w:sz="4" w:space="0" w:color="auto"/>
            </w:tcBorders>
          </w:tcPr>
          <w:p w14:paraId="3D3EEFB8" w14:textId="77777777" w:rsidR="00832F98" w:rsidRPr="005107DF" w:rsidRDefault="00832F98" w:rsidP="006B3558">
            <w:pPr>
              <w:tabs>
                <w:tab w:val="left" w:pos="1701"/>
              </w:tabs>
              <w:spacing w:before="120" w:after="120"/>
              <w:rPr>
                <w:rFonts w:ascii="Times New Roman" w:hAnsi="Times New Roman" w:cs="Times New Roman"/>
                <w:sz w:val="24"/>
                <w:szCs w:val="24"/>
              </w:rPr>
            </w:pPr>
          </w:p>
        </w:tc>
      </w:tr>
    </w:tbl>
    <w:p w14:paraId="560016A7" w14:textId="77777777" w:rsidR="00832F98" w:rsidRPr="005107DF" w:rsidRDefault="00832F98" w:rsidP="00D0198E">
      <w:pPr>
        <w:ind w:left="709"/>
        <w:jc w:val="both"/>
        <w:rPr>
          <w:rFonts w:ascii="Times New Roman" w:hAnsi="Times New Roman" w:cs="Times New Roman"/>
          <w:sz w:val="24"/>
          <w:szCs w:val="24"/>
        </w:rPr>
      </w:pPr>
    </w:p>
    <w:p w14:paraId="1D191D3D" w14:textId="2C71023D" w:rsidR="00832F98" w:rsidRDefault="00832F98">
      <w:pPr>
        <w:rPr>
          <w:rFonts w:ascii="Times New Roman" w:hAnsi="Times New Roman" w:cs="Times New Roman"/>
          <w:lang w:val="en-GB"/>
        </w:rPr>
      </w:pPr>
      <w:r>
        <w:rPr>
          <w:rFonts w:ascii="Times New Roman" w:hAnsi="Times New Roman" w:cs="Times New Roman"/>
          <w:lang w:val="en-GB"/>
        </w:rPr>
        <w:br w:type="page"/>
      </w:r>
    </w:p>
    <w:p w14:paraId="02816B70" w14:textId="77777777" w:rsidR="00832F98" w:rsidRPr="005107DF" w:rsidRDefault="00832F98" w:rsidP="007338F0">
      <w:pPr>
        <w:pStyle w:val="Heading1"/>
        <w:pBdr>
          <w:bottom w:val="single" w:sz="4" w:space="1" w:color="auto"/>
        </w:pBdr>
        <w:rPr>
          <w:sz w:val="24"/>
          <w:szCs w:val="24"/>
        </w:rPr>
      </w:pPr>
      <w:bookmarkStart w:id="1256" w:name="_Toc517434471"/>
      <w:bookmarkStart w:id="1257" w:name="_Toc2861038"/>
      <w:r>
        <w:lastRenderedPageBreak/>
        <w:t>ANNEXE B: COÛTS UNITAIRES ET TAUX FORFAITAIRES</w:t>
      </w:r>
      <w:bookmarkEnd w:id="1256"/>
      <w:bookmarkEnd w:id="1257"/>
    </w:p>
    <w:p w14:paraId="3A03510C" w14:textId="77777777" w:rsidR="00832F98" w:rsidRPr="005107DF" w:rsidRDefault="00832F98" w:rsidP="00D0198E">
      <w:pPr>
        <w:spacing w:after="0" w:line="240" w:lineRule="auto"/>
        <w:jc w:val="both"/>
        <w:rPr>
          <w:rFonts w:ascii="Times New Roman" w:eastAsia="Times New Roman" w:hAnsi="Times New Roman" w:cs="Times New Roman"/>
          <w:color w:val="000000"/>
          <w:sz w:val="20"/>
          <w:szCs w:val="20"/>
        </w:rPr>
      </w:pPr>
    </w:p>
    <w:p w14:paraId="2C491D64" w14:textId="77777777" w:rsidR="00832F98" w:rsidRPr="005107DF" w:rsidRDefault="00832F98" w:rsidP="00D0198E">
      <w:pPr>
        <w:spacing w:after="0" w:line="240" w:lineRule="auto"/>
        <w:jc w:val="both"/>
        <w:rPr>
          <w:rFonts w:ascii="Times New Roman" w:eastAsia="Times New Roman" w:hAnsi="Times New Roman" w:cs="Times New Roman"/>
          <w:color w:val="000000"/>
          <w:sz w:val="20"/>
          <w:szCs w:val="20"/>
        </w:rPr>
      </w:pPr>
    </w:p>
    <w:p w14:paraId="0BF9629E" w14:textId="77777777" w:rsidR="00832F98" w:rsidRPr="005107DF" w:rsidRDefault="00832F98" w:rsidP="00EB5D31">
      <w:pPr>
        <w:spacing w:before="360" w:after="0" w:line="240" w:lineRule="auto"/>
        <w:jc w:val="both"/>
        <w:rPr>
          <w:rFonts w:ascii="Times New Roman" w:eastAsia="Times New Roman" w:hAnsi="Times New Roman" w:cs="Times New Roman"/>
          <w:b/>
          <w:sz w:val="24"/>
          <w:szCs w:val="24"/>
        </w:rPr>
      </w:pPr>
      <w:r>
        <w:rPr>
          <w:rFonts w:ascii="Times New Roman" w:hAnsi="Times New Roman"/>
          <w:b/>
          <w:sz w:val="24"/>
        </w:rPr>
        <w:t>Conformément à la décision 1122 de la Commission du 21 février 2017 autorisant le remboursement sur la base de coûts unitaires et de taux forfaitaires dans le cadre de projets de jumelage mis en œuvre par les États membres au moyen de la coopération administrative entre pairs.</w:t>
      </w:r>
    </w:p>
    <w:p w14:paraId="79490057" w14:textId="77777777" w:rsidR="00832F98" w:rsidRPr="005107DF" w:rsidRDefault="00832F98" w:rsidP="00D0198E">
      <w:pPr>
        <w:spacing w:before="120" w:after="120"/>
        <w:jc w:val="both"/>
        <w:rPr>
          <w:rFonts w:ascii="Times New Roman" w:eastAsia="Times New Roman" w:hAnsi="Times New Roman" w:cs="Times New Roman"/>
          <w:b/>
          <w:sz w:val="24"/>
          <w:szCs w:val="24"/>
        </w:rPr>
      </w:pPr>
    </w:p>
    <w:p w14:paraId="009F0B9C" w14:textId="77777777" w:rsidR="00832F98" w:rsidRPr="005107DF" w:rsidRDefault="00832F98" w:rsidP="00D0198E">
      <w:pPr>
        <w:spacing w:before="120" w:after="120"/>
        <w:jc w:val="both"/>
        <w:rPr>
          <w:rFonts w:ascii="Times New Roman" w:eastAsia="Times New Roman" w:hAnsi="Times New Roman" w:cs="Times New Roman"/>
          <w:sz w:val="24"/>
          <w:szCs w:val="24"/>
        </w:rPr>
      </w:pPr>
      <w:r>
        <w:rPr>
          <w:rFonts w:ascii="Times New Roman" w:hAnsi="Times New Roman"/>
          <w:sz w:val="24"/>
        </w:rPr>
        <w:t>Les</w:t>
      </w:r>
      <w:r>
        <w:t xml:space="preserve"> </w:t>
      </w:r>
      <w:r>
        <w:rPr>
          <w:rFonts w:ascii="Times New Roman" w:hAnsi="Times New Roman"/>
          <w:b/>
          <w:sz w:val="24"/>
        </w:rPr>
        <w:t>subventions de jumelage</w:t>
      </w:r>
      <w:r>
        <w:rPr>
          <w:rFonts w:ascii="Times New Roman" w:hAnsi="Times New Roman"/>
          <w:sz w:val="24"/>
        </w:rPr>
        <w:t xml:space="preserve"> octroyées aux États membres prennent les formes suivantes:</w:t>
      </w:r>
    </w:p>
    <w:p w14:paraId="708D18D7" w14:textId="77777777" w:rsidR="00832F98" w:rsidRPr="005107DF" w:rsidRDefault="00832F98" w:rsidP="00D0198E">
      <w:pPr>
        <w:spacing w:before="120" w:after="120"/>
        <w:jc w:val="both"/>
        <w:rPr>
          <w:rFonts w:ascii="Times New Roman" w:eastAsia="Times New Roman" w:hAnsi="Times New Roman" w:cs="Times New Roman"/>
          <w:b/>
          <w:sz w:val="24"/>
          <w:szCs w:val="24"/>
        </w:rPr>
      </w:pPr>
    </w:p>
    <w:p w14:paraId="6FFEE0A5" w14:textId="19E9525B" w:rsidR="00832F98" w:rsidRPr="005107DF" w:rsidRDefault="00832F98" w:rsidP="00D0198E">
      <w:pPr>
        <w:spacing w:before="120" w:after="120"/>
        <w:jc w:val="both"/>
        <w:rPr>
          <w:rFonts w:ascii="Times New Roman" w:hAnsi="Times New Roman" w:cs="Times New Roman"/>
          <w:b/>
          <w:u w:val="single"/>
        </w:rPr>
      </w:pPr>
      <w:r>
        <w:rPr>
          <w:rFonts w:ascii="Times New Roman" w:hAnsi="Times New Roman"/>
          <w:b/>
          <w:sz w:val="24"/>
          <w:u w:val="single"/>
        </w:rPr>
        <w:t>1.1 Coûts unitaires couvrant les coûts éligibles suivants:</w:t>
      </w:r>
    </w:p>
    <w:p w14:paraId="1FFD1EF1" w14:textId="77777777" w:rsidR="00832F98" w:rsidRPr="005107DF" w:rsidRDefault="00832F98" w:rsidP="00D0198E">
      <w:pPr>
        <w:jc w:val="both"/>
        <w:rPr>
          <w:rFonts w:ascii="Times New Roman" w:hAnsi="Times New Roman" w:cs="Times New Roman"/>
        </w:rPr>
      </w:pPr>
      <w:r>
        <w:rPr>
          <w:rFonts w:ascii="Times New Roman" w:hAnsi="Times New Roman"/>
          <w:sz w:val="24"/>
        </w:rPr>
        <w:t>a) la rémunération mensuelle et les coûts non salariaux du conseiller résident de jumelage (CRJ);</w:t>
      </w:r>
    </w:p>
    <w:p w14:paraId="4C98C6E9" w14:textId="77777777" w:rsidR="00832F98" w:rsidRPr="005107DF" w:rsidRDefault="00832F98" w:rsidP="00D0198E">
      <w:pPr>
        <w:jc w:val="both"/>
        <w:rPr>
          <w:rFonts w:ascii="Times New Roman" w:hAnsi="Times New Roman" w:cs="Times New Roman"/>
        </w:rPr>
      </w:pPr>
      <w:r>
        <w:rPr>
          <w:rFonts w:ascii="Times New Roman" w:hAnsi="Times New Roman"/>
          <w:sz w:val="24"/>
        </w:rPr>
        <w:t>b) le paiement mensuel des services fournis par le ou les assistants du CRJ;</w:t>
      </w:r>
    </w:p>
    <w:p w14:paraId="1C13BDCD" w14:textId="77777777" w:rsidR="00832F98" w:rsidRPr="005107DF" w:rsidRDefault="00832F98" w:rsidP="00D0198E">
      <w:pPr>
        <w:jc w:val="both"/>
        <w:rPr>
          <w:rFonts w:ascii="Times New Roman" w:hAnsi="Times New Roman" w:cs="Times New Roman"/>
        </w:rPr>
      </w:pPr>
      <w:r>
        <w:rPr>
          <w:rFonts w:ascii="Times New Roman" w:hAnsi="Times New Roman"/>
          <w:sz w:val="24"/>
        </w:rPr>
        <w:t>c) l’indemnité journalière, à savoir l’indemnité journalière forfaitaire, destinée à compenser l’absence dans leurs fonctions des fonctionnaires ou agents assimilés des États membres détachés dans le pays bénéficiaire en tant qu’experts de jumelage à court terme;</w:t>
      </w:r>
    </w:p>
    <w:p w14:paraId="3C651D31" w14:textId="77777777" w:rsidR="00832F98" w:rsidRPr="005107DF" w:rsidRDefault="00832F98" w:rsidP="00D0198E">
      <w:pPr>
        <w:jc w:val="both"/>
        <w:rPr>
          <w:rFonts w:ascii="Times New Roman" w:hAnsi="Times New Roman" w:cs="Times New Roman"/>
        </w:rPr>
      </w:pPr>
      <w:r>
        <w:rPr>
          <w:rFonts w:ascii="Times New Roman" w:hAnsi="Times New Roman"/>
          <w:sz w:val="24"/>
        </w:rPr>
        <w:t>d) l’allocation mensuelle de voyage du CRJ qui ne s’installe pas dans le pays bénéficiaire avec ses effets personnels et/ou sa famille - ne peut être cumulé avec le point e);</w:t>
      </w:r>
    </w:p>
    <w:p w14:paraId="0E1DB1BA" w14:textId="77777777" w:rsidR="00832F98" w:rsidRPr="005107DF" w:rsidRDefault="00832F98" w:rsidP="00D0198E">
      <w:pPr>
        <w:jc w:val="both"/>
        <w:rPr>
          <w:rFonts w:ascii="Times New Roman" w:hAnsi="Times New Roman" w:cs="Times New Roman"/>
        </w:rPr>
      </w:pPr>
      <w:r>
        <w:rPr>
          <w:rFonts w:ascii="Times New Roman" w:hAnsi="Times New Roman"/>
          <w:sz w:val="24"/>
        </w:rPr>
        <w:t>e) l’allocation annuelle de voyage du CRJ et de chacun des membres de sa famille qui l’accompagnent - ne peut être cumulé avec le point d);</w:t>
      </w:r>
    </w:p>
    <w:p w14:paraId="2437E6A4" w14:textId="77777777" w:rsidR="00832F98" w:rsidRPr="005107DF" w:rsidRDefault="00832F98" w:rsidP="00D0198E">
      <w:pPr>
        <w:jc w:val="both"/>
        <w:rPr>
          <w:rFonts w:ascii="Times New Roman" w:hAnsi="Times New Roman" w:cs="Times New Roman"/>
        </w:rPr>
      </w:pPr>
      <w:r>
        <w:rPr>
          <w:rFonts w:ascii="Times New Roman" w:hAnsi="Times New Roman"/>
          <w:sz w:val="24"/>
        </w:rPr>
        <w:t>f) l’allocation de voyage des experts à court terme qui se rendent en mission dans le pays bénéficiaire;</w:t>
      </w:r>
    </w:p>
    <w:p w14:paraId="0F97F2A7" w14:textId="77777777" w:rsidR="00832F98" w:rsidRPr="005107DF" w:rsidRDefault="00832F98" w:rsidP="00D0198E">
      <w:pPr>
        <w:jc w:val="both"/>
        <w:rPr>
          <w:rFonts w:ascii="Times New Roman" w:hAnsi="Times New Roman" w:cs="Times New Roman"/>
        </w:rPr>
      </w:pPr>
      <w:r>
        <w:rPr>
          <w:rFonts w:ascii="Times New Roman" w:hAnsi="Times New Roman"/>
          <w:sz w:val="24"/>
        </w:rPr>
        <w:t>g) l’indemnité journalière du CRJ visant à couvrir les frais supplémentaires liés à la vie quotidienne dans le pays bénéficiaire, qui incluent entre autres l’hébergement et les assurances;</w:t>
      </w:r>
    </w:p>
    <w:p w14:paraId="5344B8AC" w14:textId="77777777" w:rsidR="00832F98" w:rsidRPr="005107DF" w:rsidRDefault="00832F98" w:rsidP="00D0198E">
      <w:pPr>
        <w:jc w:val="both"/>
        <w:rPr>
          <w:rFonts w:ascii="Times New Roman" w:hAnsi="Times New Roman" w:cs="Times New Roman"/>
        </w:rPr>
      </w:pPr>
      <w:r>
        <w:rPr>
          <w:rFonts w:ascii="Times New Roman" w:hAnsi="Times New Roman"/>
          <w:sz w:val="24"/>
        </w:rPr>
        <w:t>h) l’indemnité journalière des experts à court terme durant leur mission dans le pays bénéficiaire destinée à couvrir entre autres l’hébergement, les transports sur place, les repas et les menues dépenses;</w:t>
      </w:r>
    </w:p>
    <w:p w14:paraId="0E6D8DAE" w14:textId="77777777" w:rsidR="00832F98" w:rsidRPr="005107DF" w:rsidRDefault="00832F98" w:rsidP="00D0198E">
      <w:pPr>
        <w:jc w:val="both"/>
        <w:rPr>
          <w:rFonts w:ascii="Times New Roman" w:hAnsi="Times New Roman" w:cs="Times New Roman"/>
        </w:rPr>
      </w:pPr>
      <w:r>
        <w:rPr>
          <w:rFonts w:ascii="Times New Roman" w:hAnsi="Times New Roman"/>
          <w:sz w:val="24"/>
        </w:rPr>
        <w:t>i) l’indemnité journalière des fonctionnaires ou agents assimilés de l’administration bénéficiaire durant leurs visites d’étude dans un État membre, destinée à couvrir entre autres l’hébergement, les transports sur place, les repas et les menues dépenses.</w:t>
      </w:r>
    </w:p>
    <w:p w14:paraId="1BE114F8" w14:textId="0DD175F9" w:rsidR="00832F98" w:rsidRPr="005107DF" w:rsidRDefault="00832F98" w:rsidP="00D0198E">
      <w:pPr>
        <w:jc w:val="both"/>
        <w:rPr>
          <w:rFonts w:ascii="Times New Roman" w:hAnsi="Times New Roman" w:cs="Times New Roman"/>
          <w:b/>
          <w:u w:val="single"/>
        </w:rPr>
      </w:pPr>
      <w:r>
        <w:rPr>
          <w:rFonts w:ascii="Times New Roman" w:hAnsi="Times New Roman"/>
          <w:b/>
          <w:sz w:val="24"/>
          <w:u w:val="single"/>
        </w:rPr>
        <w:t>1.2 Taux forfaitaires couvrant les coûts éligibles suivants:</w:t>
      </w:r>
    </w:p>
    <w:p w14:paraId="24EE2FE2" w14:textId="77777777" w:rsidR="00832F98" w:rsidRPr="005107DF" w:rsidRDefault="00832F98" w:rsidP="00D0198E">
      <w:pPr>
        <w:spacing w:before="120" w:after="120"/>
        <w:jc w:val="both"/>
        <w:rPr>
          <w:rFonts w:ascii="Times New Roman" w:eastAsia="Times New Roman" w:hAnsi="Times New Roman" w:cs="Times New Roman"/>
          <w:sz w:val="24"/>
          <w:szCs w:val="24"/>
        </w:rPr>
      </w:pPr>
      <w:r>
        <w:rPr>
          <w:rFonts w:ascii="Times New Roman" w:hAnsi="Times New Roman"/>
          <w:sz w:val="24"/>
        </w:rPr>
        <w:t>Coûts de soutien aux projets de jumelage et en particulier les frais liés aux tâches exécutées en dehors du pays bénéficiaire par des fonctionnaires ou des agents assimilés de l’État membre. Ces tâches incluent entre autres:</w:t>
      </w:r>
    </w:p>
    <w:p w14:paraId="60AFB702" w14:textId="77777777" w:rsidR="00832F98" w:rsidRPr="005107DF" w:rsidRDefault="00832F98" w:rsidP="00D0198E">
      <w:pPr>
        <w:spacing w:before="120" w:after="120"/>
        <w:jc w:val="both"/>
        <w:rPr>
          <w:rFonts w:ascii="Times New Roman" w:eastAsia="Times New Roman" w:hAnsi="Times New Roman" w:cs="Times New Roman"/>
          <w:sz w:val="24"/>
          <w:szCs w:val="24"/>
        </w:rPr>
      </w:pPr>
      <w:r>
        <w:rPr>
          <w:rFonts w:ascii="Times New Roman" w:hAnsi="Times New Roman"/>
          <w:sz w:val="24"/>
        </w:rPr>
        <w:lastRenderedPageBreak/>
        <w:t>- la préparation et le suivi des missions, l’analyse des actes juridiques, la rédaction de documents et de lignes directrices, l’établissement de rapports;</w:t>
      </w:r>
    </w:p>
    <w:p w14:paraId="500CB39F" w14:textId="77777777" w:rsidR="00832F98" w:rsidRPr="005107DF" w:rsidRDefault="00832F98" w:rsidP="00D0198E">
      <w:pPr>
        <w:spacing w:before="120" w:after="120"/>
        <w:jc w:val="both"/>
        <w:rPr>
          <w:rFonts w:ascii="Times New Roman" w:eastAsia="Times New Roman" w:hAnsi="Times New Roman" w:cs="Times New Roman"/>
          <w:sz w:val="24"/>
          <w:szCs w:val="24"/>
        </w:rPr>
      </w:pPr>
      <w:r>
        <w:rPr>
          <w:rFonts w:ascii="Times New Roman" w:hAnsi="Times New Roman"/>
          <w:sz w:val="24"/>
        </w:rPr>
        <w:t xml:space="preserve">- la préparation et la réalisation d’activités pour le personnel des administrations bénéficiaires au cours des visites d’étude dans les États membres; </w:t>
      </w:r>
    </w:p>
    <w:p w14:paraId="1253CA2F" w14:textId="77777777" w:rsidR="00832F98" w:rsidRPr="005107DF" w:rsidRDefault="00832F98" w:rsidP="00D0198E">
      <w:pPr>
        <w:jc w:val="both"/>
        <w:rPr>
          <w:rFonts w:ascii="Times New Roman" w:eastAsia="Times New Roman" w:hAnsi="Times New Roman" w:cs="Times New Roman"/>
          <w:sz w:val="24"/>
          <w:szCs w:val="24"/>
        </w:rPr>
      </w:pPr>
      <w:r>
        <w:rPr>
          <w:rFonts w:ascii="Times New Roman" w:hAnsi="Times New Roman"/>
          <w:sz w:val="24"/>
        </w:rPr>
        <w:t>- la coordination et la supervision des activités par le(s) chef(s) de projet du ou des États membres.</w:t>
      </w:r>
    </w:p>
    <w:p w14:paraId="3380245F" w14:textId="77777777" w:rsidR="00832F98" w:rsidRPr="005107DF" w:rsidRDefault="00832F98" w:rsidP="00D0198E">
      <w:pPr>
        <w:rPr>
          <w:rFonts w:ascii="Times New Roman" w:eastAsia="Times New Roman" w:hAnsi="Times New Roman" w:cs="Times New Roman"/>
          <w:sz w:val="24"/>
          <w:szCs w:val="24"/>
        </w:rPr>
      </w:pPr>
      <w:r>
        <w:rPr>
          <w:rFonts w:ascii="Times New Roman" w:hAnsi="Times New Roman"/>
          <w:sz w:val="24"/>
        </w:rPr>
        <w:t xml:space="preserve">Les montants des coûts unitaires et des taux forfaitaires sont calculés selon la méthode établie au point 2. </w:t>
      </w:r>
    </w:p>
    <w:p w14:paraId="56002C4C" w14:textId="24D5F84F" w:rsidR="00832F98" w:rsidRPr="005107DF" w:rsidRDefault="00832F98" w:rsidP="008B7A5B">
      <w:pPr>
        <w:jc w:val="both"/>
        <w:rPr>
          <w:rFonts w:ascii="Times New Roman" w:eastAsia="Times New Roman" w:hAnsi="Times New Roman" w:cs="Times New Roman"/>
          <w:sz w:val="24"/>
          <w:szCs w:val="24"/>
          <w:u w:val="single"/>
        </w:rPr>
      </w:pPr>
      <w:r>
        <w:rPr>
          <w:rFonts w:ascii="Times New Roman" w:hAnsi="Times New Roman"/>
          <w:sz w:val="24"/>
          <w:u w:val="single"/>
        </w:rPr>
        <w:t xml:space="preserve">1.3 Tous les autres coûts éligibles (entre autres) </w:t>
      </w:r>
    </w:p>
    <w:p w14:paraId="5FB04D01" w14:textId="77777777" w:rsidR="00832F98" w:rsidRPr="005107DF" w:rsidRDefault="00832F98" w:rsidP="00D0198E">
      <w:pPr>
        <w:rPr>
          <w:rFonts w:ascii="Times New Roman" w:hAnsi="Times New Roman" w:cs="Times New Roman"/>
          <w:iCs/>
          <w:sz w:val="24"/>
          <w:szCs w:val="24"/>
        </w:rPr>
      </w:pPr>
      <w:r>
        <w:rPr>
          <w:rFonts w:ascii="Times New Roman" w:hAnsi="Times New Roman"/>
          <w:sz w:val="24"/>
        </w:rPr>
        <w:t xml:space="preserve">- les frais d’interprétation, </w:t>
      </w:r>
    </w:p>
    <w:p w14:paraId="098700B3" w14:textId="77777777" w:rsidR="00832F98" w:rsidRPr="005107DF" w:rsidRDefault="00832F98" w:rsidP="00D0198E">
      <w:pPr>
        <w:rPr>
          <w:rFonts w:ascii="Times New Roman" w:hAnsi="Times New Roman" w:cs="Times New Roman"/>
          <w:iCs/>
          <w:sz w:val="24"/>
          <w:szCs w:val="24"/>
        </w:rPr>
      </w:pPr>
      <w:r>
        <w:rPr>
          <w:rFonts w:ascii="Times New Roman" w:hAnsi="Times New Roman"/>
          <w:sz w:val="24"/>
        </w:rPr>
        <w:t xml:space="preserve">- les frais de traduction et les frais liés à la visibilité des activités, </w:t>
      </w:r>
    </w:p>
    <w:p w14:paraId="1B3284A2" w14:textId="77777777" w:rsidR="00832F98" w:rsidRPr="005107DF" w:rsidRDefault="00832F98" w:rsidP="00D0198E">
      <w:pPr>
        <w:rPr>
          <w:rFonts w:ascii="Times New Roman" w:hAnsi="Times New Roman" w:cs="Times New Roman"/>
          <w:iCs/>
          <w:sz w:val="24"/>
          <w:szCs w:val="24"/>
        </w:rPr>
      </w:pPr>
      <w:r>
        <w:rPr>
          <w:rFonts w:ascii="Times New Roman" w:hAnsi="Times New Roman"/>
          <w:sz w:val="24"/>
        </w:rPr>
        <w:t>- etc.</w:t>
      </w:r>
    </w:p>
    <w:p w14:paraId="7C16F7C4" w14:textId="77777777" w:rsidR="00832F98" w:rsidRPr="005107DF" w:rsidRDefault="00832F98" w:rsidP="00D0198E">
      <w:pPr>
        <w:rPr>
          <w:rFonts w:ascii="Times New Roman" w:hAnsi="Times New Roman" w:cs="Times New Roman"/>
          <w:iCs/>
          <w:sz w:val="24"/>
          <w:szCs w:val="24"/>
        </w:rPr>
      </w:pPr>
      <w:r>
        <w:rPr>
          <w:rFonts w:ascii="Times New Roman" w:hAnsi="Times New Roman"/>
          <w:sz w:val="24"/>
        </w:rPr>
        <w:t>sont couverts sur la base d’un remboursement des coûts réellement engagés.</w:t>
      </w:r>
    </w:p>
    <w:p w14:paraId="182C0DE5" w14:textId="77777777" w:rsidR="00832F98" w:rsidRPr="005107DF" w:rsidRDefault="00832F98" w:rsidP="00D0198E">
      <w:pPr>
        <w:jc w:val="both"/>
        <w:rPr>
          <w:rFonts w:ascii="Times New Roman" w:hAnsi="Times New Roman" w:cs="Times New Roman"/>
        </w:rPr>
      </w:pPr>
      <w:r>
        <w:rPr>
          <w:rFonts w:ascii="Times New Roman" w:hAnsi="Times New Roman"/>
          <w:b/>
          <w:sz w:val="24"/>
        </w:rPr>
        <w:t>2. Méthode de calcul des coûts unitaires</w:t>
      </w:r>
    </w:p>
    <w:p w14:paraId="6D1DCF0C" w14:textId="77777777" w:rsidR="00832F98" w:rsidRPr="005107DF" w:rsidRDefault="00832F98" w:rsidP="00D0198E">
      <w:pPr>
        <w:jc w:val="both"/>
        <w:rPr>
          <w:rFonts w:ascii="Times New Roman" w:hAnsi="Times New Roman" w:cs="Times New Roman"/>
          <w:u w:val="single"/>
        </w:rPr>
      </w:pPr>
      <w:r>
        <w:rPr>
          <w:rFonts w:ascii="Times New Roman" w:hAnsi="Times New Roman"/>
          <w:sz w:val="24"/>
          <w:u w:val="single"/>
        </w:rPr>
        <w:t>2.1 Rémunération mensuelle et coûts non salariaux du CRJ</w:t>
      </w:r>
    </w:p>
    <w:p w14:paraId="2B9CFCCA" w14:textId="77777777" w:rsidR="00832F98" w:rsidRPr="005107DF" w:rsidRDefault="00832F98" w:rsidP="00D0198E">
      <w:pPr>
        <w:jc w:val="both"/>
        <w:rPr>
          <w:rFonts w:ascii="Times New Roman" w:hAnsi="Times New Roman" w:cs="Times New Roman"/>
        </w:rPr>
      </w:pPr>
      <w:r>
        <w:rPr>
          <w:rFonts w:ascii="Times New Roman" w:hAnsi="Times New Roman"/>
          <w:sz w:val="24"/>
        </w:rPr>
        <w:t>La désignation d’un fonctionnaire ou agent assimilé en tant que CRJ dans le cadre d’un projet de jumelage a pour effet d’éloigner la personne concernée de ses fonctions au sein de son institution pour une période d’une durée moyenne, selon les données empiriques, de 18 mois. Tous les coûts supportés par une institution pour la rémunération d’un membre de son personnel désigné en tant que CRJ sont indemnisés intégralement.</w:t>
      </w:r>
    </w:p>
    <w:p w14:paraId="409AADEB" w14:textId="77777777" w:rsidR="00832F98" w:rsidRPr="005107DF" w:rsidRDefault="00832F98" w:rsidP="00D0198E">
      <w:pPr>
        <w:jc w:val="both"/>
        <w:rPr>
          <w:rFonts w:ascii="Times New Roman" w:hAnsi="Times New Roman" w:cs="Times New Roman"/>
        </w:rPr>
      </w:pPr>
      <w:r>
        <w:rPr>
          <w:rFonts w:ascii="Times New Roman" w:hAnsi="Times New Roman"/>
          <w:sz w:val="24"/>
        </w:rPr>
        <w:t xml:space="preserve">L’institution qui détache le CRJ reçoit un remboursement correspondant à la rémunération du CRJ sur la base d’une déclaration comptable analytique correspondant au dernier exercice comptable clôturé, en tenant pleinement compte de tous les droits statutaires prévus dans la législation relative à la fonction publique de l’État membre concerné (entre autres, le salaire, les incitations financières, les régimes de primes statutaires et les modifications de salaires prévisibles). Le taux mensuel est calculé sur la base des coûts estimés pour les mois d’affectation, divisés par le nombre de mois d’affectation. </w:t>
      </w:r>
    </w:p>
    <w:p w14:paraId="090EF6BA" w14:textId="77777777" w:rsidR="00832F98" w:rsidRPr="005107DF" w:rsidRDefault="00832F98" w:rsidP="00D0198E">
      <w:pPr>
        <w:jc w:val="both"/>
        <w:rPr>
          <w:rFonts w:ascii="Times New Roman" w:hAnsi="Times New Roman" w:cs="Times New Roman"/>
        </w:rPr>
      </w:pPr>
      <w:r>
        <w:rPr>
          <w:rFonts w:ascii="Times New Roman" w:hAnsi="Times New Roman"/>
          <w:sz w:val="24"/>
        </w:rPr>
        <w:t>De même, l’institution qui détache le CRJ reçoit un remboursement équivalant aux coûts non salariaux supportés pour le CRJ, notamment les cotisations obligatoires de sécurité sociale (maladie, pension, chômage), sur la base d’une déclaration comptable analytique correspondant au dernier exercice comptable clôturé. Les coûts non salariaux de la main-d’œuvre devraient tenir pleinement compte des droits statutaires prévus dans la législation relative à la fonction publique de l’État membre, en particulier les droits des fonctionnaires travaillant à l’étranger, les indemnités familiales et les assurances.</w:t>
      </w:r>
    </w:p>
    <w:p w14:paraId="1E1BF5B2" w14:textId="77777777" w:rsidR="00832F98" w:rsidRPr="005107DF" w:rsidRDefault="00832F98" w:rsidP="00D0198E">
      <w:pPr>
        <w:jc w:val="both"/>
        <w:rPr>
          <w:rFonts w:ascii="Times New Roman" w:hAnsi="Times New Roman" w:cs="Times New Roman"/>
          <w:sz w:val="24"/>
          <w:szCs w:val="24"/>
        </w:rPr>
      </w:pPr>
      <w:r>
        <w:rPr>
          <w:rFonts w:ascii="Times New Roman" w:hAnsi="Times New Roman"/>
          <w:sz w:val="24"/>
        </w:rPr>
        <w:t>Lorsqu’ils remettent leurs déclarations comptables analytiques, les États membres prennent soin de préciser tous les éléments qui ont été pris en considération.</w:t>
      </w:r>
    </w:p>
    <w:p w14:paraId="31AD6304" w14:textId="77777777" w:rsidR="00832F98" w:rsidRPr="005107DF" w:rsidRDefault="00832F98" w:rsidP="00D0198E">
      <w:pPr>
        <w:jc w:val="both"/>
        <w:rPr>
          <w:rFonts w:ascii="Times New Roman" w:hAnsi="Times New Roman" w:cs="Times New Roman"/>
        </w:rPr>
      </w:pPr>
      <w:r>
        <w:rPr>
          <w:rFonts w:ascii="Times New Roman" w:hAnsi="Times New Roman"/>
          <w:sz w:val="24"/>
        </w:rPr>
        <w:lastRenderedPageBreak/>
        <w:t>Pour ce qui est des salaires, il convient de mentionner le traitement de base et les avantages statutaires. Le traitement de base est déterminé en fonction de la catégorie salariale: les fonctions exercées par le fonctionnaire ne sont alors pas prises en compte et seule la catégorie salariale fixée sur la base des régimes officiels de rémunération dans la fonction publique au niveau national ou local est considérée. Les autres coûts statutaires comprennent les rémunérations supplémentaires qui se présentent sous la forme de prestations légales liées à des fonctions, responsabilités et/ou conditions particulières, ainsi que des éléments spécifiques du salaire qui ne font pas l’objet d’un paiement mensuel (par exemple, les primes de vacances ou le traitement mensuel supplémentaire versé à la fin de l’année). Étant donné que la diversité des conditions législatives nationales liées à la rémunération du personnel ne permet pas d’établir une liste exhaustive des différents coûts éligibles, les États membres sont guidés par le principe selon lequel peuvent être inclus les coûts qui sont conformes à leur politique habituelle de rémunération et qui sont conformes à la législation nationale. Les primes extra-légales, non obligatoires et discrétionnaires ne sont pas incluses.</w:t>
      </w:r>
    </w:p>
    <w:p w14:paraId="63BC5084" w14:textId="77777777" w:rsidR="00832F98" w:rsidRPr="005107DF" w:rsidRDefault="00832F98" w:rsidP="00D0198E">
      <w:pPr>
        <w:jc w:val="both"/>
        <w:rPr>
          <w:rFonts w:ascii="Times New Roman" w:hAnsi="Times New Roman" w:cs="Times New Roman"/>
        </w:rPr>
      </w:pPr>
      <w:r>
        <w:rPr>
          <w:rFonts w:ascii="Times New Roman" w:hAnsi="Times New Roman"/>
          <w:sz w:val="24"/>
        </w:rPr>
        <w:t>Pour ce qui est des coûts non salariaux de la main-d’œuvre, ce sont les cotisations sociales versées par l’employeur qui doivent être considérées, telles que les cotisations d’assurance, maladie, invalidité et chômage et les autres cotisations statutaires.</w:t>
      </w:r>
    </w:p>
    <w:p w14:paraId="4A69BD68" w14:textId="77777777" w:rsidR="00832F98" w:rsidRPr="005107DF" w:rsidRDefault="00832F98" w:rsidP="00D0198E">
      <w:pPr>
        <w:jc w:val="both"/>
        <w:rPr>
          <w:rFonts w:ascii="Times New Roman" w:hAnsi="Times New Roman" w:cs="Times New Roman"/>
          <w:u w:val="single"/>
        </w:rPr>
      </w:pPr>
      <w:r>
        <w:rPr>
          <w:rFonts w:ascii="Times New Roman" w:hAnsi="Times New Roman"/>
          <w:sz w:val="24"/>
          <w:u w:val="single"/>
        </w:rPr>
        <w:t>2.2 Fonctions remplies par le ou les assistants CRJ</w:t>
      </w:r>
    </w:p>
    <w:p w14:paraId="5594165F" w14:textId="77777777" w:rsidR="00832F98" w:rsidRPr="005107DF" w:rsidRDefault="00832F98" w:rsidP="00D0198E">
      <w:pPr>
        <w:jc w:val="both"/>
        <w:rPr>
          <w:rFonts w:ascii="Times New Roman" w:hAnsi="Times New Roman" w:cs="Times New Roman"/>
        </w:rPr>
      </w:pPr>
      <w:r>
        <w:rPr>
          <w:rFonts w:ascii="Times New Roman" w:hAnsi="Times New Roman"/>
          <w:sz w:val="24"/>
        </w:rPr>
        <w:t>Un CRJ est normalement assisté par un (ou exceptionnellement plusieurs) assistant linguistique ou administratif à temps plein, ou par un assistant qui remplit à la fois le rôle d’assistant linguistique et administratif, dont la rémunération mensuelle est portée au budget en tant que coûts unitaires mensuels, sur la base de la valeur du ou des contrats signés divisée par le nombre de mois de la durée du contrat, à la suite d’une procédure de passation de marchés publics et fixée au cas par cas en tenant compte des conditions qui prévalent dans le pays bénéficiaire et des indications fournies par la délégation de l’UE locale.</w:t>
      </w:r>
    </w:p>
    <w:p w14:paraId="2D2B2151" w14:textId="77777777" w:rsidR="00832F98" w:rsidRPr="005107DF" w:rsidRDefault="00832F98" w:rsidP="00D0198E">
      <w:pPr>
        <w:jc w:val="both"/>
        <w:rPr>
          <w:rFonts w:ascii="Times New Roman" w:hAnsi="Times New Roman" w:cs="Times New Roman"/>
          <w:u w:val="single"/>
        </w:rPr>
      </w:pPr>
      <w:r>
        <w:rPr>
          <w:rFonts w:ascii="Times New Roman" w:hAnsi="Times New Roman"/>
          <w:sz w:val="24"/>
          <w:u w:val="single"/>
        </w:rPr>
        <w:t>2.3 Experts à court terme en jumelage</w:t>
      </w:r>
    </w:p>
    <w:p w14:paraId="6AA9DBFE" w14:textId="77777777" w:rsidR="00832F98" w:rsidRPr="005107DF" w:rsidRDefault="00832F98" w:rsidP="00D0198E">
      <w:pPr>
        <w:jc w:val="both"/>
        <w:rPr>
          <w:rFonts w:ascii="Times New Roman" w:hAnsi="Times New Roman" w:cs="Times New Roman"/>
        </w:rPr>
      </w:pPr>
      <w:r>
        <w:rPr>
          <w:rFonts w:ascii="Times New Roman" w:hAnsi="Times New Roman"/>
          <w:sz w:val="24"/>
        </w:rPr>
        <w:t>Les États membres reçoivent une indemnité journalière forfaitaire pour compenser l’absence à leur poste des fonctionnaires ou agents assimilés qui agissent en tant qu’experts en jumelage à court terme, ce qui signifie qu’ils sont détachés pour une durée inférieure à 29 jours calendrier consécutifs dans le pays bénéficiaire.</w:t>
      </w:r>
    </w:p>
    <w:p w14:paraId="116988A0" w14:textId="77777777" w:rsidR="00832F98" w:rsidRPr="005107DF" w:rsidRDefault="00832F98" w:rsidP="00D0198E">
      <w:pPr>
        <w:jc w:val="both"/>
        <w:rPr>
          <w:rFonts w:ascii="Times New Roman" w:eastAsia="Times New Roman" w:hAnsi="Times New Roman" w:cs="Times New Roman"/>
          <w:sz w:val="24"/>
          <w:szCs w:val="24"/>
        </w:rPr>
      </w:pPr>
      <w:r>
        <w:rPr>
          <w:rFonts w:ascii="Times New Roman" w:hAnsi="Times New Roman"/>
          <w:sz w:val="24"/>
        </w:rPr>
        <w:t xml:space="preserve">Le montant approprié de cette indemnité est déterminé en fonction des niveaux de salaire du CRJ, puisque les experts à court terme sont issus généralement, mais pas toujours, de la même institution que le CRJ. </w:t>
      </w:r>
    </w:p>
    <w:p w14:paraId="18AB2470" w14:textId="4A2FDAD4" w:rsidR="00832F98" w:rsidRDefault="00832F98" w:rsidP="00D0198E">
      <w:pPr>
        <w:jc w:val="both"/>
        <w:rPr>
          <w:rFonts w:ascii="Times New Roman" w:hAnsi="Times New Roman"/>
          <w:sz w:val="24"/>
        </w:rPr>
      </w:pPr>
      <w:r>
        <w:rPr>
          <w:rFonts w:ascii="Times New Roman" w:hAnsi="Times New Roman"/>
          <w:sz w:val="24"/>
        </w:rPr>
        <w:t>L’analyse globale d’une grande quantité de données disponibles a permis de conclure que la moyenne pondérée des salaires annuels d’un CRJ est légèrement supérieure à 75 000 EUR. Si l’on considère qu’une année compte 215 jours ouvrables, l’indemnité journalière forfaitaire à verser aux États membres pour compenser l’absence de fonctionnaires et agents assimilés en tant qu’experts en jumelage à court terme est donc équivalente à 75 000 EUR: 215 = 348,8 arrondis à 350 EUR/jour.</w:t>
      </w:r>
    </w:p>
    <w:p w14:paraId="28EADD25" w14:textId="77777777" w:rsidR="00BA0D9E" w:rsidRPr="005107DF" w:rsidRDefault="00BA0D9E" w:rsidP="00D0198E">
      <w:pPr>
        <w:jc w:val="both"/>
        <w:rPr>
          <w:rFonts w:ascii="Times New Roman" w:hAnsi="Times New Roman" w:cs="Times New Roman"/>
        </w:rPr>
      </w:pPr>
    </w:p>
    <w:p w14:paraId="78A1AD02" w14:textId="77777777" w:rsidR="00832F98" w:rsidRPr="005107DF" w:rsidRDefault="00832F98" w:rsidP="00D0198E">
      <w:pPr>
        <w:jc w:val="both"/>
        <w:rPr>
          <w:rFonts w:ascii="Times New Roman" w:hAnsi="Times New Roman" w:cs="Times New Roman"/>
          <w:u w:val="single"/>
        </w:rPr>
      </w:pPr>
      <w:r>
        <w:rPr>
          <w:rFonts w:ascii="Times New Roman" w:hAnsi="Times New Roman"/>
          <w:sz w:val="24"/>
          <w:u w:val="single"/>
        </w:rPr>
        <w:lastRenderedPageBreak/>
        <w:t>2.4 Allocations de voyage du CRJ</w:t>
      </w:r>
    </w:p>
    <w:p w14:paraId="6D771B23" w14:textId="77777777" w:rsidR="00832F98" w:rsidRPr="005107DF" w:rsidRDefault="00832F98" w:rsidP="00D0198E">
      <w:pPr>
        <w:jc w:val="both"/>
        <w:rPr>
          <w:rFonts w:ascii="Times New Roman" w:hAnsi="Times New Roman" w:cs="Times New Roman"/>
        </w:rPr>
      </w:pPr>
      <w:r>
        <w:rPr>
          <w:rFonts w:ascii="Times New Roman" w:hAnsi="Times New Roman"/>
          <w:sz w:val="24"/>
        </w:rPr>
        <w:t>Si le CRJ se rend dans le pays bénéficiaire sans effets personnels et/ou sans être accompagné de membres de sa famille, les frais de voyage peuvent être compensés par une allocation de voyage mensuelle destinée à couvrir les frais d’aller et retour avec un bagage enregistré. Le montant de cette allocation mensuelle est établi sur la base de l’offre économiquement la plus favorable parmi celles présentées par trois agences de voyage avant la signature du contrat de jumelage. Ces offres sont approuvées par l’autorité qui signe le contrat de jumelage.</w:t>
      </w:r>
    </w:p>
    <w:p w14:paraId="0D58FFD6" w14:textId="77777777" w:rsidR="00832F98" w:rsidRPr="005107DF" w:rsidRDefault="00832F98" w:rsidP="00D0198E">
      <w:pPr>
        <w:jc w:val="both"/>
        <w:rPr>
          <w:rFonts w:ascii="Times New Roman" w:hAnsi="Times New Roman" w:cs="Times New Roman"/>
        </w:rPr>
      </w:pPr>
      <w:r>
        <w:rPr>
          <w:rFonts w:ascii="Times New Roman" w:hAnsi="Times New Roman"/>
          <w:sz w:val="24"/>
        </w:rPr>
        <w:t>Si le CRJ se rend dans le pays bénéficiaire avec ses effets personnels et/ou accompagné de membres de sa famille, les frais de voyage peuvent être compensés par une allocation de voyage annuelle destinée à couvrir les frais d’aller et retour avec un bagage enregistré pour le CRJ et chacun des membres de sa famille qui l’accompagnent. Le montant de cette allocation annuelle est établi selon la même méthode que celle indiquée pour l’allocation mensuelle.</w:t>
      </w:r>
    </w:p>
    <w:p w14:paraId="2A5B5A6F" w14:textId="77777777" w:rsidR="00832F98" w:rsidRPr="005107DF" w:rsidRDefault="00832F98" w:rsidP="00D0198E">
      <w:pPr>
        <w:jc w:val="both"/>
        <w:rPr>
          <w:rFonts w:ascii="Times New Roman" w:hAnsi="Times New Roman" w:cs="Times New Roman"/>
          <w:u w:val="single"/>
        </w:rPr>
      </w:pPr>
      <w:r>
        <w:rPr>
          <w:rFonts w:ascii="Times New Roman" w:hAnsi="Times New Roman"/>
          <w:sz w:val="24"/>
          <w:u w:val="single"/>
        </w:rPr>
        <w:t>2.5 Allocation de voyage pour les experts à court terme</w:t>
      </w:r>
    </w:p>
    <w:p w14:paraId="0DA915D1" w14:textId="77777777" w:rsidR="00832F98" w:rsidRPr="005107DF" w:rsidRDefault="00832F98" w:rsidP="00D0198E">
      <w:pPr>
        <w:jc w:val="both"/>
        <w:rPr>
          <w:rFonts w:ascii="Times New Roman" w:hAnsi="Times New Roman" w:cs="Times New Roman"/>
        </w:rPr>
      </w:pPr>
      <w:r>
        <w:rPr>
          <w:rFonts w:ascii="Times New Roman" w:hAnsi="Times New Roman"/>
          <w:sz w:val="24"/>
        </w:rPr>
        <w:t xml:space="preserve">Chaque fois qu’un fonctionnaire ou agent assimilé est affecté dans le pays bénéficiaire pour agir en tant qu’expert à court terme, les frais de voyage devraient être compensés par une allocation de voyage déterminée sur la base de l’offre économiquement la plus avantageuse parmi celles présentées par trois agences de voyage avant la signature du contrat de jumelage. Ces offres sont approuvées à l’avance par </w:t>
      </w:r>
      <w:r>
        <w:rPr>
          <w:rFonts w:ascii="Times New Roman" w:hAnsi="Times New Roman"/>
          <w:color w:val="000000" w:themeColor="text1"/>
          <w:sz w:val="24"/>
        </w:rPr>
        <w:t>l’autorité qui signe le contrat de jumelage.</w:t>
      </w:r>
    </w:p>
    <w:p w14:paraId="2AB69CF6" w14:textId="77777777" w:rsidR="00832F98" w:rsidRPr="005107DF" w:rsidRDefault="00832F98" w:rsidP="00D0198E">
      <w:pPr>
        <w:jc w:val="both"/>
        <w:rPr>
          <w:rFonts w:ascii="Times New Roman" w:hAnsi="Times New Roman" w:cs="Times New Roman"/>
          <w:u w:val="single"/>
        </w:rPr>
      </w:pPr>
      <w:r>
        <w:rPr>
          <w:rFonts w:ascii="Times New Roman" w:hAnsi="Times New Roman"/>
          <w:sz w:val="24"/>
          <w:u w:val="single"/>
        </w:rPr>
        <w:t>2.6 Indemnité journalière du CRJ</w:t>
      </w:r>
    </w:p>
    <w:p w14:paraId="3AB05F63" w14:textId="77777777" w:rsidR="00832F98" w:rsidRPr="005107DF" w:rsidRDefault="00832F98" w:rsidP="00D0198E">
      <w:pPr>
        <w:jc w:val="both"/>
        <w:rPr>
          <w:rFonts w:ascii="Times New Roman" w:hAnsi="Times New Roman" w:cs="Times New Roman"/>
        </w:rPr>
      </w:pPr>
      <w:r>
        <w:rPr>
          <w:rFonts w:ascii="Times New Roman" w:hAnsi="Times New Roman"/>
          <w:sz w:val="24"/>
        </w:rPr>
        <w:t>Si l’on peut considérer que le salaire du CRJ couvre les dépenses qui continuent d’être supportées sur le lieu d’origine, l’État membre peut verser au CRJ une indemnité journalière destinée à couvrir les frais supplémentaires engagés dans le pays bénéficiaire, notamment pour l’hébergement, la sécurité et l’assurance-maladie complémentaire.</w:t>
      </w:r>
    </w:p>
    <w:p w14:paraId="1B482086" w14:textId="77777777" w:rsidR="00832F98" w:rsidRPr="005107DF" w:rsidRDefault="00832F98" w:rsidP="00D0198E">
      <w:pPr>
        <w:jc w:val="both"/>
        <w:rPr>
          <w:rFonts w:ascii="Times New Roman" w:hAnsi="Times New Roman" w:cs="Times New Roman"/>
        </w:rPr>
      </w:pPr>
      <w:r>
        <w:rPr>
          <w:rFonts w:ascii="Times New Roman" w:hAnsi="Times New Roman"/>
          <w:sz w:val="24"/>
        </w:rPr>
        <w:t>Conformément aux règles de la Commission qui s’appliquent aux fonctionnaires en mission de longue durée, l’indemnité journalière du CRJ est plafonnée à un maximum de 75 % du per diem dans le pays bénéficiaire publié par la direction générale de la coopération internationale et du développement (DG DEVCO) et applicable au moment de la signature du contrat de jumelage.</w:t>
      </w:r>
    </w:p>
    <w:p w14:paraId="39147A10" w14:textId="77777777" w:rsidR="00832F98" w:rsidRPr="005107DF" w:rsidRDefault="00832F98" w:rsidP="00D0198E">
      <w:pPr>
        <w:jc w:val="both"/>
        <w:rPr>
          <w:rFonts w:ascii="Times New Roman" w:hAnsi="Times New Roman" w:cs="Times New Roman"/>
        </w:rPr>
      </w:pPr>
      <w:r>
        <w:rPr>
          <w:rFonts w:ascii="Times New Roman" w:hAnsi="Times New Roman"/>
          <w:sz w:val="24"/>
        </w:rPr>
        <w:t>L’indemnité journalière du CRJ couvrant les coûts qui doivent être pris en charge également durant les absences temporaires comme les congés et les déplacements professionnels, les États membres peuvent la payer pour toute la durée de l’affectation du CRJ dans le pays bénéficiaire.</w:t>
      </w:r>
    </w:p>
    <w:p w14:paraId="619B994B" w14:textId="77777777" w:rsidR="00832F98" w:rsidRPr="005107DF" w:rsidRDefault="00832F98" w:rsidP="00D0198E">
      <w:pPr>
        <w:jc w:val="both"/>
        <w:rPr>
          <w:rFonts w:ascii="Times New Roman" w:hAnsi="Times New Roman" w:cs="Times New Roman"/>
          <w:u w:val="single"/>
        </w:rPr>
      </w:pPr>
      <w:r>
        <w:rPr>
          <w:rFonts w:ascii="Times New Roman" w:hAnsi="Times New Roman"/>
          <w:sz w:val="24"/>
          <w:u w:val="single"/>
        </w:rPr>
        <w:t>2.7 Indemnité journalière des experts à court terme</w:t>
      </w:r>
    </w:p>
    <w:p w14:paraId="2954B826" w14:textId="78988528" w:rsidR="00832F98" w:rsidRDefault="00832F98" w:rsidP="00D0198E">
      <w:pPr>
        <w:jc w:val="both"/>
        <w:rPr>
          <w:rFonts w:ascii="Times New Roman" w:hAnsi="Times New Roman"/>
          <w:sz w:val="24"/>
        </w:rPr>
      </w:pPr>
      <w:r>
        <w:rPr>
          <w:rFonts w:ascii="Times New Roman" w:hAnsi="Times New Roman"/>
          <w:sz w:val="24"/>
        </w:rPr>
        <w:t>Un État membre peut verser à ses fonctionnaires ou agents assimilés une indemnité journalière</w:t>
      </w:r>
      <w:r>
        <w:rPr>
          <w:rFonts w:ascii="Times New Roman" w:hAnsi="Times New Roman"/>
        </w:rPr>
        <w:t xml:space="preserve"> </w:t>
      </w:r>
      <w:r>
        <w:rPr>
          <w:rFonts w:ascii="Times New Roman" w:hAnsi="Times New Roman"/>
          <w:sz w:val="24"/>
        </w:rPr>
        <w:t>lorsqu’ils sont en mission dans le pays bénéficiaire. Le montant maximal de cette indemnité journalière correspond au montant du per diem dans le pays bénéficiaire publié par la DG DEVCO et applicable au moment de la signature du contrat de jumelage.</w:t>
      </w:r>
    </w:p>
    <w:p w14:paraId="0E393882" w14:textId="77777777" w:rsidR="005D707D" w:rsidRPr="005107DF" w:rsidRDefault="005D707D" w:rsidP="00D0198E">
      <w:pPr>
        <w:jc w:val="both"/>
        <w:rPr>
          <w:rFonts w:ascii="Times New Roman" w:hAnsi="Times New Roman" w:cs="Times New Roman"/>
        </w:rPr>
      </w:pPr>
    </w:p>
    <w:p w14:paraId="322964D8" w14:textId="77777777" w:rsidR="00832F98" w:rsidRPr="005107DF" w:rsidRDefault="00832F98" w:rsidP="00D0198E">
      <w:pPr>
        <w:jc w:val="both"/>
        <w:rPr>
          <w:rFonts w:ascii="Times New Roman" w:eastAsia="Times New Roman" w:hAnsi="Times New Roman" w:cs="Times New Roman"/>
          <w:sz w:val="24"/>
          <w:szCs w:val="24"/>
        </w:rPr>
      </w:pPr>
      <w:r>
        <w:rPr>
          <w:rFonts w:ascii="Times New Roman" w:hAnsi="Times New Roman"/>
          <w:sz w:val="24"/>
          <w:u w:val="single"/>
        </w:rPr>
        <w:lastRenderedPageBreak/>
        <w:t>2.8 Indemnité journalière</w:t>
      </w:r>
      <w:r>
        <w:t xml:space="preserve"> </w:t>
      </w:r>
      <w:r>
        <w:rPr>
          <w:rFonts w:ascii="Times New Roman" w:hAnsi="Times New Roman"/>
          <w:sz w:val="24"/>
        </w:rPr>
        <w:t>des fonctionnaires ou agents de l’administration bénéficiaire</w:t>
      </w:r>
    </w:p>
    <w:p w14:paraId="790E808A" w14:textId="77777777" w:rsidR="00832F98" w:rsidRPr="005107DF" w:rsidRDefault="00832F98" w:rsidP="00D0198E">
      <w:pPr>
        <w:jc w:val="both"/>
        <w:rPr>
          <w:rFonts w:ascii="Times New Roman" w:hAnsi="Times New Roman" w:cs="Times New Roman"/>
        </w:rPr>
      </w:pPr>
      <w:r>
        <w:rPr>
          <w:rFonts w:ascii="Times New Roman" w:hAnsi="Times New Roman"/>
          <w:sz w:val="24"/>
        </w:rPr>
        <w:t>Les fonctionnaires ou agents d’une administration bénéficiaire peuvent recevoir une indemnité journalière lorsqu’ils sont en mission dans un État membre. Le montant maximal de cette indemnité correspond au montant du per diem dans l’État membre concerné publié par la DG DEVCO et applicable au moment de la signature du contrat de jumelage.</w:t>
      </w:r>
    </w:p>
    <w:p w14:paraId="3C6638AD" w14:textId="77777777" w:rsidR="00832F98" w:rsidRPr="005107DF" w:rsidRDefault="00832F98" w:rsidP="00D0198E">
      <w:pPr>
        <w:jc w:val="both"/>
        <w:rPr>
          <w:rFonts w:ascii="Times New Roman" w:eastAsia="Times New Roman" w:hAnsi="Times New Roman" w:cs="Times New Roman"/>
          <w:b/>
          <w:sz w:val="24"/>
          <w:szCs w:val="24"/>
        </w:rPr>
      </w:pPr>
      <w:r>
        <w:rPr>
          <w:rFonts w:ascii="Times New Roman" w:hAnsi="Times New Roman"/>
          <w:b/>
          <w:sz w:val="24"/>
        </w:rPr>
        <w:t xml:space="preserve">3. Définition des taux forfaitaires </w:t>
      </w:r>
    </w:p>
    <w:p w14:paraId="38991925" w14:textId="77777777" w:rsidR="00832F98" w:rsidRPr="005107DF" w:rsidRDefault="00832F98" w:rsidP="00D0198E">
      <w:pPr>
        <w:jc w:val="both"/>
        <w:rPr>
          <w:rFonts w:ascii="Times New Roman" w:hAnsi="Times New Roman" w:cs="Times New Roman"/>
        </w:rPr>
      </w:pPr>
      <w:r>
        <w:rPr>
          <w:rFonts w:ascii="Times New Roman" w:hAnsi="Times New Roman"/>
          <w:b/>
          <w:sz w:val="24"/>
        </w:rPr>
        <w:t>3.1 Coûts de soutien aux projets de jumelage</w:t>
      </w:r>
    </w:p>
    <w:p w14:paraId="6466612D" w14:textId="77777777" w:rsidR="00832F98" w:rsidRPr="005107DF" w:rsidRDefault="00832F98" w:rsidP="00D0198E">
      <w:pPr>
        <w:jc w:val="both"/>
        <w:rPr>
          <w:rFonts w:ascii="Times New Roman" w:hAnsi="Times New Roman" w:cs="Times New Roman"/>
          <w:sz w:val="24"/>
          <w:szCs w:val="24"/>
        </w:rPr>
      </w:pPr>
      <w:r>
        <w:rPr>
          <w:rFonts w:ascii="Times New Roman" w:hAnsi="Times New Roman"/>
          <w:sz w:val="24"/>
        </w:rPr>
        <w:t>Le jumelage ne rémunère pas les experts mobilisés, mais indemnise l’administration d’un État membre qui, pour une certaine période, ne peut attendre de ses fonctionnaires qu’ils remplissent les fonctions pour lesquelles elle les paie. Ainsi, en plus de l’indemnité journalière forfaitaire (voir la section 2.3) versée pour les jours de travail de fonctionnaires ou agents assimilés dans le pays bénéficiaire, il est nécessaire d’envisager un taux forfaitaire couvrant le soutien au projet de jumelage qui compense les coûts engagés par l’État membre correspondant à d’autres coûts éligibles engagés dans la mise en œuvre d’un projet de jumelage.</w:t>
      </w:r>
    </w:p>
    <w:p w14:paraId="46AAF927" w14:textId="77777777" w:rsidR="00832F98" w:rsidRPr="005107DF" w:rsidRDefault="00832F98" w:rsidP="00D0198E">
      <w:pPr>
        <w:jc w:val="both"/>
        <w:rPr>
          <w:rFonts w:ascii="Times New Roman" w:hAnsi="Times New Roman" w:cs="Times New Roman"/>
          <w:sz w:val="24"/>
          <w:szCs w:val="24"/>
        </w:rPr>
      </w:pPr>
      <w:r>
        <w:rPr>
          <w:rFonts w:ascii="Times New Roman" w:hAnsi="Times New Roman"/>
          <w:sz w:val="24"/>
        </w:rPr>
        <w:t>Les coûts suivants sont couverts par ce taux forfaitaire:</w:t>
      </w:r>
    </w:p>
    <w:p w14:paraId="28252609" w14:textId="77777777" w:rsidR="00832F98" w:rsidRPr="005107DF" w:rsidRDefault="00832F98" w:rsidP="00D0198E">
      <w:pPr>
        <w:jc w:val="both"/>
        <w:rPr>
          <w:rFonts w:ascii="Times New Roman" w:hAnsi="Times New Roman" w:cs="Times New Roman"/>
        </w:rPr>
      </w:pPr>
      <w:r>
        <w:rPr>
          <w:rFonts w:ascii="Times New Roman" w:hAnsi="Times New Roman"/>
          <w:sz w:val="24"/>
        </w:rPr>
        <w:t>a) les frais liés au temps passé par les fonctionnaires ou agents assimilés dans l’État membre afin de préparer et d’assurer le suivi de leur mission dans le pays bénéficiaire;</w:t>
      </w:r>
    </w:p>
    <w:p w14:paraId="3430EB15" w14:textId="77777777" w:rsidR="00832F98" w:rsidRPr="005107DF" w:rsidRDefault="00832F98" w:rsidP="00D0198E">
      <w:pPr>
        <w:jc w:val="both"/>
        <w:rPr>
          <w:rFonts w:ascii="Times New Roman" w:hAnsi="Times New Roman" w:cs="Times New Roman"/>
          <w:sz w:val="24"/>
          <w:szCs w:val="24"/>
        </w:rPr>
      </w:pPr>
      <w:r>
        <w:rPr>
          <w:rFonts w:ascii="Times New Roman" w:hAnsi="Times New Roman"/>
          <w:sz w:val="24"/>
        </w:rPr>
        <w:t>b) les frais liés au temps passé par le ou les chefs de projet afin de coordonner la mise en œuvre des projets depuis leur administration de base sans être détachés de leur poste;</w:t>
      </w:r>
    </w:p>
    <w:p w14:paraId="53B746DD" w14:textId="77777777" w:rsidR="00832F98" w:rsidRPr="005107DF" w:rsidRDefault="00832F98" w:rsidP="00D0198E">
      <w:pPr>
        <w:jc w:val="both"/>
        <w:rPr>
          <w:rFonts w:ascii="Times New Roman" w:hAnsi="Times New Roman" w:cs="Times New Roman"/>
          <w:sz w:val="24"/>
          <w:szCs w:val="24"/>
        </w:rPr>
      </w:pPr>
      <w:r>
        <w:rPr>
          <w:rFonts w:ascii="Times New Roman" w:hAnsi="Times New Roman"/>
          <w:sz w:val="24"/>
        </w:rPr>
        <w:t>c) les frais liés au temps passé et les frais engagés pour la réalisation d’activités durant la visite d’étude dans un État membre des fonctionnaires ou agents du pays bénéficiaire;</w:t>
      </w:r>
    </w:p>
    <w:p w14:paraId="39267C01" w14:textId="77777777" w:rsidR="00832F98" w:rsidRPr="005107DF" w:rsidRDefault="00832F98" w:rsidP="00D0198E">
      <w:pPr>
        <w:jc w:val="both"/>
        <w:rPr>
          <w:rFonts w:ascii="Times New Roman" w:hAnsi="Times New Roman" w:cs="Times New Roman"/>
          <w:sz w:val="24"/>
          <w:szCs w:val="24"/>
        </w:rPr>
      </w:pPr>
      <w:r>
        <w:rPr>
          <w:rFonts w:ascii="Times New Roman" w:hAnsi="Times New Roman"/>
          <w:sz w:val="24"/>
        </w:rPr>
        <w:t>d) les frais liés au temps consacré aux arrangements logistiques nécessaires pour l’organisation d’activités dans le pays bénéficiaire;</w:t>
      </w:r>
    </w:p>
    <w:p w14:paraId="14700589" w14:textId="77777777" w:rsidR="00832F98" w:rsidRPr="005107DF" w:rsidRDefault="00832F98" w:rsidP="00D0198E">
      <w:pPr>
        <w:jc w:val="both"/>
        <w:rPr>
          <w:rFonts w:ascii="Times New Roman" w:hAnsi="Times New Roman" w:cs="Times New Roman"/>
        </w:rPr>
      </w:pPr>
      <w:r>
        <w:rPr>
          <w:rFonts w:ascii="Times New Roman" w:hAnsi="Times New Roman"/>
          <w:sz w:val="24"/>
        </w:rPr>
        <w:t>e) les frais liés au temps consacré à l’aide à la rédaction des rapports intermédiaires et du rapport final;</w:t>
      </w:r>
    </w:p>
    <w:p w14:paraId="28912413" w14:textId="77777777" w:rsidR="00832F98" w:rsidRPr="005107DF" w:rsidRDefault="00832F98" w:rsidP="00D0198E">
      <w:pPr>
        <w:jc w:val="both"/>
        <w:rPr>
          <w:rFonts w:ascii="Times New Roman" w:hAnsi="Times New Roman" w:cs="Times New Roman"/>
        </w:rPr>
      </w:pPr>
      <w:r>
        <w:rPr>
          <w:rFonts w:ascii="Times New Roman" w:hAnsi="Times New Roman"/>
          <w:sz w:val="24"/>
        </w:rPr>
        <w:t xml:space="preserve">f) les autres frais, par exemple ceux liés à la formation dispensée aux fonctionnaires, aux bureaux et à l’équipement, à la gestion des ressources humaines, à la gestion en général, ainsi que les coûts administratifs de l’État membre bénéficiaire liés, entre autres, à la comptabilité ou à la facturation. </w:t>
      </w:r>
    </w:p>
    <w:p w14:paraId="6321B56E" w14:textId="77777777" w:rsidR="00832F98" w:rsidRPr="005107DF" w:rsidRDefault="00832F98" w:rsidP="00D0198E">
      <w:pPr>
        <w:jc w:val="both"/>
        <w:rPr>
          <w:rFonts w:ascii="Times New Roman" w:hAnsi="Times New Roman" w:cs="Times New Roman"/>
        </w:rPr>
      </w:pPr>
      <w:r>
        <w:rPr>
          <w:rFonts w:ascii="Times New Roman" w:hAnsi="Times New Roman"/>
          <w:sz w:val="24"/>
        </w:rPr>
        <w:t>Les éléments a), b), c) et d) seront compensés sur la base d’un taux forfaitaire de 136 % de toutes les indemnités journalières forfaitaires versées pour les activités réalisées dans le pays bénéficiaire par des experts à court terme.</w:t>
      </w:r>
    </w:p>
    <w:p w14:paraId="1F3A3692" w14:textId="77777777" w:rsidR="00832F98" w:rsidRPr="005107DF" w:rsidRDefault="00832F98" w:rsidP="00D0198E">
      <w:pPr>
        <w:jc w:val="both"/>
        <w:rPr>
          <w:rFonts w:ascii="Times New Roman" w:hAnsi="Times New Roman" w:cs="Times New Roman"/>
          <w:b/>
          <w:sz w:val="24"/>
          <w:szCs w:val="24"/>
        </w:rPr>
      </w:pPr>
      <w:r>
        <w:rPr>
          <w:rFonts w:ascii="Times New Roman" w:hAnsi="Times New Roman"/>
          <w:b/>
          <w:sz w:val="24"/>
        </w:rPr>
        <w:t>3.2 Taux forfaitaire pour les coûts indirects</w:t>
      </w:r>
    </w:p>
    <w:p w14:paraId="066F9EC1" w14:textId="775A753B" w:rsidR="00832F98" w:rsidRPr="004946B7" w:rsidRDefault="00832F98" w:rsidP="004946B7">
      <w:pPr>
        <w:pStyle w:val="BodyText"/>
        <w:rPr>
          <w:rFonts w:ascii="Times New Roman" w:hAnsi="Times New Roman"/>
          <w:sz w:val="24"/>
          <w:szCs w:val="24"/>
        </w:rPr>
      </w:pPr>
      <w:r>
        <w:rPr>
          <w:rFonts w:ascii="Times New Roman" w:hAnsi="Times New Roman"/>
          <w:sz w:val="24"/>
        </w:rPr>
        <w:t xml:space="preserve">Les éléments e) et f) seront compensés selon le pourcentage pour les coûts indirects fixé à 6 % du total des coûts directs éligibles de l’action.  </w:t>
      </w:r>
    </w:p>
    <w:p w14:paraId="36CB71C3" w14:textId="77777777" w:rsidR="00832F98" w:rsidRPr="005107DF" w:rsidRDefault="00832F98" w:rsidP="007338F0">
      <w:pPr>
        <w:pStyle w:val="Heading1"/>
        <w:pBdr>
          <w:bottom w:val="single" w:sz="4" w:space="1" w:color="auto"/>
        </w:pBdr>
      </w:pPr>
      <w:bookmarkStart w:id="1258" w:name="_Toc517434472"/>
      <w:bookmarkStart w:id="1259" w:name="_Toc2861039"/>
      <w:bookmarkStart w:id="1260" w:name="_Toc442374523"/>
      <w:bookmarkStart w:id="1261" w:name="_Toc442375013"/>
      <w:bookmarkStart w:id="1262" w:name="_Toc443320335"/>
      <w:bookmarkStart w:id="1263" w:name="_Toc464460182"/>
      <w:bookmarkStart w:id="1264" w:name="_Toc476063474"/>
      <w:bookmarkStart w:id="1265" w:name="_Toc476067956"/>
      <w:bookmarkStart w:id="1266" w:name="_Toc71600473"/>
      <w:r>
        <w:lastRenderedPageBreak/>
        <w:t>ANNEXE C: MODÈLES</w:t>
      </w:r>
      <w:bookmarkEnd w:id="1258"/>
      <w:bookmarkEnd w:id="1259"/>
    </w:p>
    <w:p w14:paraId="35D824C6" w14:textId="77777777" w:rsidR="00832F98" w:rsidRPr="005107DF" w:rsidRDefault="00832F98" w:rsidP="007338F0">
      <w:pPr>
        <w:jc w:val="center"/>
        <w:rPr>
          <w:rFonts w:ascii="Times New Roman" w:hAnsi="Times New Roman" w:cs="Times New Roman"/>
          <w:i/>
          <w:sz w:val="24"/>
          <w:szCs w:val="24"/>
        </w:rPr>
      </w:pPr>
    </w:p>
    <w:p w14:paraId="40079F17" w14:textId="77777777" w:rsidR="00832F98" w:rsidRPr="005107DF" w:rsidRDefault="00832F98" w:rsidP="007338F0">
      <w:pPr>
        <w:jc w:val="center"/>
        <w:rPr>
          <w:rFonts w:ascii="Times New Roman" w:hAnsi="Times New Roman" w:cs="Times New Roman"/>
          <w:i/>
          <w:sz w:val="24"/>
          <w:szCs w:val="24"/>
        </w:rPr>
      </w:pPr>
      <w:r>
        <w:rPr>
          <w:rFonts w:ascii="Times New Roman" w:hAnsi="Times New Roman"/>
          <w:i/>
          <w:sz w:val="24"/>
        </w:rPr>
        <w:t>Les modèles suivants sont proposés à titre d’orientation pour faciliter le transfert d’informations précises et claires. Les textes peuvent être adaptés afin de tenir compte de situations particulières.</w:t>
      </w:r>
      <w:bookmarkEnd w:id="1260"/>
      <w:bookmarkEnd w:id="1261"/>
      <w:bookmarkEnd w:id="1262"/>
      <w:bookmarkEnd w:id="1263"/>
      <w:bookmarkEnd w:id="1264"/>
      <w:bookmarkEnd w:id="1265"/>
    </w:p>
    <w:p w14:paraId="7F6F030D" w14:textId="77777777" w:rsidR="00832F98" w:rsidRPr="005107DF" w:rsidRDefault="00832F98" w:rsidP="007338F0">
      <w:pPr>
        <w:jc w:val="center"/>
        <w:rPr>
          <w:rFonts w:ascii="Times New Roman" w:hAnsi="Times New Roman" w:cs="Times New Roman"/>
          <w:i/>
          <w:sz w:val="28"/>
          <w:szCs w:val="24"/>
        </w:rPr>
      </w:pPr>
    </w:p>
    <w:bookmarkEnd w:id="1266"/>
    <w:p w14:paraId="60D517C9"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w:t>
      </w:r>
      <w:r>
        <w:tab/>
      </w:r>
      <w:r>
        <w:rPr>
          <w:rFonts w:ascii="Times New Roman" w:hAnsi="Times New Roman"/>
          <w:sz w:val="21"/>
        </w:rPr>
        <w:t>Fiche de jumelage</w:t>
      </w:r>
      <w:r>
        <w:tab/>
      </w:r>
      <w:r>
        <w:rPr>
          <w:rFonts w:ascii="Times New Roman" w:hAnsi="Times New Roman"/>
          <w:sz w:val="21"/>
        </w:rPr>
        <w:t xml:space="preserve"> </w:t>
      </w:r>
    </w:p>
    <w:p w14:paraId="69FE62D8"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w:t>
      </w:r>
      <w:r>
        <w:rPr>
          <w:rFonts w:ascii="Times New Roman" w:hAnsi="Times New Roman"/>
          <w:sz w:val="21"/>
        </w:rPr>
        <w:t>a</w:t>
      </w:r>
      <w:r>
        <w:tab/>
      </w:r>
      <w:r>
        <w:rPr>
          <w:rFonts w:ascii="Times New Roman" w:hAnsi="Times New Roman"/>
          <w:sz w:val="21"/>
        </w:rPr>
        <w:t>Niveaux d’une logique d’intervention</w:t>
      </w:r>
      <w:r>
        <w:tab/>
      </w:r>
    </w:p>
    <w:p w14:paraId="5F22D6BA"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w:t>
      </w:r>
      <w:r>
        <w:rPr>
          <w:rFonts w:ascii="Times New Roman" w:hAnsi="Times New Roman"/>
          <w:sz w:val="21"/>
        </w:rPr>
        <w:t xml:space="preserve">bis </w:t>
      </w:r>
      <w:r>
        <w:tab/>
      </w:r>
      <w:r>
        <w:rPr>
          <w:rFonts w:ascii="Times New Roman" w:hAnsi="Times New Roman"/>
          <w:sz w:val="21"/>
        </w:rPr>
        <w:t xml:space="preserve">Fiche de jumelage léger </w:t>
      </w:r>
      <w:r>
        <w:tab/>
      </w:r>
    </w:p>
    <w:p w14:paraId="56948ABD"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2</w:t>
      </w:r>
      <w:r>
        <w:tab/>
      </w:r>
      <w:r>
        <w:rPr>
          <w:rFonts w:ascii="Times New Roman" w:hAnsi="Times New Roman"/>
          <w:sz w:val="21"/>
        </w:rPr>
        <w:t>Proposition de jumelage</w:t>
      </w:r>
      <w:r>
        <w:tab/>
      </w:r>
    </w:p>
    <w:p w14:paraId="1B9B6774"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2</w:t>
      </w:r>
      <w:r>
        <w:rPr>
          <w:rFonts w:ascii="Times New Roman" w:hAnsi="Times New Roman"/>
          <w:sz w:val="21"/>
        </w:rPr>
        <w:t xml:space="preserve">bis </w:t>
      </w:r>
      <w:r>
        <w:tab/>
      </w:r>
      <w:r>
        <w:rPr>
          <w:rFonts w:ascii="Times New Roman" w:hAnsi="Times New Roman"/>
          <w:sz w:val="21"/>
        </w:rPr>
        <w:t>Proposition de jumelage léger</w:t>
      </w:r>
      <w:r>
        <w:tab/>
      </w:r>
    </w:p>
    <w:p w14:paraId="33DC8B1B"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3</w:t>
      </w:r>
      <w:r>
        <w:tab/>
      </w:r>
      <w:r>
        <w:rPr>
          <w:rFonts w:ascii="Times New Roman" w:hAnsi="Times New Roman"/>
          <w:sz w:val="21"/>
        </w:rPr>
        <w:t>Présentation orale lors de la réunion de sélection dans le pays bénéficiaire</w:t>
      </w:r>
      <w:r>
        <w:tab/>
      </w:r>
    </w:p>
    <w:p w14:paraId="2ED16CF7"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4</w:t>
      </w:r>
      <w:r>
        <w:tab/>
      </w:r>
      <w:r>
        <w:rPr>
          <w:rFonts w:ascii="Times New Roman" w:hAnsi="Times New Roman"/>
          <w:sz w:val="21"/>
        </w:rPr>
        <w:t>Rapport de jumelage intermédiaire trimestriel</w:t>
      </w:r>
      <w:r>
        <w:tab/>
      </w:r>
    </w:p>
    <w:p w14:paraId="334E179F"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5</w:t>
      </w:r>
      <w:r>
        <w:tab/>
      </w:r>
      <w:r>
        <w:rPr>
          <w:rFonts w:ascii="Times New Roman" w:hAnsi="Times New Roman"/>
          <w:sz w:val="21"/>
        </w:rPr>
        <w:t>Rapport de jumelage final</w:t>
      </w:r>
      <w:r>
        <w:tab/>
      </w:r>
    </w:p>
    <w:p w14:paraId="55ED0B13"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6</w:t>
      </w:r>
      <w:r>
        <w:tab/>
      </w:r>
      <w:r>
        <w:rPr>
          <w:rFonts w:ascii="Times New Roman" w:hAnsi="Times New Roman"/>
          <w:sz w:val="21"/>
        </w:rPr>
        <w:t>Grille de conformité administrative et d’éligibilité pour le jumelage</w:t>
      </w:r>
      <w:r>
        <w:tab/>
      </w:r>
      <w:r>
        <w:rPr>
          <w:rFonts w:ascii="Times New Roman" w:hAnsi="Times New Roman"/>
          <w:sz w:val="21"/>
        </w:rPr>
        <w:t xml:space="preserve"> </w:t>
      </w:r>
    </w:p>
    <w:p w14:paraId="01CEA95B"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6</w:t>
      </w:r>
      <w:r>
        <w:rPr>
          <w:rFonts w:ascii="Times New Roman" w:hAnsi="Times New Roman"/>
          <w:sz w:val="21"/>
        </w:rPr>
        <w:t xml:space="preserve">bis </w:t>
      </w:r>
      <w:r>
        <w:tab/>
      </w:r>
      <w:r>
        <w:rPr>
          <w:rFonts w:ascii="Times New Roman" w:hAnsi="Times New Roman"/>
          <w:sz w:val="21"/>
        </w:rPr>
        <w:t>Grille de conformité administrative et d’éligibilité pour jumelage léger</w:t>
      </w:r>
      <w:r>
        <w:tab/>
      </w:r>
      <w:r>
        <w:rPr>
          <w:rFonts w:ascii="Times New Roman" w:hAnsi="Times New Roman"/>
          <w:sz w:val="21"/>
        </w:rPr>
        <w:t xml:space="preserve">  </w:t>
      </w:r>
    </w:p>
    <w:p w14:paraId="7043A62D"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7</w:t>
      </w:r>
      <w:r>
        <w:tab/>
      </w:r>
      <w:r>
        <w:rPr>
          <w:rFonts w:ascii="Times New Roman" w:hAnsi="Times New Roman"/>
          <w:sz w:val="21"/>
        </w:rPr>
        <w:t xml:space="preserve">Grille d’évaluation pour la sélection des propositions de jumelage </w:t>
      </w:r>
      <w:r>
        <w:tab/>
      </w:r>
    </w:p>
    <w:p w14:paraId="6E4B0D4D"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8</w:t>
      </w:r>
      <w:r>
        <w:tab/>
      </w:r>
      <w:r>
        <w:rPr>
          <w:rFonts w:ascii="Times New Roman" w:hAnsi="Times New Roman"/>
          <w:sz w:val="21"/>
        </w:rPr>
        <w:t>Fiche d’information pour la sélection des propositions de jumelage léger</w:t>
      </w:r>
      <w:r>
        <w:tab/>
      </w:r>
    </w:p>
    <w:p w14:paraId="504A249B"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9</w:t>
      </w:r>
      <w:r>
        <w:tab/>
      </w:r>
      <w:r>
        <w:rPr>
          <w:rFonts w:ascii="Times New Roman" w:hAnsi="Times New Roman"/>
          <w:sz w:val="21"/>
        </w:rPr>
        <w:t>Jumelage standard - Publication sur l’internet de l’appel à propositions</w:t>
      </w:r>
    </w:p>
    <w:p w14:paraId="476B1BDC"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9</w:t>
      </w:r>
      <w:r>
        <w:rPr>
          <w:rFonts w:ascii="Times New Roman" w:hAnsi="Times New Roman"/>
          <w:sz w:val="21"/>
        </w:rPr>
        <w:t xml:space="preserve">bis </w:t>
      </w:r>
      <w:r>
        <w:tab/>
      </w:r>
      <w:r>
        <w:rPr>
          <w:rFonts w:ascii="Times New Roman" w:hAnsi="Times New Roman"/>
          <w:sz w:val="21"/>
        </w:rPr>
        <w:t>Jumelage léger - Publication sur l’internet de l’appel à propositions</w:t>
      </w:r>
      <w:r>
        <w:tab/>
      </w:r>
    </w:p>
    <w:p w14:paraId="7318A0AF"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10</w:t>
      </w:r>
      <w:r>
        <w:tab/>
      </w:r>
      <w:r>
        <w:rPr>
          <w:rFonts w:ascii="Times New Roman" w:hAnsi="Times New Roman"/>
          <w:sz w:val="21"/>
        </w:rPr>
        <w:t>Certificat de mission</w:t>
      </w:r>
      <w:r>
        <w:tab/>
      </w:r>
    </w:p>
    <w:p w14:paraId="12D94AA5" w14:textId="77777777" w:rsidR="00832F98" w:rsidRPr="005107DF" w:rsidRDefault="00832F98" w:rsidP="004946B7">
      <w:pPr>
        <w:tabs>
          <w:tab w:val="left" w:pos="709"/>
          <w:tab w:val="left" w:pos="851"/>
          <w:tab w:val="left" w:pos="1800"/>
          <w:tab w:val="left" w:pos="2694"/>
          <w:tab w:val="left" w:pos="8640"/>
        </w:tabs>
        <w:spacing w:before="120" w:after="120" w:line="240" w:lineRule="auto"/>
        <w:ind w:left="2694" w:hanging="1702"/>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11</w:t>
      </w:r>
      <w:r>
        <w:tab/>
      </w:r>
      <w:r>
        <w:rPr>
          <w:rFonts w:ascii="Times New Roman" w:hAnsi="Times New Roman"/>
          <w:sz w:val="21"/>
        </w:rPr>
        <w:t xml:space="preserve">Accusé de réception d’indemnités journalières dans le cadre d’une visite d’étude  </w:t>
      </w:r>
      <w:r>
        <w:tab/>
      </w:r>
    </w:p>
    <w:p w14:paraId="3511532A"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12</w:t>
      </w:r>
      <w:r>
        <w:tab/>
      </w:r>
      <w:r>
        <w:rPr>
          <w:rFonts w:ascii="Times New Roman" w:hAnsi="Times New Roman"/>
          <w:sz w:val="21"/>
        </w:rPr>
        <w:t>Modèle pour les avenants</w:t>
      </w:r>
      <w:r>
        <w:tab/>
      </w:r>
    </w:p>
    <w:p w14:paraId="74B04713"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13</w:t>
      </w:r>
      <w:r>
        <w:tab/>
      </w:r>
      <w:r>
        <w:rPr>
          <w:rFonts w:ascii="Times New Roman" w:hAnsi="Times New Roman"/>
          <w:sz w:val="21"/>
        </w:rPr>
        <w:t>Modèle pour les lettres d’accompagnement</w:t>
      </w:r>
      <w:r>
        <w:tab/>
      </w:r>
    </w:p>
    <w:p w14:paraId="29A3956C" w14:textId="77777777" w:rsidR="00832F98" w:rsidRPr="005107DF" w:rsidRDefault="00832F98" w:rsidP="004946B7">
      <w:pPr>
        <w:tabs>
          <w:tab w:val="left" w:pos="709"/>
          <w:tab w:val="left" w:pos="851"/>
          <w:tab w:val="left" w:pos="1800"/>
          <w:tab w:val="left" w:pos="2694"/>
          <w:tab w:val="left" w:pos="8640"/>
        </w:tabs>
        <w:spacing w:before="120" w:after="120" w:line="240" w:lineRule="auto"/>
        <w:ind w:left="2694" w:hanging="1702"/>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14</w:t>
      </w:r>
      <w:r>
        <w:tab/>
      </w:r>
      <w:r>
        <w:rPr>
          <w:rFonts w:ascii="Times New Roman" w:hAnsi="Times New Roman"/>
          <w:sz w:val="21"/>
        </w:rPr>
        <w:t>Instructions pour la préparation de lettres d’accompagnement, de plans de travail et d’avenants</w:t>
      </w:r>
      <w:r>
        <w:tab/>
      </w:r>
    </w:p>
    <w:p w14:paraId="03A80AE8"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15</w:t>
      </w:r>
      <w:r>
        <w:tab/>
      </w:r>
      <w:r>
        <w:rPr>
          <w:rFonts w:ascii="Times New Roman" w:hAnsi="Times New Roman"/>
          <w:sz w:val="21"/>
        </w:rPr>
        <w:t xml:space="preserve">Modèle de plan de travail évolutif </w:t>
      </w:r>
      <w:r>
        <w:tab/>
      </w:r>
    </w:p>
    <w:p w14:paraId="60B7225F"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16</w:t>
      </w:r>
      <w:r>
        <w:tab/>
      </w:r>
      <w:r>
        <w:rPr>
          <w:rFonts w:ascii="Times New Roman" w:hAnsi="Times New Roman"/>
          <w:sz w:val="21"/>
        </w:rPr>
        <w:t>Lignes directrices relatives aux missions d’information</w:t>
      </w:r>
      <w:r>
        <w:tab/>
      </w:r>
    </w:p>
    <w:p w14:paraId="6CAE8A46"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17</w:t>
      </w:r>
      <w:r>
        <w:tab/>
      </w:r>
      <w:r>
        <w:rPr>
          <w:rFonts w:ascii="Times New Roman" w:hAnsi="Times New Roman"/>
          <w:sz w:val="21"/>
        </w:rPr>
        <w:t>Modèle pour l’autocertification des organismes mandatés</w:t>
      </w:r>
      <w:r>
        <w:tab/>
      </w:r>
    </w:p>
    <w:p w14:paraId="7EFB919E"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18</w:t>
      </w:r>
      <w:r>
        <w:tab/>
      </w:r>
      <w:r>
        <w:rPr>
          <w:rFonts w:ascii="Times New Roman" w:hAnsi="Times New Roman"/>
          <w:sz w:val="21"/>
        </w:rPr>
        <w:t>Déclaration d’impartialité et de confidentialité</w:t>
      </w:r>
      <w:r>
        <w:tab/>
      </w:r>
    </w:p>
    <w:p w14:paraId="140E53B6"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b/>
          <w:sz w:val="24"/>
          <w:szCs w:val="24"/>
        </w:rPr>
      </w:pPr>
      <w:r>
        <w:rPr>
          <w:rFonts w:ascii="Times New Roman" w:hAnsi="Times New Roman"/>
          <w:sz w:val="21"/>
        </w:rPr>
        <w:t>ANNEXE C</w:t>
      </w:r>
      <w:r w:rsidRPr="00452C1A">
        <w:rPr>
          <w:rFonts w:ascii="Times New Roman" w:hAnsi="Times New Roman"/>
          <w:sz w:val="21"/>
        </w:rPr>
        <w:t>19</w:t>
      </w:r>
      <w:r>
        <w:tab/>
      </w:r>
      <w:r>
        <w:rPr>
          <w:rFonts w:ascii="Times New Roman" w:hAnsi="Times New Roman"/>
          <w:sz w:val="21"/>
        </w:rPr>
        <w:t>Modèle de plan de communication et de visibilité</w:t>
      </w:r>
      <w:r>
        <w:tab/>
      </w:r>
    </w:p>
    <w:p w14:paraId="04AE2398" w14:textId="4C2C7899" w:rsidR="00832F98" w:rsidRPr="005107DF" w:rsidRDefault="00832F98" w:rsidP="007338F0">
      <w:pPr>
        <w:jc w:val="center"/>
        <w:rPr>
          <w:rFonts w:ascii="Times New Roman" w:hAnsi="Times New Roman" w:cs="Times New Roman"/>
          <w:b/>
          <w:color w:val="1F497D"/>
          <w:sz w:val="56"/>
          <w:szCs w:val="56"/>
        </w:rPr>
      </w:pPr>
      <w:r>
        <w:br w:type="page"/>
      </w:r>
      <w:bookmarkStart w:id="1267" w:name="_Toc476063476"/>
      <w:bookmarkStart w:id="1268" w:name="_Toc476067958"/>
      <w:r w:rsidR="00A4376A">
        <w:rPr>
          <w:rFonts w:ascii="Times New Roman" w:eastAsia="Times New Roman" w:hAnsi="Times New Roman" w:cs="Times New Roman"/>
          <w:noProof/>
          <w:sz w:val="24"/>
          <w:szCs w:val="24"/>
          <w:lang w:val="en-GB" w:eastAsia="en-GB" w:bidi="ar-SA"/>
        </w:rPr>
        <w:lastRenderedPageBreak/>
        <w:drawing>
          <wp:anchor distT="0" distB="0" distL="114300" distR="114300" simplePos="0" relativeHeight="251659264" behindDoc="1" locked="0" layoutInCell="1" allowOverlap="1" wp14:anchorId="31D58D60" wp14:editId="1E7885A2">
            <wp:simplePos x="0" y="0"/>
            <wp:positionH relativeFrom="margin">
              <wp:posOffset>-13326</wp:posOffset>
            </wp:positionH>
            <wp:positionV relativeFrom="margin">
              <wp:posOffset>321566</wp:posOffset>
            </wp:positionV>
            <wp:extent cx="6840078" cy="7423785"/>
            <wp:effectExtent l="0" t="0" r="0" b="5715"/>
            <wp:wrapNone/>
            <wp:docPr id="8" name="Picture 8"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40950" cy="74247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eastAsia="en-GB" w:bidi="ar-SA"/>
        </w:rPr>
        <w:drawing>
          <wp:inline distT="0" distB="0" distL="0" distR="0" wp14:anchorId="6B7F4EBE" wp14:editId="0DFCAF16">
            <wp:extent cx="2105025" cy="1457325"/>
            <wp:effectExtent l="0" t="0" r="9525" b="9525"/>
            <wp:docPr id="7" name="Picture 7"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E_Vertical_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267"/>
      <w:bookmarkEnd w:id="1268"/>
    </w:p>
    <w:p w14:paraId="279833B8" w14:textId="070B00DB" w:rsidR="00832F98" w:rsidRPr="005107DF" w:rsidRDefault="00832F98" w:rsidP="00A92DE1">
      <w:pPr>
        <w:spacing w:after="0" w:line="240" w:lineRule="auto"/>
        <w:rPr>
          <w:rFonts w:ascii="Times New Roman" w:eastAsia="Times New Roman" w:hAnsi="Times New Roman" w:cs="Times New Roman"/>
          <w:b/>
          <w:bCs/>
          <w:color w:val="1F497D"/>
          <w:sz w:val="36"/>
          <w:szCs w:val="36"/>
        </w:rPr>
      </w:pP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832F98" w:rsidRPr="005107DF" w14:paraId="6E6AC62A" w14:textId="77777777" w:rsidTr="007338F0">
        <w:tc>
          <w:tcPr>
            <w:tcW w:w="9175" w:type="dxa"/>
            <w:shd w:val="clear" w:color="auto" w:fill="auto"/>
          </w:tcPr>
          <w:p w14:paraId="1504E7D9" w14:textId="77777777" w:rsidR="00832F98" w:rsidRPr="005107DF" w:rsidRDefault="00832F98" w:rsidP="00A92DE1">
            <w:pPr>
              <w:spacing w:after="0" w:line="240" w:lineRule="auto"/>
              <w:rPr>
                <w:rFonts w:ascii="Times New Roman" w:eastAsia="Times New Roman" w:hAnsi="Times New Roman" w:cs="Times New Roman"/>
                <w:sz w:val="24"/>
                <w:szCs w:val="24"/>
              </w:rPr>
            </w:pPr>
          </w:p>
          <w:p w14:paraId="783F26AD" w14:textId="77777777" w:rsidR="00832F98" w:rsidRPr="005107DF" w:rsidRDefault="00832F98" w:rsidP="00A92DE1">
            <w:pPr>
              <w:spacing w:after="0" w:line="240" w:lineRule="auto"/>
              <w:rPr>
                <w:rFonts w:ascii="Times New Roman" w:eastAsia="Times New Roman" w:hAnsi="Times New Roman" w:cs="Times New Roman"/>
                <w:sz w:val="24"/>
                <w:szCs w:val="24"/>
              </w:rPr>
            </w:pPr>
          </w:p>
          <w:p w14:paraId="29BBB98E" w14:textId="77777777" w:rsidR="00832F98" w:rsidRPr="005107DF" w:rsidRDefault="00832F98" w:rsidP="007338F0">
            <w:pPr>
              <w:pStyle w:val="Heading2"/>
              <w:jc w:val="center"/>
              <w:rPr>
                <w:sz w:val="32"/>
                <w:szCs w:val="32"/>
              </w:rPr>
            </w:pPr>
            <w:bookmarkStart w:id="1269" w:name="_Toc517434473"/>
            <w:bookmarkStart w:id="1270" w:name="_Toc2861040"/>
            <w:bookmarkStart w:id="1271" w:name="_Toc476063477"/>
            <w:bookmarkStart w:id="1272" w:name="_Toc476067959"/>
            <w:r>
              <w:rPr>
                <w:sz w:val="32"/>
              </w:rPr>
              <w:t>ANNEXE C</w:t>
            </w:r>
            <w:r w:rsidRPr="00452C1A">
              <w:rPr>
                <w:sz w:val="32"/>
              </w:rPr>
              <w:t>1</w:t>
            </w:r>
            <w:r>
              <w:rPr>
                <w:sz w:val="32"/>
              </w:rPr>
              <w:t>: Fiche de jumelage</w:t>
            </w:r>
            <w:r>
              <w:rPr>
                <w:rStyle w:val="FootnoteReference"/>
                <w:sz w:val="32"/>
              </w:rPr>
              <w:footnoteReference w:id="48"/>
            </w:r>
            <w:bookmarkEnd w:id="1269"/>
            <w:bookmarkEnd w:id="1270"/>
          </w:p>
          <w:bookmarkEnd w:id="1271"/>
          <w:bookmarkEnd w:id="1272"/>
          <w:p w14:paraId="21CA360F" w14:textId="77777777" w:rsidR="00832F98" w:rsidRPr="005107DF" w:rsidRDefault="00832F98" w:rsidP="00395899">
            <w:pPr>
              <w:tabs>
                <w:tab w:val="center" w:pos="4536"/>
                <w:tab w:val="right" w:pos="9072"/>
              </w:tabs>
              <w:spacing w:after="0" w:line="240" w:lineRule="auto"/>
              <w:outlineLvl w:val="0"/>
              <w:rPr>
                <w:rFonts w:ascii="Times New Roman" w:eastAsia="Times New Roman" w:hAnsi="Times New Roman" w:cs="Times New Roman"/>
                <w:b/>
                <w:bCs/>
                <w:sz w:val="36"/>
                <w:szCs w:val="36"/>
              </w:rPr>
            </w:pPr>
          </w:p>
          <w:p w14:paraId="65889D23" w14:textId="77777777" w:rsidR="00832F98" w:rsidRPr="005107DF" w:rsidRDefault="00832F98" w:rsidP="007338F0">
            <w:pPr>
              <w:rPr>
                <w:rFonts w:ascii="Times New Roman" w:hAnsi="Times New Roman" w:cs="Times New Roman"/>
                <w:b/>
                <w:bCs/>
                <w:sz w:val="28"/>
                <w:szCs w:val="28"/>
              </w:rPr>
            </w:pPr>
            <w:bookmarkStart w:id="1273" w:name="_Toc476063479"/>
            <w:bookmarkStart w:id="1274" w:name="_Toc476067961"/>
            <w:r>
              <w:rPr>
                <w:rFonts w:ascii="Times New Roman" w:hAnsi="Times New Roman"/>
                <w:b/>
                <w:sz w:val="28"/>
              </w:rPr>
              <w:t>Intitulé du projet:</w:t>
            </w:r>
            <w:r>
              <w:rPr>
                <w:rFonts w:ascii="Times New Roman" w:hAnsi="Times New Roman"/>
                <w:sz w:val="28"/>
              </w:rPr>
              <w:t xml:space="preserve"> l’intitulé doit être bref, clair et pertinent (pas d’acronymes sauf si ceux-ci sont explicites)</w:t>
            </w:r>
            <w:bookmarkEnd w:id="1273"/>
            <w:bookmarkEnd w:id="1274"/>
          </w:p>
          <w:p w14:paraId="450130B0" w14:textId="77777777" w:rsidR="00832F98" w:rsidRPr="005107DF" w:rsidRDefault="00832F98" w:rsidP="007338F0">
            <w:pPr>
              <w:rPr>
                <w:rFonts w:ascii="Times New Roman" w:hAnsi="Times New Roman" w:cs="Times New Roman"/>
                <w:b/>
                <w:bCs/>
                <w:sz w:val="28"/>
                <w:szCs w:val="28"/>
              </w:rPr>
            </w:pPr>
            <w:bookmarkStart w:id="1275" w:name="_Toc476063480"/>
            <w:bookmarkStart w:id="1276" w:name="_Toc476067962"/>
            <w:r>
              <w:rPr>
                <w:rFonts w:ascii="Times New Roman" w:hAnsi="Times New Roman"/>
                <w:b/>
                <w:sz w:val="28"/>
              </w:rPr>
              <w:t xml:space="preserve">Administration bénéficiaire: </w:t>
            </w:r>
            <w:r>
              <w:rPr>
                <w:rFonts w:ascii="Times New Roman" w:hAnsi="Times New Roman"/>
                <w:sz w:val="28"/>
              </w:rPr>
              <w:t>désignation de l’administration bénéficiaire dans le pays bénéficiaire</w:t>
            </w:r>
            <w:bookmarkEnd w:id="1275"/>
            <w:bookmarkEnd w:id="1276"/>
          </w:p>
          <w:p w14:paraId="59B5BC22" w14:textId="77777777" w:rsidR="00832F98" w:rsidRPr="005107DF" w:rsidRDefault="00832F98" w:rsidP="007338F0">
            <w:pPr>
              <w:rPr>
                <w:rFonts w:ascii="Times New Roman" w:hAnsi="Times New Roman" w:cs="Times New Roman"/>
                <w:b/>
                <w:bCs/>
                <w:sz w:val="28"/>
                <w:szCs w:val="28"/>
              </w:rPr>
            </w:pPr>
            <w:bookmarkStart w:id="1277" w:name="_Toc476063481"/>
            <w:bookmarkStart w:id="1278" w:name="_Toc476067963"/>
            <w:r>
              <w:rPr>
                <w:rFonts w:ascii="Times New Roman" w:hAnsi="Times New Roman"/>
                <w:b/>
                <w:sz w:val="28"/>
              </w:rPr>
              <w:t>Référence du jumelage:</w:t>
            </w:r>
            <w:r>
              <w:rPr>
                <w:rFonts w:ascii="Times New Roman" w:hAnsi="Times New Roman"/>
                <w:sz w:val="28"/>
              </w:rPr>
              <w:t xml:space="preserve"> le numéro de référence du jumelage est présenté au format </w:t>
            </w:r>
            <w:r w:rsidRPr="00EB5D31">
              <w:rPr>
                <w:rFonts w:ascii="Times New Roman" w:hAnsi="Times New Roman"/>
                <w:sz w:val="28"/>
                <w:highlight w:val="yellow"/>
              </w:rPr>
              <w:t>«MN 14 IPA TR 01 17» ou «AZ 15 ENI JH 02 17»</w:t>
            </w:r>
            <w:bookmarkEnd w:id="1277"/>
            <w:bookmarkEnd w:id="1278"/>
          </w:p>
          <w:p w14:paraId="2BFF4948" w14:textId="77777777" w:rsidR="00832F98" w:rsidRPr="005107DF" w:rsidRDefault="00832F98" w:rsidP="007338F0">
            <w:pPr>
              <w:rPr>
                <w:rFonts w:ascii="Times New Roman" w:hAnsi="Times New Roman" w:cs="Times New Roman"/>
                <w:b/>
                <w:bCs/>
                <w:sz w:val="28"/>
                <w:szCs w:val="28"/>
              </w:rPr>
            </w:pPr>
            <w:bookmarkStart w:id="1279" w:name="_Toc476063482"/>
            <w:bookmarkStart w:id="1280" w:name="_Toc476067964"/>
            <w:r>
              <w:rPr>
                <w:rFonts w:ascii="Times New Roman" w:hAnsi="Times New Roman"/>
                <w:b/>
                <w:sz w:val="28"/>
              </w:rPr>
              <w:t xml:space="preserve">Référence de l’avis de publication: </w:t>
            </w:r>
            <w:r>
              <w:rPr>
                <w:rFonts w:ascii="Times New Roman" w:hAnsi="Times New Roman"/>
                <w:sz w:val="28"/>
              </w:rPr>
              <w:t>la référence de l’avis de publication sera complétée par la Commission européenne</w:t>
            </w:r>
            <w:bookmarkEnd w:id="1279"/>
            <w:bookmarkEnd w:id="1280"/>
          </w:p>
          <w:p w14:paraId="7BAB1C54" w14:textId="77777777" w:rsidR="00832F98" w:rsidRPr="005107DF" w:rsidRDefault="00832F98" w:rsidP="00A92DE1">
            <w:pPr>
              <w:spacing w:after="0" w:line="240" w:lineRule="auto"/>
              <w:rPr>
                <w:rFonts w:ascii="Times New Roman" w:eastAsia="Times New Roman" w:hAnsi="Times New Roman" w:cs="Times New Roman"/>
                <w:sz w:val="24"/>
                <w:szCs w:val="24"/>
              </w:rPr>
            </w:pPr>
          </w:p>
        </w:tc>
      </w:tr>
    </w:tbl>
    <w:p w14:paraId="114118A5" w14:textId="77777777" w:rsidR="00832F98" w:rsidRPr="005107DF" w:rsidRDefault="00832F98" w:rsidP="00A92DE1">
      <w:pPr>
        <w:spacing w:after="0" w:line="240" w:lineRule="auto"/>
        <w:rPr>
          <w:rFonts w:ascii="Times New Roman" w:eastAsia="Times New Roman" w:hAnsi="Times New Roman" w:cs="Times New Roman"/>
          <w:sz w:val="24"/>
          <w:szCs w:val="24"/>
        </w:rPr>
      </w:pPr>
    </w:p>
    <w:p w14:paraId="095B2E43" w14:textId="77777777" w:rsidR="00832F98" w:rsidRPr="005107DF" w:rsidRDefault="00832F98" w:rsidP="00A92DE1">
      <w:pPr>
        <w:spacing w:after="0" w:line="240" w:lineRule="auto"/>
        <w:rPr>
          <w:rFonts w:ascii="Times New Roman" w:eastAsia="Times New Roman" w:hAnsi="Times New Roman" w:cs="Times New Roman"/>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832F98" w:rsidRPr="005107DF" w14:paraId="1A8E869E" w14:textId="77777777" w:rsidTr="007338F0">
        <w:tc>
          <w:tcPr>
            <w:tcW w:w="9214" w:type="dxa"/>
            <w:shd w:val="clear" w:color="auto" w:fill="auto"/>
          </w:tcPr>
          <w:p w14:paraId="0A0A7C49" w14:textId="77777777" w:rsidR="00832F98" w:rsidRPr="005107DF" w:rsidRDefault="00832F98" w:rsidP="007338F0">
            <w:pPr>
              <w:jc w:val="center"/>
              <w:rPr>
                <w:rFonts w:ascii="Times New Roman" w:hAnsi="Times New Roman" w:cs="Times New Roman"/>
                <w:b/>
                <w:sz w:val="32"/>
                <w:szCs w:val="32"/>
              </w:rPr>
            </w:pPr>
            <w:r>
              <w:rPr>
                <w:rFonts w:ascii="Times New Roman" w:hAnsi="Times New Roman"/>
                <w:b/>
                <w:sz w:val="32"/>
              </w:rPr>
              <w:t>Projet financé par l’Union européenne</w:t>
            </w:r>
          </w:p>
          <w:p w14:paraId="4F4EBBFC" w14:textId="77777777" w:rsidR="00832F98" w:rsidRPr="005107DF" w:rsidRDefault="00832F98" w:rsidP="00B82475">
            <w:pPr>
              <w:jc w:val="center"/>
              <w:rPr>
                <w:rFonts w:ascii="Times New Roman" w:hAnsi="Times New Roman" w:cs="Times New Roman"/>
              </w:rPr>
            </w:pPr>
            <w:r>
              <w:rPr>
                <w:rFonts w:ascii="Times New Roman" w:hAnsi="Times New Roman"/>
                <w:b/>
                <w:i/>
                <w:sz w:val="32"/>
              </w:rPr>
              <w:t>OUTIL DE JUMELAGE</w:t>
            </w:r>
          </w:p>
        </w:tc>
      </w:tr>
    </w:tbl>
    <w:p w14:paraId="68CF2D98" w14:textId="77777777" w:rsidR="00832F98" w:rsidRPr="005107DF" w:rsidRDefault="00832F98" w:rsidP="00A92DE1">
      <w:pPr>
        <w:spacing w:after="0" w:line="240" w:lineRule="auto"/>
        <w:jc w:val="center"/>
        <w:rPr>
          <w:rFonts w:ascii="Times New Roman" w:eastAsia="Times New Roman" w:hAnsi="Times New Roman" w:cs="Times New Roman"/>
          <w:sz w:val="24"/>
          <w:szCs w:val="24"/>
        </w:rPr>
      </w:pPr>
    </w:p>
    <w:p w14:paraId="6F150405" w14:textId="77777777" w:rsidR="00832F98" w:rsidRPr="005107DF" w:rsidRDefault="00832F98" w:rsidP="00A92DE1">
      <w:pPr>
        <w:rPr>
          <w:rFonts w:ascii="Times New Roman" w:eastAsia="Times New Roman" w:hAnsi="Times New Roman" w:cs="Times New Roman"/>
          <w:sz w:val="24"/>
          <w:szCs w:val="24"/>
        </w:rPr>
      </w:pPr>
      <w:r>
        <w:rPr>
          <w:rFonts w:ascii="Times New Roman" w:hAnsi="Times New Roman"/>
          <w:i/>
          <w:sz w:val="24"/>
        </w:rPr>
        <w:t xml:space="preserve">(Il est recommandé que la fiche de jumelage complète ne dépasse pas </w:t>
      </w:r>
      <w:r w:rsidRPr="00452C1A">
        <w:rPr>
          <w:rFonts w:ascii="Times New Roman" w:hAnsi="Times New Roman"/>
          <w:i/>
          <w:sz w:val="24"/>
        </w:rPr>
        <w:t>10</w:t>
      </w:r>
      <w:r>
        <w:rPr>
          <w:rFonts w:ascii="Times New Roman" w:hAnsi="Times New Roman"/>
          <w:i/>
          <w:sz w:val="24"/>
        </w:rPr>
        <w:t> pages, annexes non comprises)</w:t>
      </w:r>
      <w:r>
        <w:br w:type="page"/>
      </w:r>
    </w:p>
    <w:p w14:paraId="144831EC"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b/>
          <w:bCs/>
          <w:color w:val="0000FF"/>
          <w:sz w:val="24"/>
          <w:szCs w:val="24"/>
        </w:rPr>
      </w:pPr>
      <w:r w:rsidRPr="00452C1A">
        <w:rPr>
          <w:rFonts w:ascii="Times New Roman" w:hAnsi="Times New Roman"/>
          <w:b/>
          <w:sz w:val="24"/>
        </w:rPr>
        <w:lastRenderedPageBreak/>
        <w:t>1</w:t>
      </w:r>
      <w:r>
        <w:rPr>
          <w:rFonts w:ascii="Times New Roman" w:hAnsi="Times New Roman"/>
          <w:b/>
          <w:sz w:val="24"/>
        </w:rPr>
        <w:t>.</w:t>
      </w:r>
      <w:r>
        <w:tab/>
      </w:r>
      <w:r>
        <w:rPr>
          <w:rFonts w:ascii="Times New Roman" w:hAnsi="Times New Roman"/>
          <w:b/>
          <w:sz w:val="24"/>
        </w:rPr>
        <w:t>Informations de base</w:t>
      </w:r>
    </w:p>
    <w:p w14:paraId="30AFF930" w14:textId="77777777" w:rsidR="00832F98" w:rsidRPr="005107DF" w:rsidRDefault="00832F98"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rPr>
      </w:pPr>
      <w:r w:rsidRPr="00452C1A">
        <w:rPr>
          <w:rFonts w:ascii="Times New Roman" w:hAnsi="Times New Roman"/>
          <w:sz w:val="24"/>
        </w:rPr>
        <w:t>1</w:t>
      </w:r>
      <w:r>
        <w:rPr>
          <w:rFonts w:ascii="Times New Roman" w:hAnsi="Times New Roman"/>
          <w:sz w:val="24"/>
        </w:rPr>
        <w:t>.</w:t>
      </w:r>
      <w:r w:rsidRPr="00452C1A">
        <w:rPr>
          <w:rFonts w:ascii="Times New Roman" w:hAnsi="Times New Roman"/>
          <w:sz w:val="24"/>
        </w:rPr>
        <w:t>1</w:t>
      </w:r>
      <w:r>
        <w:tab/>
      </w:r>
      <w:r>
        <w:rPr>
          <w:rFonts w:ascii="Times New Roman" w:hAnsi="Times New Roman"/>
          <w:sz w:val="24"/>
        </w:rPr>
        <w:t xml:space="preserve">Programme: </w:t>
      </w:r>
      <w:r>
        <w:rPr>
          <w:rFonts w:ascii="Times New Roman" w:hAnsi="Times New Roman"/>
          <w:i/>
          <w:sz w:val="24"/>
        </w:rPr>
        <w:t>indiquez la référence et l’année de la décision de financement, précisez le mode de gestion (gestion directe ou indirecte, avec contrôle ex ante ou ex post)</w:t>
      </w:r>
    </w:p>
    <w:p w14:paraId="69F760BB" w14:textId="77777777" w:rsidR="00832F98" w:rsidRPr="005107DF" w:rsidRDefault="00832F98"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rPr>
      </w:pPr>
    </w:p>
    <w:p w14:paraId="01098BA8" w14:textId="3214D6CA" w:rsidR="00832F98" w:rsidRPr="004946B7" w:rsidRDefault="00832F98" w:rsidP="004946B7">
      <w:pPr>
        <w:ind w:left="540"/>
        <w:jc w:val="both"/>
        <w:rPr>
          <w:rFonts w:ascii="Times New Roman" w:eastAsia="Times New Roman" w:hAnsi="Times New Roman" w:cs="Times New Roman"/>
          <w:i/>
          <w:sz w:val="24"/>
          <w:szCs w:val="24"/>
        </w:rPr>
      </w:pPr>
      <w:r>
        <w:rPr>
          <w:rFonts w:ascii="Times New Roman" w:hAnsi="Times New Roman"/>
          <w:i/>
          <w:sz w:val="24"/>
        </w:rPr>
        <w:t>Pour les demandeurs du Royaume-Uni: veuillez noter que les critères d’éligibilité doivent être respectés pendant toute la durée de la convention de subvention. Si le Royaume-Uni se retire de l’Union au cours de la période de subvention sans conclure avec l’Union un accord veillant notamment à ce que les demandeurs du Royaume-Uni continuent à être éligibles, vous cesserez de recevoir un financement de l’Union (tout en continuant, si c’est possible, à participer au projet) ou serez contraint de quitter le projet sur la base de l’article </w:t>
      </w:r>
      <w:r w:rsidRPr="00452C1A">
        <w:rPr>
          <w:rFonts w:ascii="Times New Roman" w:hAnsi="Times New Roman"/>
          <w:i/>
          <w:sz w:val="24"/>
        </w:rPr>
        <w:t>12</w:t>
      </w:r>
      <w:r>
        <w:rPr>
          <w:rFonts w:ascii="Times New Roman" w:hAnsi="Times New Roman"/>
          <w:i/>
          <w:sz w:val="24"/>
        </w:rPr>
        <w:t>.</w:t>
      </w:r>
      <w:r w:rsidRPr="00452C1A">
        <w:rPr>
          <w:rFonts w:ascii="Times New Roman" w:hAnsi="Times New Roman"/>
          <w:i/>
          <w:sz w:val="24"/>
        </w:rPr>
        <w:t>2</w:t>
      </w:r>
      <w:r>
        <w:rPr>
          <w:rFonts w:ascii="Times New Roman" w:hAnsi="Times New Roman"/>
          <w:i/>
          <w:sz w:val="24"/>
        </w:rPr>
        <w:t xml:space="preserve"> des conditions générales de la convention de subvention.</w:t>
      </w:r>
    </w:p>
    <w:p w14:paraId="663F4F9F" w14:textId="77777777" w:rsidR="00832F98" w:rsidRPr="005107DF" w:rsidRDefault="00832F98"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r w:rsidRPr="00452C1A">
        <w:rPr>
          <w:rFonts w:ascii="Times New Roman" w:hAnsi="Times New Roman"/>
          <w:sz w:val="24"/>
        </w:rPr>
        <w:t>1</w:t>
      </w:r>
      <w:r>
        <w:rPr>
          <w:rFonts w:ascii="Times New Roman" w:hAnsi="Times New Roman"/>
          <w:sz w:val="24"/>
        </w:rPr>
        <w:t>.</w:t>
      </w:r>
      <w:r w:rsidRPr="00452C1A">
        <w:rPr>
          <w:rFonts w:ascii="Times New Roman" w:hAnsi="Times New Roman"/>
          <w:sz w:val="24"/>
        </w:rPr>
        <w:t>2</w:t>
      </w:r>
      <w:r>
        <w:tab/>
      </w:r>
      <w:r>
        <w:rPr>
          <w:rFonts w:ascii="Times New Roman" w:hAnsi="Times New Roman"/>
          <w:sz w:val="24"/>
        </w:rPr>
        <w:t xml:space="preserve">Secteur de jumelage: </w:t>
      </w:r>
      <w:r>
        <w:rPr>
          <w:rFonts w:ascii="Times New Roman" w:hAnsi="Times New Roman"/>
          <w:i/>
          <w:sz w:val="24"/>
          <w:u w:val="dotted"/>
        </w:rPr>
        <w:t>veuillez consulter la liste des secteurs de jumelage spécifiques.</w:t>
      </w:r>
    </w:p>
    <w:p w14:paraId="25DE6B52" w14:textId="77777777" w:rsidR="00832F98" w:rsidRPr="005107DF" w:rsidRDefault="00832F98"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r w:rsidRPr="00452C1A">
        <w:rPr>
          <w:rFonts w:ascii="Times New Roman" w:hAnsi="Times New Roman"/>
          <w:sz w:val="24"/>
        </w:rPr>
        <w:t>1</w:t>
      </w:r>
      <w:r>
        <w:rPr>
          <w:rFonts w:ascii="Times New Roman" w:hAnsi="Times New Roman"/>
          <w:sz w:val="24"/>
        </w:rPr>
        <w:t>.</w:t>
      </w:r>
      <w:r w:rsidRPr="00452C1A">
        <w:rPr>
          <w:rFonts w:ascii="Times New Roman" w:hAnsi="Times New Roman"/>
          <w:sz w:val="24"/>
        </w:rPr>
        <w:t>3</w:t>
      </w:r>
      <w:r>
        <w:tab/>
      </w:r>
      <w:r>
        <w:rPr>
          <w:rFonts w:ascii="Times New Roman" w:hAnsi="Times New Roman"/>
          <w:sz w:val="24"/>
        </w:rPr>
        <w:t xml:space="preserve">Budget financé par l’Union européenne: </w:t>
      </w:r>
      <w:r>
        <w:rPr>
          <w:rFonts w:ascii="Times New Roman" w:hAnsi="Times New Roman"/>
          <w:i/>
          <w:sz w:val="24"/>
        </w:rPr>
        <w:t xml:space="preserve">montant maximal de la subvention au titre de l’IAP/IEV/IEVP (uniquement pour les décisions de financement jusqu’en </w:t>
      </w:r>
      <w:r w:rsidRPr="00452C1A">
        <w:rPr>
          <w:rFonts w:ascii="Times New Roman" w:hAnsi="Times New Roman"/>
          <w:i/>
          <w:sz w:val="24"/>
        </w:rPr>
        <w:t>2013</w:t>
      </w:r>
      <w:r>
        <w:rPr>
          <w:rFonts w:ascii="Times New Roman" w:hAnsi="Times New Roman"/>
          <w:i/>
          <w:sz w:val="24"/>
        </w:rPr>
        <w:t>)</w:t>
      </w:r>
    </w:p>
    <w:p w14:paraId="60C7DE96" w14:textId="77777777" w:rsidR="00832F98" w:rsidRPr="005107DF" w:rsidRDefault="00832F98" w:rsidP="00A92DE1">
      <w:pPr>
        <w:autoSpaceDE w:val="0"/>
        <w:autoSpaceDN w:val="0"/>
        <w:adjustRightInd w:val="0"/>
        <w:spacing w:after="0" w:line="240" w:lineRule="auto"/>
        <w:ind w:left="539" w:hanging="539"/>
        <w:rPr>
          <w:rFonts w:ascii="Times New Roman" w:eastAsia="Times New Roman" w:hAnsi="Times New Roman" w:cs="Times New Roman"/>
          <w:b/>
          <w:bCs/>
          <w:sz w:val="24"/>
          <w:szCs w:val="24"/>
        </w:rPr>
      </w:pPr>
    </w:p>
    <w:p w14:paraId="6EB30A5D"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rPr>
      </w:pPr>
      <w:r w:rsidRPr="00452C1A">
        <w:rPr>
          <w:rFonts w:ascii="Times New Roman" w:hAnsi="Times New Roman"/>
          <w:b/>
          <w:sz w:val="24"/>
        </w:rPr>
        <w:t>2</w:t>
      </w:r>
      <w:r>
        <w:rPr>
          <w:rFonts w:ascii="Times New Roman" w:hAnsi="Times New Roman"/>
          <w:b/>
          <w:sz w:val="24"/>
        </w:rPr>
        <w:t>.</w:t>
      </w:r>
      <w:r>
        <w:tab/>
      </w:r>
      <w:r>
        <w:rPr>
          <w:rFonts w:ascii="Times New Roman" w:hAnsi="Times New Roman"/>
          <w:b/>
          <w:sz w:val="24"/>
        </w:rPr>
        <w:t>Objectifs</w:t>
      </w:r>
    </w:p>
    <w:p w14:paraId="65A184DF" w14:textId="77777777" w:rsidR="00832F98" w:rsidRPr="005107DF" w:rsidRDefault="00832F98"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r w:rsidRPr="00452C1A">
        <w:rPr>
          <w:rFonts w:ascii="Times New Roman" w:hAnsi="Times New Roman"/>
          <w:b/>
          <w:sz w:val="24"/>
        </w:rPr>
        <w:t>2</w:t>
      </w:r>
      <w:r>
        <w:rPr>
          <w:rFonts w:ascii="Times New Roman" w:hAnsi="Times New Roman"/>
          <w:b/>
          <w:sz w:val="24"/>
        </w:rPr>
        <w:t>.</w:t>
      </w:r>
      <w:r w:rsidRPr="00452C1A">
        <w:rPr>
          <w:rFonts w:ascii="Times New Roman" w:hAnsi="Times New Roman"/>
          <w:b/>
          <w:sz w:val="24"/>
        </w:rPr>
        <w:t>1</w:t>
      </w:r>
      <w:r>
        <w:tab/>
      </w:r>
      <w:r>
        <w:rPr>
          <w:rFonts w:ascii="Times New Roman" w:hAnsi="Times New Roman"/>
          <w:sz w:val="24"/>
        </w:rPr>
        <w:t>Objectif(s) général (généraux):</w:t>
      </w:r>
    </w:p>
    <w:p w14:paraId="00735F38" w14:textId="77777777" w:rsidR="00832F98" w:rsidRPr="005107DF" w:rsidRDefault="00832F98" w:rsidP="00CA1245">
      <w:pPr>
        <w:tabs>
          <w:tab w:val="num" w:pos="540"/>
          <w:tab w:val="num" w:pos="567"/>
        </w:tabs>
        <w:spacing w:after="0" w:line="240" w:lineRule="auto"/>
        <w:ind w:left="567"/>
        <w:jc w:val="both"/>
        <w:rPr>
          <w:rFonts w:ascii="Times New Roman" w:eastAsia="Times New Roman" w:hAnsi="Times New Roman" w:cs="Times New Roman"/>
          <w:i/>
          <w:sz w:val="24"/>
          <w:szCs w:val="20"/>
        </w:rPr>
      </w:pPr>
      <w:r>
        <w:rPr>
          <w:rFonts w:ascii="Times New Roman" w:hAnsi="Times New Roman"/>
          <w:i/>
          <w:sz w:val="24"/>
        </w:rPr>
        <w:t>Le projet ne devrait avoir qu’un seul objectif général. Exceptionnellement, plusieurs objectifs pourront être définis s’ils contribuent à la clarté et à la logique du projet.</w:t>
      </w:r>
    </w:p>
    <w:p w14:paraId="651892A6" w14:textId="77777777" w:rsidR="00832F98" w:rsidRPr="005107DF" w:rsidRDefault="00832F98" w:rsidP="00CA1245">
      <w:pPr>
        <w:tabs>
          <w:tab w:val="num" w:pos="540"/>
          <w:tab w:val="num" w:pos="567"/>
        </w:tabs>
        <w:spacing w:after="0" w:line="240" w:lineRule="auto"/>
        <w:ind w:left="567"/>
        <w:jc w:val="both"/>
        <w:rPr>
          <w:rFonts w:ascii="Times New Roman" w:eastAsia="Times New Roman" w:hAnsi="Times New Roman" w:cs="Times New Roman"/>
          <w:i/>
          <w:sz w:val="24"/>
          <w:szCs w:val="20"/>
        </w:rPr>
      </w:pPr>
    </w:p>
    <w:p w14:paraId="7ABEEA0E" w14:textId="4FA55454" w:rsidR="00832F98" w:rsidRPr="005107DF" w:rsidRDefault="00CA1245" w:rsidP="00CA1245">
      <w:pPr>
        <w:tabs>
          <w:tab w:val="num" w:pos="540"/>
          <w:tab w:val="num" w:pos="567"/>
        </w:tabs>
        <w:spacing w:after="0" w:line="240" w:lineRule="auto"/>
        <w:ind w:left="567"/>
        <w:jc w:val="both"/>
        <w:rPr>
          <w:rFonts w:ascii="Times New Roman" w:eastAsia="Times New Roman" w:hAnsi="Times New Roman" w:cs="Times New Roman"/>
          <w:i/>
          <w:sz w:val="24"/>
          <w:szCs w:val="20"/>
        </w:rPr>
      </w:pPr>
      <w:r>
        <w:rPr>
          <w:rFonts w:ascii="Times New Roman" w:hAnsi="Times New Roman"/>
          <w:b/>
          <w:i/>
          <w:sz w:val="24"/>
        </w:rPr>
        <w:t xml:space="preserve"> </w:t>
      </w:r>
      <w:r w:rsidR="00832F98">
        <w:rPr>
          <w:rFonts w:ascii="Times New Roman" w:hAnsi="Times New Roman"/>
          <w:i/>
          <w:sz w:val="24"/>
        </w:rPr>
        <w:t>L’</w:t>
      </w:r>
      <w:r w:rsidR="00832F98">
        <w:rPr>
          <w:rFonts w:ascii="Times New Roman" w:hAnsi="Times New Roman"/>
          <w:b/>
          <w:i/>
          <w:sz w:val="24"/>
        </w:rPr>
        <w:t>objectif général</w:t>
      </w:r>
      <w:r w:rsidR="00832F98">
        <w:rPr>
          <w:rFonts w:ascii="Times New Roman" w:hAnsi="Times New Roman"/>
          <w:i/>
          <w:sz w:val="24"/>
        </w:rPr>
        <w:t xml:space="preserve"> devrait expliquer l’importance de votre projet pour le bénéficiaire. À cette fin, il doit faire référence aux bénéfices à long terme escomptés pour les bénéficiaires directs ainsi qu’aux bénéfices plus larges dont l’ensemble du pays bénéficiaire devrait tirer parti. Votre projet n’est pas supposé réaliser à lui seul l’objectif général: il peut en effet s’agir d’un processus global de réforme du secteur nécessitant l’impact d’autres projets et programmes de même que, éventuellement, celui d’actions mises en œuvre par d’autres donateurs.</w:t>
      </w:r>
    </w:p>
    <w:p w14:paraId="09261B24" w14:textId="77777777" w:rsidR="00832F98" w:rsidRPr="005107DF" w:rsidRDefault="00832F98"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14:paraId="15EBF7E4"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2</w:t>
      </w:r>
      <w:r>
        <w:rPr>
          <w:rFonts w:ascii="Times New Roman" w:hAnsi="Times New Roman"/>
          <w:sz w:val="24"/>
        </w:rPr>
        <w:t>.</w:t>
      </w:r>
      <w:r w:rsidRPr="00452C1A">
        <w:rPr>
          <w:rFonts w:ascii="Times New Roman" w:hAnsi="Times New Roman"/>
          <w:sz w:val="24"/>
        </w:rPr>
        <w:t>2</w:t>
      </w:r>
      <w:r>
        <w:tab/>
      </w:r>
      <w:r>
        <w:rPr>
          <w:rFonts w:ascii="Times New Roman" w:hAnsi="Times New Roman"/>
          <w:sz w:val="24"/>
        </w:rPr>
        <w:t xml:space="preserve">Objectif spécifique: </w:t>
      </w:r>
    </w:p>
    <w:p w14:paraId="1891A811" w14:textId="77777777" w:rsidR="00832F98" w:rsidRPr="005107DF" w:rsidRDefault="00832F98" w:rsidP="00CA1245">
      <w:pPr>
        <w:tabs>
          <w:tab w:val="num" w:pos="540"/>
          <w:tab w:val="num" w:pos="1134"/>
        </w:tabs>
        <w:spacing w:after="0" w:line="240" w:lineRule="auto"/>
        <w:ind w:left="567"/>
        <w:jc w:val="both"/>
        <w:rPr>
          <w:rFonts w:ascii="Times New Roman" w:eastAsia="Times New Roman" w:hAnsi="Times New Roman" w:cs="Times New Roman"/>
          <w:i/>
          <w:sz w:val="24"/>
          <w:szCs w:val="20"/>
        </w:rPr>
      </w:pPr>
      <w:r>
        <w:rPr>
          <w:rFonts w:ascii="Times New Roman" w:hAnsi="Times New Roman"/>
          <w:i/>
          <w:sz w:val="24"/>
        </w:rPr>
        <w:t>Chaque projet ne devrait avoir qu’un seul objectif spécifique. Exceptionnellement, plusieurs objectifs spécifiques pourront être définis s’ils contribuent à la clarté et à la logique du projet.</w:t>
      </w:r>
    </w:p>
    <w:p w14:paraId="26E95D88" w14:textId="77777777" w:rsidR="00832F98" w:rsidRPr="005107DF" w:rsidRDefault="00832F98" w:rsidP="00CA1245">
      <w:pPr>
        <w:tabs>
          <w:tab w:val="num" w:pos="540"/>
          <w:tab w:val="num" w:pos="1134"/>
        </w:tabs>
        <w:spacing w:after="0" w:line="240" w:lineRule="auto"/>
        <w:ind w:left="567"/>
        <w:jc w:val="both"/>
        <w:rPr>
          <w:rFonts w:ascii="Times New Roman" w:eastAsia="Times New Roman" w:hAnsi="Times New Roman" w:cs="Times New Roman"/>
          <w:i/>
          <w:sz w:val="24"/>
          <w:szCs w:val="20"/>
        </w:rPr>
      </w:pPr>
    </w:p>
    <w:p w14:paraId="61B5FD93" w14:textId="77777777" w:rsidR="00832F98" w:rsidRPr="005107DF" w:rsidRDefault="00832F98" w:rsidP="00CA1245">
      <w:pPr>
        <w:tabs>
          <w:tab w:val="num" w:pos="540"/>
          <w:tab w:val="num" w:pos="1134"/>
        </w:tabs>
        <w:spacing w:after="0" w:line="240" w:lineRule="auto"/>
        <w:ind w:left="567"/>
        <w:jc w:val="both"/>
        <w:rPr>
          <w:rFonts w:ascii="Times New Roman" w:eastAsia="Times New Roman" w:hAnsi="Times New Roman" w:cs="Times New Roman"/>
          <w:i/>
          <w:sz w:val="24"/>
          <w:szCs w:val="20"/>
        </w:rPr>
      </w:pPr>
      <w:r>
        <w:rPr>
          <w:rFonts w:ascii="Times New Roman" w:hAnsi="Times New Roman"/>
          <w:b/>
          <w:i/>
          <w:smallCaps/>
          <w:sz w:val="24"/>
        </w:rPr>
        <w:t>Rappel:</w:t>
      </w:r>
      <w:r>
        <w:rPr>
          <w:rFonts w:ascii="Times New Roman" w:hAnsi="Times New Roman"/>
          <w:b/>
          <w:i/>
          <w:sz w:val="24"/>
        </w:rPr>
        <w:t> </w:t>
      </w:r>
      <w:r>
        <w:rPr>
          <w:rFonts w:ascii="Times New Roman" w:hAnsi="Times New Roman"/>
          <w:i/>
          <w:sz w:val="24"/>
        </w:rPr>
        <w:t>essayez de viser un seul objectif spécifique par projet. L’</w:t>
      </w:r>
      <w:r>
        <w:rPr>
          <w:rFonts w:ascii="Times New Roman" w:hAnsi="Times New Roman"/>
          <w:b/>
          <w:i/>
          <w:sz w:val="24"/>
        </w:rPr>
        <w:t>objectif spécifique du projet</w:t>
      </w:r>
      <w:r>
        <w:rPr>
          <w:rFonts w:ascii="Times New Roman" w:hAnsi="Times New Roman"/>
          <w:i/>
          <w:sz w:val="24"/>
        </w:rPr>
        <w:t xml:space="preserve"> est l’objectif unique et central du projet. Il devrait être décrit en termes de bénéfices durables que le projet apportera aux bénéficiaires ciblés.</w:t>
      </w:r>
    </w:p>
    <w:p w14:paraId="1DCDE212" w14:textId="77777777" w:rsidR="00832F98" w:rsidRPr="005107DF" w:rsidRDefault="00832F98" w:rsidP="00A92DE1">
      <w:pPr>
        <w:tabs>
          <w:tab w:val="num" w:pos="540"/>
          <w:tab w:val="num" w:pos="1494"/>
        </w:tabs>
        <w:spacing w:after="0" w:line="240" w:lineRule="auto"/>
        <w:rPr>
          <w:rFonts w:ascii="Times New Roman" w:eastAsia="Times New Roman" w:hAnsi="Times New Roman" w:cs="Times New Roman"/>
          <w:i/>
          <w:sz w:val="24"/>
          <w:szCs w:val="20"/>
        </w:rPr>
      </w:pPr>
    </w:p>
    <w:p w14:paraId="7E669511" w14:textId="2C68E331" w:rsidR="00832F98" w:rsidRDefault="00832F98" w:rsidP="00A92DE1">
      <w:pPr>
        <w:autoSpaceDE w:val="0"/>
        <w:autoSpaceDN w:val="0"/>
        <w:adjustRightInd w:val="0"/>
        <w:spacing w:before="120" w:after="0" w:line="240" w:lineRule="auto"/>
        <w:ind w:left="540" w:hanging="540"/>
        <w:jc w:val="both"/>
        <w:rPr>
          <w:rFonts w:ascii="Times New Roman" w:hAnsi="Times New Roman"/>
          <w:sz w:val="24"/>
        </w:rPr>
      </w:pPr>
      <w:r w:rsidRPr="00452C1A">
        <w:rPr>
          <w:rFonts w:ascii="Times New Roman" w:hAnsi="Times New Roman"/>
          <w:sz w:val="24"/>
        </w:rPr>
        <w:t>2</w:t>
      </w:r>
      <w:r>
        <w:rPr>
          <w:rFonts w:ascii="Times New Roman" w:hAnsi="Times New Roman"/>
          <w:sz w:val="24"/>
        </w:rPr>
        <w:t>.</w:t>
      </w:r>
      <w:r w:rsidRPr="00452C1A">
        <w:rPr>
          <w:rFonts w:ascii="Times New Roman" w:hAnsi="Times New Roman"/>
          <w:sz w:val="24"/>
        </w:rPr>
        <w:t>3</w:t>
      </w:r>
      <w:r>
        <w:tab/>
      </w:r>
      <w:r>
        <w:rPr>
          <w:rFonts w:ascii="Times New Roman" w:hAnsi="Times New Roman"/>
          <w:sz w:val="24"/>
        </w:rPr>
        <w:t>Les éléments ciblés dans les documents stratégiques, à savoir le plan national de développement/l’accord de coopération/l’accord d’association/la stratégie de réforme sectorielle et les plans d’action connexes</w:t>
      </w:r>
    </w:p>
    <w:p w14:paraId="4071A6C9" w14:textId="21428AF5" w:rsidR="00832F98" w:rsidRPr="005107DF" w:rsidRDefault="00832F98" w:rsidP="00A92DE1">
      <w:pPr>
        <w:autoSpaceDE w:val="0"/>
        <w:autoSpaceDN w:val="0"/>
        <w:adjustRightInd w:val="0"/>
        <w:spacing w:after="0" w:line="240" w:lineRule="auto"/>
        <w:rPr>
          <w:rFonts w:ascii="Times New Roman" w:eastAsia="Times New Roman" w:hAnsi="Times New Roman" w:cs="Times New Roman"/>
          <w:b/>
          <w:bCs/>
          <w:sz w:val="24"/>
          <w:szCs w:val="24"/>
        </w:rPr>
      </w:pPr>
    </w:p>
    <w:p w14:paraId="63183F5D"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rPr>
      </w:pPr>
      <w:r w:rsidRPr="00452C1A">
        <w:rPr>
          <w:rFonts w:ascii="Times New Roman" w:hAnsi="Times New Roman"/>
          <w:b/>
          <w:sz w:val="24"/>
        </w:rPr>
        <w:t>3</w:t>
      </w:r>
      <w:r>
        <w:rPr>
          <w:rFonts w:ascii="Times New Roman" w:hAnsi="Times New Roman"/>
          <w:b/>
          <w:sz w:val="24"/>
        </w:rPr>
        <w:t>.</w:t>
      </w:r>
      <w:r>
        <w:tab/>
      </w:r>
      <w:r>
        <w:rPr>
          <w:rFonts w:ascii="Times New Roman" w:hAnsi="Times New Roman"/>
          <w:b/>
          <w:sz w:val="24"/>
        </w:rPr>
        <w:t>Description</w:t>
      </w:r>
    </w:p>
    <w:p w14:paraId="3443C487"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1</w:t>
      </w:r>
      <w:r>
        <w:tab/>
      </w:r>
      <w:r>
        <w:rPr>
          <w:rFonts w:ascii="Times New Roman" w:hAnsi="Times New Roman"/>
          <w:sz w:val="24"/>
        </w:rPr>
        <w:t xml:space="preserve">Contexte et justification: </w:t>
      </w:r>
    </w:p>
    <w:p w14:paraId="26D73E8B"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 xml:space="preserve">Les informations essentielles doivent être indiquées dans cette section afin de s’assurer que le ou les États membres de l’UE comprennent l’aide qui est attendue de leur part. </w:t>
      </w:r>
      <w:r>
        <w:rPr>
          <w:rFonts w:ascii="Times New Roman" w:hAnsi="Times New Roman"/>
          <w:i/>
          <w:sz w:val="24"/>
        </w:rPr>
        <w:lastRenderedPageBreak/>
        <w:t xml:space="preserve">Décrivez le domaine de compétence, le mandat et la structure organisationnelle de l’administration bénéficiaire, en indiquant ses forces et ses faiblesses. Si plusieurs administrations sont concernées, précisez leur relation dans le cadre de la mise en œuvre du projet et indiquez si ce dernier entraînera une modification des structures institutionnelles. </w:t>
      </w:r>
    </w:p>
    <w:p w14:paraId="2A87299F"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Décrivez le cadre juridique national existant en mentionnant les actes législatifs/directives/normes susceptibles d’affecter ou d’être affectés par le projet de jumelage.</w:t>
      </w:r>
    </w:p>
    <w:p w14:paraId="1E548B69"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2</w:t>
      </w:r>
      <w:r>
        <w:tab/>
      </w:r>
      <w:r>
        <w:rPr>
          <w:rFonts w:ascii="Times New Roman" w:hAnsi="Times New Roman"/>
          <w:sz w:val="24"/>
        </w:rPr>
        <w:t>Réformes en cours:</w:t>
      </w:r>
    </w:p>
    <w:p w14:paraId="2C74FC09"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Décrivez le cadre (dialogue politique, cadres de suivi du secteur/groupes de travail sectoriels) dans lequel le projet de jumelage sera mis en œuvre, en expliquant les efforts déployés par votre pays pour mener à bien la ou des réformes sectorielles. Vous pouvez faire référence aux «objectifs spécifiques» des règlements IAP II et IEV, en mettant l’accent sur le domaine que couvrira le projet de jumelage.</w:t>
      </w:r>
    </w:p>
    <w:p w14:paraId="1EF5A449"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3</w:t>
      </w:r>
      <w:r>
        <w:tab/>
      </w:r>
      <w:r>
        <w:rPr>
          <w:rFonts w:ascii="Times New Roman" w:hAnsi="Times New Roman"/>
          <w:sz w:val="24"/>
        </w:rPr>
        <w:t xml:space="preserve">Activités connexes: </w:t>
      </w:r>
    </w:p>
    <w:p w14:paraId="50AC5524"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0"/>
        </w:rPr>
      </w:pPr>
      <w:r>
        <w:rPr>
          <w:rFonts w:ascii="Times New Roman" w:hAnsi="Times New Roman"/>
          <w:i/>
          <w:sz w:val="24"/>
        </w:rPr>
        <w:t>Indiquez ici les informations essentielles relatives à l’assistance (de l’UE ou d’autres donateurs) déjà fournie et/ou toujours disponible à moyen et long terme. Décrivez les activités réalisées actuellement ou précédemment par l’UE dans ce domaine, en soulignant les liens éventuels entre chacune d’entre elles et avec le projet, et expliquez comment le projet de jumelage peut contribuer à la mise en œuvre des accords et/ou des cadres de coopération avec l’UE. Décrivez en outre brièvement les activités pertinentes actuellement mises en œuvre par d’autres acteurs, tels que le gouvernement, le secteur privé, la société civile ou les institutions financières internationales (IFI).</w:t>
      </w:r>
    </w:p>
    <w:p w14:paraId="7E4B30FF" w14:textId="77777777" w:rsidR="00832F98" w:rsidRPr="005107DF" w:rsidRDefault="00832F98"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 xml:space="preserve">Indiquez brièvement si des efforts de réforme horizontale de l’administration publique (RAP) sont en cours dans votre pays et s’ils sont soutenus par l’UE ou d’autres donateurs. Décrivez spécifiquement la manière dont l’élaboration des politiques (et de la législation) est abordée et quelles sont les exigences en matière d’analyse d’impact (réglementaire, budgétaire) et de consultations publiques et interministérielles. </w:t>
      </w:r>
    </w:p>
    <w:p w14:paraId="25A3AE8F"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4</w:t>
      </w:r>
      <w:r>
        <w:tab/>
      </w:r>
      <w:r>
        <w:rPr>
          <w:rFonts w:ascii="Times New Roman" w:hAnsi="Times New Roman"/>
          <w:sz w:val="24"/>
        </w:rPr>
        <w:t>Liste des dispositions de l’acquis de l’UE/des normes applicables:</w:t>
      </w:r>
    </w:p>
    <w:p w14:paraId="136C6A9C"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i/>
          <w:sz w:val="24"/>
          <w:szCs w:val="24"/>
        </w:rPr>
      </w:pPr>
      <w:r>
        <w:tab/>
      </w:r>
      <w:r>
        <w:rPr>
          <w:rFonts w:ascii="Times New Roman" w:hAnsi="Times New Roman"/>
          <w:i/>
          <w:sz w:val="24"/>
        </w:rPr>
        <w:t>Le cas échéant,</w:t>
      </w:r>
      <w:r>
        <w:rPr>
          <w:rFonts w:ascii="Times New Roman" w:hAnsi="Times New Roman"/>
          <w:sz w:val="24"/>
        </w:rPr>
        <w:t xml:space="preserve"> </w:t>
      </w:r>
      <w:r>
        <w:rPr>
          <w:rFonts w:ascii="Times New Roman" w:hAnsi="Times New Roman"/>
          <w:i/>
          <w:sz w:val="24"/>
        </w:rPr>
        <w:t>indiquez les dispositions législatives nationales correspondantes.</w:t>
      </w:r>
    </w:p>
    <w:p w14:paraId="4142A12A"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5</w:t>
      </w:r>
      <w:r>
        <w:tab/>
      </w:r>
      <w:r>
        <w:rPr>
          <w:rFonts w:ascii="Times New Roman" w:hAnsi="Times New Roman"/>
          <w:sz w:val="24"/>
        </w:rPr>
        <w:t>Volets et résultats par volet</w:t>
      </w:r>
    </w:p>
    <w:p w14:paraId="342D8E77" w14:textId="77777777" w:rsidR="00832F98" w:rsidRPr="005107DF" w:rsidRDefault="00832F98"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rPr>
      </w:pPr>
      <w:r>
        <w:rPr>
          <w:rFonts w:ascii="Times New Roman" w:hAnsi="Times New Roman"/>
          <w:i/>
          <w:sz w:val="24"/>
        </w:rPr>
        <w:t>Les résultats décrits sous ce point doivent correspondre aux résultats inscrits dans le cadre logique; décrivez les résultats qui auront été obtenus à la fin du projet ou de chaque phase de celui-ci et la manière dont ils contribueront à atteindre de manière durable l’objectif spécifique du projet. Les indicateurs de résultat devraient être mesurables, vérifiables et situés dans le temps</w:t>
      </w:r>
      <w:r>
        <w:rPr>
          <w:rFonts w:ascii="Times New Roman" w:hAnsi="Times New Roman"/>
          <w:sz w:val="24"/>
        </w:rPr>
        <w:t>.</w:t>
      </w:r>
    </w:p>
    <w:p w14:paraId="41966473" w14:textId="1C1DDBCC" w:rsidR="004946B7" w:rsidRPr="00CA1245" w:rsidRDefault="00832F98" w:rsidP="00CA1245">
      <w:pPr>
        <w:autoSpaceDE w:val="0"/>
        <w:autoSpaceDN w:val="0"/>
        <w:adjustRightInd w:val="0"/>
        <w:spacing w:before="120" w:after="0" w:line="240" w:lineRule="auto"/>
        <w:ind w:left="540"/>
        <w:jc w:val="both"/>
        <w:rPr>
          <w:rFonts w:ascii="Times New Roman" w:hAnsi="Times New Roman"/>
          <w:i/>
          <w:sz w:val="24"/>
        </w:rPr>
      </w:pPr>
      <w:r>
        <w:rPr>
          <w:rFonts w:ascii="Times New Roman" w:hAnsi="Times New Roman"/>
          <w:i/>
          <w:sz w:val="24"/>
        </w:rPr>
        <w:t>À titre d’exemple, un document élaboré par les services de la DG NEAR au sujet de la «logique d’intervention» est joint en annexe C</w:t>
      </w:r>
      <w:r w:rsidRPr="00452C1A">
        <w:rPr>
          <w:rFonts w:ascii="Times New Roman" w:hAnsi="Times New Roman"/>
          <w:i/>
          <w:sz w:val="24"/>
        </w:rPr>
        <w:t>1</w:t>
      </w:r>
      <w:r>
        <w:rPr>
          <w:rFonts w:ascii="Times New Roman" w:hAnsi="Times New Roman"/>
          <w:i/>
          <w:sz w:val="24"/>
        </w:rPr>
        <w:t>a. Il convient également de consulter les documents de travail de la DG NEAR relatifs à la définition d’objecti</w:t>
      </w:r>
      <w:r w:rsidR="00CA1245">
        <w:rPr>
          <w:rFonts w:ascii="Times New Roman" w:hAnsi="Times New Roman"/>
          <w:i/>
          <w:sz w:val="24"/>
        </w:rPr>
        <w:t>fs et d’indicateurs mesurables.</w:t>
      </w:r>
    </w:p>
    <w:p w14:paraId="0FEBE827"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6</w:t>
      </w:r>
      <w:r>
        <w:tab/>
      </w:r>
      <w:r>
        <w:rPr>
          <w:rFonts w:ascii="Times New Roman" w:hAnsi="Times New Roman"/>
          <w:sz w:val="24"/>
        </w:rPr>
        <w:t>Moyens et apports de la ou des administrations de l’État membre de l’UE partenaire:</w:t>
      </w:r>
    </w:p>
    <w:p w14:paraId="6835D8F6" w14:textId="77777777" w:rsidR="00832F98" w:rsidRPr="005107DF" w:rsidRDefault="00832F98" w:rsidP="00A92DE1">
      <w:pPr>
        <w:tabs>
          <w:tab w:val="left" w:pos="900"/>
        </w:tabs>
        <w:autoSpaceDE w:val="0"/>
        <w:autoSpaceDN w:val="0"/>
        <w:adjustRightInd w:val="0"/>
        <w:spacing w:before="120" w:after="0" w:line="240" w:lineRule="auto"/>
        <w:ind w:left="540" w:hanging="540"/>
        <w:jc w:val="both"/>
        <w:rPr>
          <w:rFonts w:ascii="Times New Roman" w:eastAsia="Times New Roman" w:hAnsi="Times New Roman" w:cs="Times New Roman"/>
          <w:b/>
          <w:i/>
          <w:color w:val="1F497D"/>
          <w:sz w:val="24"/>
          <w:szCs w:val="24"/>
        </w:rPr>
      </w:pPr>
      <w:r>
        <w:tab/>
      </w:r>
      <w:r>
        <w:rPr>
          <w:rFonts w:ascii="Times New Roman" w:hAnsi="Times New Roman"/>
          <w:i/>
          <w:sz w:val="24"/>
        </w:rPr>
        <w:t>Toute description des modalités et de la programmation proposées doit rester suffisamment large pour donner aux États membres la possibilité de concevoir leur propre proposition, en démontrant la valeur ajoutée de leur propre approche méthodologique et l’avantage comparatif de leur contribution.</w:t>
      </w:r>
      <w:r>
        <w:rPr>
          <w:rFonts w:ascii="Times New Roman" w:hAnsi="Times New Roman"/>
          <w:b/>
          <w:i/>
          <w:color w:val="1F497D"/>
          <w:sz w:val="24"/>
        </w:rPr>
        <w:t xml:space="preserve"> </w:t>
      </w:r>
    </w:p>
    <w:p w14:paraId="74D1496E" w14:textId="05B96E23" w:rsidR="00832F98" w:rsidRPr="005107DF" w:rsidRDefault="00832F98" w:rsidP="00A92DE1">
      <w:pPr>
        <w:tabs>
          <w:tab w:val="left" w:pos="900"/>
        </w:tabs>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6</w:t>
      </w:r>
      <w:r>
        <w:rPr>
          <w:rFonts w:ascii="Times New Roman" w:hAnsi="Times New Roman"/>
          <w:sz w:val="24"/>
        </w:rPr>
        <w:t>.</w:t>
      </w:r>
      <w:r w:rsidRPr="00452C1A">
        <w:rPr>
          <w:rFonts w:ascii="Times New Roman" w:hAnsi="Times New Roman"/>
          <w:sz w:val="24"/>
        </w:rPr>
        <w:t>1</w:t>
      </w:r>
      <w:r>
        <w:rPr>
          <w:rFonts w:ascii="Times New Roman" w:hAnsi="Times New Roman"/>
          <w:sz w:val="24"/>
        </w:rPr>
        <w:t xml:space="preserve"> Profil et tâches du CP:</w:t>
      </w:r>
    </w:p>
    <w:p w14:paraId="1BFAE8AA" w14:textId="77777777" w:rsidR="00832F98" w:rsidRPr="005107DF" w:rsidRDefault="00832F98" w:rsidP="00A92DE1">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lastRenderedPageBreak/>
        <w:t xml:space="preserve">Énumérez les compétences de base exigées; </w:t>
      </w:r>
    </w:p>
    <w:p w14:paraId="03BC8439" w14:textId="77777777" w:rsidR="00832F98" w:rsidRPr="005107DF" w:rsidRDefault="00832F98" w:rsidP="00A92DE1">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minimum trois ans d’expérience spécifique;</w:t>
      </w:r>
    </w:p>
    <w:p w14:paraId="7229369A" w14:textId="77777777" w:rsidR="00832F98" w:rsidRPr="005107DF" w:rsidRDefault="00832F98" w:rsidP="00A92DE1">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diplôme universitaire ou expérience professionnelle équivalente de huit ans. </w:t>
      </w:r>
    </w:p>
    <w:p w14:paraId="28850E67" w14:textId="1663F6D9" w:rsidR="00832F98" w:rsidRPr="005D707D" w:rsidRDefault="00832F98" w:rsidP="005D707D">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Etc.</w:t>
      </w:r>
    </w:p>
    <w:p w14:paraId="13864A5B" w14:textId="77777777" w:rsidR="00832F98" w:rsidRPr="005107DF" w:rsidRDefault="00832F98" w:rsidP="00CA1245">
      <w:pPr>
        <w:autoSpaceDE w:val="0"/>
        <w:autoSpaceDN w:val="0"/>
        <w:adjustRightInd w:val="0"/>
        <w:spacing w:before="120" w:after="0" w:line="240" w:lineRule="auto"/>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6</w:t>
      </w:r>
      <w:r>
        <w:rPr>
          <w:rFonts w:ascii="Times New Roman" w:hAnsi="Times New Roman"/>
          <w:sz w:val="24"/>
        </w:rPr>
        <w:t>.</w:t>
      </w:r>
      <w:r w:rsidRPr="00452C1A">
        <w:rPr>
          <w:rFonts w:ascii="Times New Roman" w:hAnsi="Times New Roman"/>
          <w:sz w:val="24"/>
        </w:rPr>
        <w:t>2</w:t>
      </w:r>
      <w:r>
        <w:rPr>
          <w:rFonts w:ascii="Times New Roman" w:hAnsi="Times New Roman"/>
          <w:sz w:val="24"/>
        </w:rPr>
        <w:t xml:space="preserve"> Profil et tâches du CRJ:</w:t>
      </w:r>
    </w:p>
    <w:p w14:paraId="21DF3CBC"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 xml:space="preserve">Énumérez les compétences de base exigées; </w:t>
      </w:r>
    </w:p>
    <w:p w14:paraId="0C29AA34"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 xml:space="preserve">minimum trois ans d’expérience spécifique; </w:t>
      </w:r>
    </w:p>
    <w:p w14:paraId="35733F51" w14:textId="77777777" w:rsidR="00832F98" w:rsidRPr="005107DF" w:rsidRDefault="00832F98" w:rsidP="00A92DE1">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diplôme universitaire ou expérience professionnelle équivalente de huit ans. </w:t>
      </w:r>
    </w:p>
    <w:p w14:paraId="2150E9A2"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Etc.</w:t>
      </w:r>
    </w:p>
    <w:p w14:paraId="381FB236" w14:textId="77777777" w:rsidR="00832F98" w:rsidRPr="005107DF" w:rsidRDefault="00832F98" w:rsidP="00CA1245">
      <w:pPr>
        <w:autoSpaceDE w:val="0"/>
        <w:autoSpaceDN w:val="0"/>
        <w:adjustRightInd w:val="0"/>
        <w:spacing w:before="120" w:after="0" w:line="240" w:lineRule="auto"/>
        <w:rPr>
          <w:rFonts w:ascii="Times New Roman" w:eastAsia="Times New Roman" w:hAnsi="Times New Roman" w:cs="Times New Roman"/>
          <w:i/>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6</w:t>
      </w:r>
      <w:r>
        <w:rPr>
          <w:rFonts w:ascii="Times New Roman" w:hAnsi="Times New Roman"/>
          <w:sz w:val="24"/>
        </w:rPr>
        <w:t>.</w:t>
      </w:r>
      <w:r w:rsidRPr="00452C1A">
        <w:rPr>
          <w:rFonts w:ascii="Times New Roman" w:hAnsi="Times New Roman"/>
          <w:sz w:val="24"/>
        </w:rPr>
        <w:t>3</w:t>
      </w:r>
      <w:r>
        <w:rPr>
          <w:rFonts w:ascii="Times New Roman" w:hAnsi="Times New Roman"/>
          <w:sz w:val="24"/>
        </w:rPr>
        <w:t xml:space="preserve"> Profil et tâches des responsables de volets</w:t>
      </w:r>
      <w:r>
        <w:rPr>
          <w:rFonts w:ascii="Times New Roman" w:hAnsi="Times New Roman"/>
          <w:i/>
        </w:rPr>
        <w:t>:</w:t>
      </w:r>
    </w:p>
    <w:p w14:paraId="33048A99" w14:textId="77777777" w:rsidR="00832F98" w:rsidRPr="005107DF" w:rsidRDefault="00832F98" w:rsidP="00A92DE1">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Énumérez les compétences de base exigées; </w:t>
      </w:r>
    </w:p>
    <w:p w14:paraId="5045E646" w14:textId="77777777" w:rsidR="00832F98" w:rsidRPr="005107DF" w:rsidRDefault="00832F98" w:rsidP="00A92DE1">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minimum trois ans d’expérience spécifique; </w:t>
      </w:r>
    </w:p>
    <w:p w14:paraId="249FEB57" w14:textId="77777777" w:rsidR="00832F98" w:rsidRPr="005107DF" w:rsidRDefault="00832F98" w:rsidP="00A92DE1">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diplôme universitaire ou expérience professionnelle équivalente de huit ans. </w:t>
      </w:r>
    </w:p>
    <w:p w14:paraId="26142F44" w14:textId="77777777" w:rsidR="00832F98" w:rsidRPr="005107DF" w:rsidRDefault="00832F98" w:rsidP="00A92DE1">
      <w:pPr>
        <w:autoSpaceDE w:val="0"/>
        <w:autoSpaceDN w:val="0"/>
        <w:adjustRightInd w:val="0"/>
        <w:spacing w:before="120" w:after="0" w:line="240" w:lineRule="auto"/>
        <w:ind w:firstLine="540"/>
        <w:rPr>
          <w:rFonts w:ascii="Times New Roman" w:eastAsia="Times New Roman" w:hAnsi="Times New Roman" w:cs="Times New Roman"/>
          <w:sz w:val="24"/>
          <w:szCs w:val="24"/>
        </w:rPr>
      </w:pPr>
      <w:r>
        <w:rPr>
          <w:rFonts w:ascii="Times New Roman" w:hAnsi="Times New Roman"/>
          <w:sz w:val="24"/>
        </w:rPr>
        <w:t>Etc.</w:t>
      </w:r>
    </w:p>
    <w:p w14:paraId="6F660231" w14:textId="77777777" w:rsidR="00832F98" w:rsidRPr="005107DF" w:rsidRDefault="00832F98" w:rsidP="00CA1245">
      <w:pPr>
        <w:autoSpaceDE w:val="0"/>
        <w:autoSpaceDN w:val="0"/>
        <w:adjustRightInd w:val="0"/>
        <w:spacing w:before="120" w:after="0" w:line="240" w:lineRule="auto"/>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6</w:t>
      </w:r>
      <w:r>
        <w:rPr>
          <w:rFonts w:ascii="Times New Roman" w:hAnsi="Times New Roman"/>
          <w:sz w:val="24"/>
        </w:rPr>
        <w:t>.</w:t>
      </w:r>
      <w:r w:rsidRPr="00452C1A">
        <w:rPr>
          <w:rFonts w:ascii="Times New Roman" w:hAnsi="Times New Roman"/>
          <w:sz w:val="24"/>
        </w:rPr>
        <w:t>4</w:t>
      </w:r>
      <w:r>
        <w:rPr>
          <w:rFonts w:ascii="Times New Roman" w:hAnsi="Times New Roman"/>
          <w:sz w:val="24"/>
        </w:rPr>
        <w:t xml:space="preserve"> Profil et tâches des autres experts à court terme</w:t>
      </w:r>
      <w:r>
        <w:rPr>
          <w:rFonts w:ascii="Times New Roman" w:hAnsi="Times New Roman"/>
          <w:i/>
        </w:rPr>
        <w:t>:</w:t>
      </w:r>
    </w:p>
    <w:p w14:paraId="376EFE5F"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Une description commune est suffisante, à moins qu’un profil spécifique ne soit recherché (expert informatique, par exemple).</w:t>
      </w:r>
    </w:p>
    <w:p w14:paraId="382163FF" w14:textId="77777777" w:rsidR="00832F98" w:rsidRPr="005107DF" w:rsidRDefault="00832F98" w:rsidP="00A92DE1">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Énumérez les compétences de base exigées; </w:t>
      </w:r>
    </w:p>
    <w:p w14:paraId="7405ED2C" w14:textId="77777777" w:rsidR="00832F98" w:rsidRPr="005107DF" w:rsidRDefault="00832F98" w:rsidP="00A92DE1">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minimum trois ans d’expérience spécifique; </w:t>
      </w:r>
    </w:p>
    <w:p w14:paraId="2268B263" w14:textId="77777777" w:rsidR="00832F98" w:rsidRPr="005107DF" w:rsidRDefault="00832F98" w:rsidP="00A92DE1">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diplôme universitaire ou expérience professionnelle équivalente de huit ans. </w:t>
      </w:r>
    </w:p>
    <w:p w14:paraId="25904E1E" w14:textId="77777777" w:rsidR="00832F98" w:rsidRPr="005107DF" w:rsidRDefault="00832F98"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*Les administrations contractantes doivent noter que, si elles utilisent le terme «minimum», les propositions qui ne satisfont pas à ce critère devront être considérées comme non conformes et que, dans ce cas, l’expérience conjointe de l’équipe (CP, CRJ, responsables de volets) ne peut compenser le non-respect de l’exigence minimale.</w:t>
      </w:r>
    </w:p>
    <w:p w14:paraId="2C1199AF" w14:textId="77777777" w:rsidR="00832F98" w:rsidRPr="005107DF" w:rsidRDefault="00832F98"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 xml:space="preserve">* Les administrations contractantes sont invitées à réfléchir soigneusement au niveau d’apport d’experts du secteur privé requis et à définir si possible le niveau maximal accepté.     </w:t>
      </w:r>
    </w:p>
    <w:p w14:paraId="3A419EAC" w14:textId="77777777" w:rsidR="00832F98" w:rsidRPr="005107DF" w:rsidRDefault="00832F98" w:rsidP="00A92DE1">
      <w:pPr>
        <w:autoSpaceDE w:val="0"/>
        <w:autoSpaceDN w:val="0"/>
        <w:adjustRightInd w:val="0"/>
        <w:spacing w:after="0" w:line="240" w:lineRule="auto"/>
        <w:ind w:firstLine="540"/>
        <w:rPr>
          <w:rFonts w:ascii="Times New Roman" w:eastAsia="Times New Roman" w:hAnsi="Times New Roman" w:cs="Times New Roman"/>
          <w:bCs/>
          <w:i/>
          <w:sz w:val="24"/>
          <w:szCs w:val="24"/>
        </w:rPr>
      </w:pPr>
    </w:p>
    <w:p w14:paraId="02710CFF" w14:textId="77777777" w:rsidR="00832F98" w:rsidRPr="005107DF" w:rsidRDefault="00832F98"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rPr>
      </w:pPr>
      <w:r w:rsidRPr="00452C1A">
        <w:rPr>
          <w:rFonts w:ascii="Times New Roman" w:hAnsi="Times New Roman"/>
          <w:b/>
          <w:sz w:val="24"/>
        </w:rPr>
        <w:t>4</w:t>
      </w:r>
      <w:r>
        <w:rPr>
          <w:rFonts w:ascii="Times New Roman" w:hAnsi="Times New Roman"/>
          <w:b/>
          <w:sz w:val="24"/>
        </w:rPr>
        <w:t xml:space="preserve">. </w:t>
      </w:r>
      <w:r>
        <w:tab/>
      </w:r>
      <w:r>
        <w:rPr>
          <w:rFonts w:ascii="Times New Roman" w:hAnsi="Times New Roman"/>
          <w:b/>
          <w:sz w:val="24"/>
        </w:rPr>
        <w:t>Budget</w:t>
      </w:r>
    </w:p>
    <w:p w14:paraId="460C4450" w14:textId="77777777" w:rsidR="00832F98" w:rsidRPr="005107DF" w:rsidRDefault="00832F98"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
          <w:bCs/>
          <w:sz w:val="24"/>
          <w:szCs w:val="24"/>
        </w:rPr>
      </w:pPr>
      <w:r>
        <w:tab/>
      </w:r>
      <w:r>
        <w:rPr>
          <w:rFonts w:ascii="Times New Roman" w:hAnsi="Times New Roman"/>
          <w:b/>
          <w:sz w:val="24"/>
        </w:rPr>
        <w:t xml:space="preserve">Budget maximal disponible pour la subvention </w:t>
      </w:r>
    </w:p>
    <w:p w14:paraId="5FA59B50" w14:textId="77777777" w:rsidR="00832F98" w:rsidRPr="005107DF" w:rsidRDefault="00832F98"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
          <w:bCs/>
          <w:sz w:val="24"/>
          <w:szCs w:val="24"/>
        </w:rPr>
      </w:pPr>
      <w:r>
        <w:tab/>
      </w:r>
    </w:p>
    <w:p w14:paraId="6F442C45" w14:textId="77777777" w:rsidR="00832F98" w:rsidRPr="005107DF" w:rsidRDefault="00832F98"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b/>
          <w:bCs/>
          <w:sz w:val="24"/>
          <w:szCs w:val="24"/>
        </w:rPr>
      </w:pPr>
      <w:r w:rsidRPr="00452C1A">
        <w:rPr>
          <w:rFonts w:ascii="Times New Roman" w:hAnsi="Times New Roman"/>
          <w:b/>
          <w:sz w:val="24"/>
        </w:rPr>
        <w:t>5</w:t>
      </w:r>
      <w:r>
        <w:rPr>
          <w:rFonts w:ascii="Times New Roman" w:hAnsi="Times New Roman"/>
          <w:b/>
          <w:sz w:val="24"/>
        </w:rPr>
        <w:t xml:space="preserve">. </w:t>
      </w:r>
      <w:r>
        <w:tab/>
      </w:r>
      <w:r>
        <w:rPr>
          <w:rFonts w:ascii="Times New Roman" w:hAnsi="Times New Roman"/>
          <w:b/>
          <w:sz w:val="24"/>
        </w:rPr>
        <w:t xml:space="preserve">Modalités de mise en œuvre </w:t>
      </w:r>
    </w:p>
    <w:p w14:paraId="25633599" w14:textId="77777777" w:rsidR="00832F98" w:rsidRPr="005107DF" w:rsidRDefault="00832F98"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r w:rsidRPr="00452C1A">
        <w:rPr>
          <w:rFonts w:ascii="Times New Roman" w:hAnsi="Times New Roman"/>
          <w:sz w:val="24"/>
        </w:rPr>
        <w:t>5</w:t>
      </w:r>
      <w:r>
        <w:rPr>
          <w:rFonts w:ascii="Times New Roman" w:hAnsi="Times New Roman"/>
          <w:sz w:val="24"/>
        </w:rPr>
        <w:t>.</w:t>
      </w:r>
      <w:r w:rsidRPr="00452C1A">
        <w:rPr>
          <w:rFonts w:ascii="Times New Roman" w:hAnsi="Times New Roman"/>
          <w:sz w:val="24"/>
        </w:rPr>
        <w:t>1</w:t>
      </w:r>
      <w:r>
        <w:rPr>
          <w:rFonts w:ascii="Times New Roman" w:hAnsi="Times New Roman"/>
          <w:sz w:val="24"/>
        </w:rPr>
        <w:t xml:space="preserve"> </w:t>
      </w:r>
      <w:r>
        <w:tab/>
      </w:r>
      <w:r>
        <w:rPr>
          <w:rFonts w:ascii="Times New Roman" w:hAnsi="Times New Roman"/>
          <w:sz w:val="24"/>
        </w:rPr>
        <w:t>Organisme de mise en œuvre responsable de la passation de marchés et de la gestion financière (ordonnateur/unité centrale de financement et de passation de contrats/ordonnateur de programme/délégation/bureau de l’Union européenne):</w:t>
      </w:r>
    </w:p>
    <w:p w14:paraId="6A0C0306" w14:textId="77777777" w:rsidR="00832F98" w:rsidRPr="005107DF" w:rsidRDefault="00832F98"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rPr>
      </w:pPr>
      <w:r>
        <w:tab/>
      </w:r>
      <w:r>
        <w:rPr>
          <w:rFonts w:ascii="Times New Roman" w:hAnsi="Times New Roman"/>
          <w:i/>
          <w:sz w:val="24"/>
        </w:rPr>
        <w:t>Veuillez fournir les coordonnées complètes de la personne de contact.</w:t>
      </w:r>
    </w:p>
    <w:p w14:paraId="69DCF237" w14:textId="77777777" w:rsidR="00832F98" w:rsidRPr="005107DF" w:rsidRDefault="00832F98">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5</w:t>
      </w:r>
      <w:r>
        <w:rPr>
          <w:rFonts w:ascii="Times New Roman" w:hAnsi="Times New Roman"/>
          <w:sz w:val="24"/>
        </w:rPr>
        <w:t>.</w:t>
      </w:r>
      <w:r w:rsidRPr="00452C1A">
        <w:rPr>
          <w:rFonts w:ascii="Times New Roman" w:hAnsi="Times New Roman"/>
          <w:sz w:val="24"/>
        </w:rPr>
        <w:t>2</w:t>
      </w:r>
      <w:r>
        <w:rPr>
          <w:rFonts w:ascii="Times New Roman" w:hAnsi="Times New Roman"/>
          <w:sz w:val="24"/>
        </w:rPr>
        <w:t xml:space="preserve"> </w:t>
      </w:r>
      <w:r>
        <w:tab/>
      </w:r>
      <w:r>
        <w:rPr>
          <w:rFonts w:ascii="Times New Roman" w:hAnsi="Times New Roman"/>
          <w:sz w:val="24"/>
        </w:rPr>
        <w:t>Cadre institutionnel</w:t>
      </w:r>
    </w:p>
    <w:p w14:paraId="5C451D8B" w14:textId="77777777" w:rsidR="00832F98" w:rsidRPr="005107DF" w:rsidRDefault="00832F98"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rPr>
      </w:pPr>
      <w:r>
        <w:tab/>
      </w:r>
      <w:r>
        <w:rPr>
          <w:rFonts w:ascii="Times New Roman" w:hAnsi="Times New Roman"/>
          <w:i/>
          <w:sz w:val="24"/>
        </w:rPr>
        <w:t xml:space="preserve">Indiquez l’administration bénéficiaire et, le cas échéant, les services ou directions visés au sein de l’administration bénéficiaire. </w:t>
      </w:r>
    </w:p>
    <w:p w14:paraId="628B371C" w14:textId="77777777" w:rsidR="00832F98" w:rsidRPr="005107DF" w:rsidRDefault="00832F98"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rPr>
      </w:pPr>
      <w:r>
        <w:lastRenderedPageBreak/>
        <w:tab/>
      </w:r>
      <w:r>
        <w:rPr>
          <w:rFonts w:ascii="Times New Roman" w:hAnsi="Times New Roman"/>
          <w:i/>
          <w:sz w:val="24"/>
        </w:rPr>
        <w:t>Si plusieurs administrations sont visées, précisez la relation qui les unit et leur structure pour la mise en œuvre du projet, ainsi que le mécanisme qui assure leur coordination.</w:t>
      </w:r>
    </w:p>
    <w:p w14:paraId="11CE104E" w14:textId="77777777" w:rsidR="00832F98" w:rsidRPr="005107DF" w:rsidRDefault="00832F98"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rPr>
      </w:pPr>
      <w:r>
        <w:tab/>
      </w:r>
      <w:r>
        <w:rPr>
          <w:rFonts w:ascii="Times New Roman" w:hAnsi="Times New Roman"/>
          <w:i/>
          <w:sz w:val="24"/>
        </w:rPr>
        <w:t>Précisez si les résultats du projet entraîneront une modification du cadre institutionnel tel qu’il est décrit.</w:t>
      </w:r>
    </w:p>
    <w:p w14:paraId="29543FBA" w14:textId="77777777" w:rsidR="00832F98" w:rsidRPr="005107DF" w:rsidRDefault="00832F98"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bCs/>
          <w:i/>
          <w:sz w:val="24"/>
          <w:szCs w:val="24"/>
        </w:rPr>
      </w:pPr>
    </w:p>
    <w:p w14:paraId="201D8FAC" w14:textId="77777777" w:rsidR="00832F98" w:rsidRPr="005107DF" w:rsidRDefault="00832F98"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5</w:t>
      </w:r>
      <w:r>
        <w:rPr>
          <w:rFonts w:ascii="Times New Roman" w:hAnsi="Times New Roman"/>
          <w:sz w:val="24"/>
        </w:rPr>
        <w:t>.</w:t>
      </w:r>
      <w:r w:rsidRPr="00452C1A">
        <w:rPr>
          <w:rFonts w:ascii="Times New Roman" w:hAnsi="Times New Roman"/>
          <w:sz w:val="24"/>
        </w:rPr>
        <w:t>3</w:t>
      </w:r>
      <w:r>
        <w:tab/>
      </w:r>
      <w:r>
        <w:rPr>
          <w:rFonts w:ascii="Times New Roman" w:hAnsi="Times New Roman"/>
          <w:sz w:val="24"/>
        </w:rPr>
        <w:t>Homologues dans l’administration bénéficiaire:</w:t>
      </w:r>
    </w:p>
    <w:p w14:paraId="291D8FCE" w14:textId="77777777" w:rsidR="00832F98" w:rsidRPr="005107DF" w:rsidRDefault="00832F98" w:rsidP="00E16E97">
      <w:pPr>
        <w:tabs>
          <w:tab w:val="left" w:pos="540"/>
        </w:tabs>
        <w:autoSpaceDE w:val="0"/>
        <w:autoSpaceDN w:val="0"/>
        <w:adjustRightInd w:val="0"/>
        <w:spacing w:before="120" w:after="0" w:line="240" w:lineRule="auto"/>
        <w:ind w:left="567"/>
        <w:jc w:val="both"/>
        <w:rPr>
          <w:rFonts w:ascii="Times New Roman" w:eastAsia="Times New Roman" w:hAnsi="Times New Roman" w:cs="Times New Roman"/>
          <w:bCs/>
          <w:i/>
          <w:sz w:val="24"/>
          <w:szCs w:val="24"/>
        </w:rPr>
      </w:pPr>
      <w:r>
        <w:rPr>
          <w:rFonts w:ascii="Times New Roman" w:hAnsi="Times New Roman"/>
          <w:i/>
          <w:sz w:val="24"/>
        </w:rPr>
        <w:t>Les homologues du CP et du CRJ font partie du personnel de l’administration bénéficiaire et participent activement à la gestion et à la coordination du projet.</w:t>
      </w:r>
    </w:p>
    <w:p w14:paraId="6E228EE6" w14:textId="77777777" w:rsidR="00832F98" w:rsidRPr="005107DF" w:rsidRDefault="00832F98" w:rsidP="00A92DE1">
      <w:pPr>
        <w:autoSpaceDE w:val="0"/>
        <w:autoSpaceDN w:val="0"/>
        <w:adjustRightInd w:val="0"/>
        <w:spacing w:before="120" w:after="0" w:line="240" w:lineRule="auto"/>
        <w:ind w:left="539"/>
        <w:jc w:val="both"/>
        <w:rPr>
          <w:rFonts w:ascii="Times New Roman" w:eastAsia="Times New Roman" w:hAnsi="Times New Roman" w:cs="Times New Roman"/>
          <w:sz w:val="24"/>
          <w:szCs w:val="24"/>
        </w:rPr>
      </w:pPr>
      <w:r w:rsidRPr="00452C1A">
        <w:rPr>
          <w:rFonts w:ascii="Times New Roman" w:hAnsi="Times New Roman"/>
          <w:sz w:val="24"/>
        </w:rPr>
        <w:t>5</w:t>
      </w:r>
      <w:r>
        <w:rPr>
          <w:rFonts w:ascii="Times New Roman" w:hAnsi="Times New Roman"/>
          <w:sz w:val="24"/>
        </w:rPr>
        <w:t>.</w:t>
      </w: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1</w:t>
      </w:r>
      <w:r>
        <w:rPr>
          <w:rFonts w:ascii="Times New Roman" w:hAnsi="Times New Roman"/>
          <w:sz w:val="24"/>
        </w:rPr>
        <w:t>.</w:t>
      </w:r>
      <w:r>
        <w:tab/>
      </w:r>
      <w:r>
        <w:rPr>
          <w:rFonts w:ascii="Times New Roman" w:hAnsi="Times New Roman"/>
          <w:sz w:val="24"/>
        </w:rPr>
        <w:t>Personne de contact:</w:t>
      </w:r>
    </w:p>
    <w:p w14:paraId="3ED10F2E" w14:textId="77777777" w:rsidR="00832F98" w:rsidRPr="005107DF" w:rsidRDefault="00832F98"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rPr>
      </w:pPr>
      <w:r>
        <w:rPr>
          <w:rFonts w:ascii="Times New Roman" w:hAnsi="Times New Roman"/>
          <w:i/>
          <w:sz w:val="24"/>
        </w:rPr>
        <w:t>Veuillez indiquer le nom, le poste officiel et l’adresse postale.</w:t>
      </w:r>
    </w:p>
    <w:p w14:paraId="75403AD7" w14:textId="77777777" w:rsidR="00832F98" w:rsidRPr="005107DF" w:rsidRDefault="00832F98"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rPr>
      </w:pPr>
      <w:r w:rsidRPr="00452C1A">
        <w:rPr>
          <w:rFonts w:ascii="Times New Roman" w:hAnsi="Times New Roman"/>
          <w:sz w:val="24"/>
        </w:rPr>
        <w:t>5</w:t>
      </w:r>
      <w:r>
        <w:rPr>
          <w:rFonts w:ascii="Times New Roman" w:hAnsi="Times New Roman"/>
          <w:sz w:val="24"/>
        </w:rPr>
        <w:t>.</w:t>
      </w: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2</w:t>
      </w:r>
      <w:r>
        <w:rPr>
          <w:rFonts w:ascii="Times New Roman" w:hAnsi="Times New Roman"/>
          <w:sz w:val="24"/>
        </w:rPr>
        <w:t>.</w:t>
      </w:r>
      <w:r>
        <w:tab/>
      </w:r>
      <w:r>
        <w:rPr>
          <w:rFonts w:ascii="Times New Roman" w:hAnsi="Times New Roman"/>
          <w:sz w:val="24"/>
        </w:rPr>
        <w:t>Homologue du CP</w:t>
      </w:r>
    </w:p>
    <w:p w14:paraId="3C1E2FDC" w14:textId="77777777" w:rsidR="00832F98" w:rsidRPr="005107DF" w:rsidRDefault="00832F98"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rPr>
      </w:pPr>
      <w:r>
        <w:rPr>
          <w:rFonts w:ascii="Times New Roman" w:hAnsi="Times New Roman"/>
          <w:i/>
          <w:sz w:val="24"/>
        </w:rPr>
        <w:t>Indiquez le nom, le poste officiel et l’adresse postale de son administration (pas de coordonnées de la personne)</w:t>
      </w:r>
    </w:p>
    <w:p w14:paraId="6D1ED82C" w14:textId="77777777" w:rsidR="00832F98" w:rsidRPr="005107DF" w:rsidRDefault="00832F98" w:rsidP="00A92DE1">
      <w:pPr>
        <w:autoSpaceDE w:val="0"/>
        <w:autoSpaceDN w:val="0"/>
        <w:adjustRightInd w:val="0"/>
        <w:spacing w:before="120" w:after="0" w:line="240" w:lineRule="auto"/>
        <w:ind w:left="539"/>
        <w:jc w:val="both"/>
        <w:rPr>
          <w:rFonts w:ascii="Times New Roman" w:eastAsia="Times New Roman" w:hAnsi="Times New Roman" w:cs="Times New Roman"/>
          <w:sz w:val="24"/>
          <w:szCs w:val="24"/>
        </w:rPr>
      </w:pPr>
      <w:r w:rsidRPr="00452C1A">
        <w:rPr>
          <w:rFonts w:ascii="Times New Roman" w:hAnsi="Times New Roman"/>
          <w:sz w:val="24"/>
        </w:rPr>
        <w:t>5</w:t>
      </w:r>
      <w:r>
        <w:rPr>
          <w:rFonts w:ascii="Times New Roman" w:hAnsi="Times New Roman"/>
          <w:sz w:val="24"/>
        </w:rPr>
        <w:t>.</w:t>
      </w: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3</w:t>
      </w:r>
      <w:r>
        <w:rPr>
          <w:rFonts w:ascii="Times New Roman" w:hAnsi="Times New Roman"/>
          <w:sz w:val="24"/>
        </w:rPr>
        <w:t>.</w:t>
      </w:r>
      <w:r>
        <w:tab/>
      </w:r>
      <w:r>
        <w:rPr>
          <w:rFonts w:ascii="Times New Roman" w:hAnsi="Times New Roman"/>
          <w:sz w:val="24"/>
        </w:rPr>
        <w:t>Homologue du CRJ</w:t>
      </w:r>
    </w:p>
    <w:p w14:paraId="5357F43D" w14:textId="77777777" w:rsidR="00832F98" w:rsidRPr="005107DF" w:rsidRDefault="00832F98"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rPr>
      </w:pPr>
      <w:r>
        <w:rPr>
          <w:rFonts w:ascii="Times New Roman" w:hAnsi="Times New Roman"/>
          <w:i/>
          <w:sz w:val="24"/>
        </w:rPr>
        <w:t>Indiquez le nom, le poste officiel et l’adresse postale de son administration (pas de coordonnées de la personne)</w:t>
      </w:r>
    </w:p>
    <w:p w14:paraId="7041A37F" w14:textId="77777777" w:rsidR="00832F98" w:rsidRPr="005107DF" w:rsidRDefault="00832F98"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i/>
          <w:sz w:val="24"/>
          <w:szCs w:val="24"/>
        </w:rPr>
      </w:pPr>
      <w:r>
        <w:tab/>
      </w:r>
    </w:p>
    <w:p w14:paraId="212A2916" w14:textId="77777777" w:rsidR="00832F98" w:rsidRPr="005107DF" w:rsidRDefault="00832F98" w:rsidP="00A92DE1">
      <w:pPr>
        <w:autoSpaceDE w:val="0"/>
        <w:autoSpaceDN w:val="0"/>
        <w:adjustRightInd w:val="0"/>
        <w:spacing w:before="120" w:after="0" w:line="240" w:lineRule="auto"/>
        <w:ind w:left="539" w:hanging="539"/>
        <w:rPr>
          <w:rFonts w:ascii="Times New Roman" w:eastAsia="Times New Roman" w:hAnsi="Times New Roman" w:cs="Times New Roman"/>
          <w:b/>
          <w:bCs/>
          <w:sz w:val="24"/>
          <w:szCs w:val="24"/>
        </w:rPr>
      </w:pPr>
      <w:r w:rsidRPr="00452C1A">
        <w:rPr>
          <w:rFonts w:ascii="Times New Roman" w:hAnsi="Times New Roman"/>
          <w:sz w:val="24"/>
        </w:rPr>
        <w:t>6</w:t>
      </w:r>
      <w:r>
        <w:rPr>
          <w:rFonts w:ascii="Times New Roman" w:hAnsi="Times New Roman"/>
          <w:sz w:val="24"/>
        </w:rPr>
        <w:t>.</w:t>
      </w:r>
      <w:r>
        <w:tab/>
      </w:r>
      <w:r>
        <w:rPr>
          <w:rFonts w:ascii="Times New Roman" w:hAnsi="Times New Roman"/>
          <w:b/>
          <w:sz w:val="24"/>
        </w:rPr>
        <w:t>Durée du projet</w:t>
      </w:r>
    </w:p>
    <w:p w14:paraId="697704D6" w14:textId="77777777" w:rsidR="00832F98" w:rsidRDefault="00832F98" w:rsidP="00E16E97">
      <w:pPr>
        <w:autoSpaceDE w:val="0"/>
        <w:autoSpaceDN w:val="0"/>
        <w:adjustRightInd w:val="0"/>
        <w:spacing w:after="0" w:line="240" w:lineRule="auto"/>
        <w:ind w:left="567" w:hanging="567"/>
        <w:rPr>
          <w:rFonts w:ascii="Times New Roman" w:hAnsi="Times New Roman"/>
          <w:b/>
          <w:i/>
          <w:sz w:val="24"/>
        </w:rPr>
      </w:pPr>
      <w:r>
        <w:rPr>
          <w:rFonts w:ascii="Times New Roman" w:hAnsi="Times New Roman"/>
          <w:i/>
          <w:sz w:val="24"/>
        </w:rPr>
        <w:t>Précisez la période d’exécution (nombre de mois)</w:t>
      </w:r>
      <w:r>
        <w:rPr>
          <w:rFonts w:ascii="Times New Roman" w:hAnsi="Times New Roman"/>
          <w:b/>
          <w:i/>
          <w:sz w:val="24"/>
        </w:rPr>
        <w:t>.</w:t>
      </w:r>
    </w:p>
    <w:p w14:paraId="16016966" w14:textId="77777777" w:rsidR="00832F98" w:rsidRDefault="00832F98" w:rsidP="00E16E97">
      <w:pPr>
        <w:autoSpaceDE w:val="0"/>
        <w:autoSpaceDN w:val="0"/>
        <w:adjustRightInd w:val="0"/>
        <w:spacing w:after="0" w:line="240" w:lineRule="auto"/>
        <w:ind w:left="567" w:hanging="567"/>
        <w:rPr>
          <w:rFonts w:ascii="Times New Roman" w:hAnsi="Times New Roman"/>
          <w:b/>
          <w:sz w:val="24"/>
        </w:rPr>
      </w:pPr>
    </w:p>
    <w:p w14:paraId="4F3537DC" w14:textId="77777777" w:rsidR="00832F98" w:rsidRPr="005107DF" w:rsidRDefault="00832F98"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rPr>
      </w:pPr>
      <w:r w:rsidRPr="00452C1A">
        <w:rPr>
          <w:rFonts w:ascii="Times New Roman" w:hAnsi="Times New Roman"/>
          <w:b/>
          <w:sz w:val="24"/>
        </w:rPr>
        <w:t>7</w:t>
      </w:r>
      <w:r>
        <w:rPr>
          <w:rFonts w:ascii="Times New Roman" w:hAnsi="Times New Roman"/>
          <w:b/>
          <w:sz w:val="24"/>
        </w:rPr>
        <w:t>.</w:t>
      </w:r>
      <w:r>
        <w:tab/>
      </w:r>
      <w:r>
        <w:rPr>
          <w:rFonts w:ascii="Times New Roman" w:hAnsi="Times New Roman"/>
          <w:b/>
          <w:sz w:val="24"/>
        </w:rPr>
        <w:t>Gestion et rapports</w:t>
      </w:r>
      <w:r>
        <w:rPr>
          <w:rStyle w:val="FootnoteReference"/>
          <w:rFonts w:ascii="Times New Roman" w:hAnsi="Times New Roman"/>
          <w:b/>
          <w:sz w:val="24"/>
        </w:rPr>
        <w:footnoteReference w:id="49"/>
      </w:r>
    </w:p>
    <w:p w14:paraId="47ACC98A" w14:textId="77777777" w:rsidR="00832F98" w:rsidRPr="005107DF" w:rsidRDefault="00832F98" w:rsidP="004A21CA">
      <w:pPr>
        <w:autoSpaceDE w:val="0"/>
        <w:autoSpaceDN w:val="0"/>
        <w:adjustRightInd w:val="0"/>
        <w:spacing w:after="0" w:line="240" w:lineRule="auto"/>
        <w:rPr>
          <w:rFonts w:ascii="Times New Roman" w:eastAsia="Times New Roman" w:hAnsi="Times New Roman" w:cs="Times New Roman"/>
          <w:b/>
          <w:bCs/>
          <w:sz w:val="24"/>
          <w:szCs w:val="24"/>
        </w:rPr>
      </w:pPr>
    </w:p>
    <w:p w14:paraId="4ABC8C13" w14:textId="77777777" w:rsidR="00832F98" w:rsidRPr="005107DF" w:rsidRDefault="00832F98"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rPr>
      </w:pPr>
      <w:r w:rsidRPr="00452C1A">
        <w:rPr>
          <w:rFonts w:ascii="Times New Roman" w:hAnsi="Times New Roman"/>
          <w:b/>
          <w:sz w:val="24"/>
        </w:rPr>
        <w:t>7</w:t>
      </w:r>
      <w:r>
        <w:rPr>
          <w:rFonts w:ascii="Times New Roman" w:hAnsi="Times New Roman"/>
          <w:b/>
          <w:sz w:val="24"/>
        </w:rPr>
        <w:t>.</w:t>
      </w:r>
      <w:r w:rsidRPr="00452C1A">
        <w:rPr>
          <w:rFonts w:ascii="Times New Roman" w:hAnsi="Times New Roman"/>
          <w:b/>
          <w:sz w:val="24"/>
        </w:rPr>
        <w:t>1</w:t>
      </w:r>
      <w:r>
        <w:rPr>
          <w:rFonts w:ascii="Times New Roman" w:hAnsi="Times New Roman"/>
          <w:b/>
          <w:sz w:val="24"/>
        </w:rPr>
        <w:t xml:space="preserve"> </w:t>
      </w:r>
      <w:r>
        <w:tab/>
      </w:r>
      <w:r>
        <w:rPr>
          <w:rFonts w:ascii="Times New Roman" w:hAnsi="Times New Roman"/>
          <w:b/>
          <w:sz w:val="24"/>
        </w:rPr>
        <w:t>Langue</w:t>
      </w:r>
    </w:p>
    <w:p w14:paraId="3E567FAE" w14:textId="77777777" w:rsidR="00832F98" w:rsidRPr="004C2BDB" w:rsidRDefault="00832F98" w:rsidP="004946B7">
      <w:pPr>
        <w:autoSpaceDE w:val="0"/>
        <w:autoSpaceDN w:val="0"/>
        <w:adjustRightInd w:val="0"/>
        <w:spacing w:after="0" w:line="240" w:lineRule="auto"/>
        <w:ind w:left="567"/>
        <w:jc w:val="both"/>
        <w:rPr>
          <w:rFonts w:ascii="Times New Roman" w:eastAsia="Times New Roman" w:hAnsi="Times New Roman" w:cs="Times New Roman"/>
          <w:bCs/>
          <w:i/>
          <w:sz w:val="24"/>
          <w:szCs w:val="24"/>
        </w:rPr>
      </w:pPr>
      <w:r w:rsidRPr="004C2BDB">
        <w:rPr>
          <w:rFonts w:ascii="Times New Roman" w:hAnsi="Times New Roman"/>
          <w:i/>
          <w:sz w:val="24"/>
        </w:rPr>
        <w:t>La langue officielle du projet est celle utilisée comme langue contractuelle dans le cadre de l’instrument (anglais/français). Toutes les communications officielles concernant le projet, notamment les rapports intermédiaires et le rapport final, sont rédigées dans la langue du contrat.</w:t>
      </w:r>
    </w:p>
    <w:p w14:paraId="176D1AB1" w14:textId="77777777" w:rsidR="00832F98" w:rsidRPr="005107DF" w:rsidRDefault="00832F98" w:rsidP="00E16E97">
      <w:pPr>
        <w:autoSpaceDE w:val="0"/>
        <w:autoSpaceDN w:val="0"/>
        <w:adjustRightInd w:val="0"/>
        <w:spacing w:after="0" w:line="240" w:lineRule="auto"/>
        <w:ind w:left="567" w:hanging="567"/>
        <w:rPr>
          <w:rFonts w:ascii="Times New Roman" w:eastAsia="Times New Roman" w:hAnsi="Times New Roman" w:cs="Times New Roman"/>
          <w:bCs/>
          <w:sz w:val="24"/>
          <w:szCs w:val="24"/>
        </w:rPr>
      </w:pPr>
    </w:p>
    <w:p w14:paraId="4FA5C208" w14:textId="77777777" w:rsidR="00832F98" w:rsidRPr="005107DF" w:rsidRDefault="00832F98"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rPr>
      </w:pPr>
      <w:r w:rsidRPr="00452C1A">
        <w:rPr>
          <w:rFonts w:ascii="Times New Roman" w:hAnsi="Times New Roman"/>
          <w:b/>
          <w:sz w:val="24"/>
        </w:rPr>
        <w:t>7</w:t>
      </w:r>
      <w:r>
        <w:rPr>
          <w:rFonts w:ascii="Times New Roman" w:hAnsi="Times New Roman"/>
          <w:b/>
          <w:sz w:val="24"/>
        </w:rPr>
        <w:t>.</w:t>
      </w:r>
      <w:r w:rsidRPr="00452C1A">
        <w:rPr>
          <w:rFonts w:ascii="Times New Roman" w:hAnsi="Times New Roman"/>
          <w:b/>
          <w:sz w:val="24"/>
        </w:rPr>
        <w:t>2</w:t>
      </w:r>
      <w:r>
        <w:rPr>
          <w:rFonts w:ascii="Times New Roman" w:hAnsi="Times New Roman"/>
          <w:b/>
          <w:sz w:val="24"/>
        </w:rPr>
        <w:t xml:space="preserve"> </w:t>
      </w:r>
      <w:r>
        <w:tab/>
      </w:r>
      <w:r>
        <w:rPr>
          <w:rFonts w:ascii="Times New Roman" w:hAnsi="Times New Roman"/>
          <w:b/>
          <w:sz w:val="24"/>
        </w:rPr>
        <w:t>Comité de pilotage du projet</w:t>
      </w:r>
    </w:p>
    <w:p w14:paraId="25117C8F" w14:textId="77777777" w:rsidR="00832F98" w:rsidRPr="004C2BDB" w:rsidRDefault="00832F98" w:rsidP="004946B7">
      <w:pPr>
        <w:autoSpaceDE w:val="0"/>
        <w:autoSpaceDN w:val="0"/>
        <w:adjustRightInd w:val="0"/>
        <w:spacing w:after="0" w:line="240" w:lineRule="auto"/>
        <w:ind w:left="567"/>
        <w:jc w:val="both"/>
        <w:rPr>
          <w:rFonts w:ascii="Times New Roman" w:eastAsia="Times New Roman" w:hAnsi="Times New Roman" w:cs="Times New Roman"/>
          <w:bCs/>
          <w:i/>
          <w:sz w:val="24"/>
          <w:szCs w:val="24"/>
        </w:rPr>
      </w:pPr>
      <w:r w:rsidRPr="004C2BDB">
        <w:rPr>
          <w:rFonts w:ascii="Times New Roman" w:hAnsi="Times New Roman"/>
          <w:i/>
          <w:sz w:val="24"/>
        </w:rPr>
        <w:t>Un comité de pilotage du projet (CPP) supervise la mise en œuvre du projet. Ses principales tâches consistent à vérifier l’avancement du projet et les réalisations par rapport à la chaîne de résultats/produits obligatoires (des résultats/produits obligatoires par volet aux retombées), garantir une coordination efficace entre les acteurs, finaliser les rapports intermédiaires et discuter du plan de travail actualisé. Le manuel de jumelage contient d’autres informations sur la création et le fonctionnement du CPP.</w:t>
      </w:r>
    </w:p>
    <w:p w14:paraId="2AE430A6" w14:textId="77777777" w:rsidR="00832F98" w:rsidRPr="005107DF" w:rsidRDefault="00832F98" w:rsidP="004946B7">
      <w:p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p>
    <w:p w14:paraId="0F2B1AB6" w14:textId="77777777" w:rsidR="00832F98" w:rsidRPr="005107DF" w:rsidRDefault="00832F98"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rPr>
      </w:pPr>
      <w:r w:rsidRPr="00452C1A">
        <w:rPr>
          <w:rFonts w:ascii="Times New Roman" w:hAnsi="Times New Roman"/>
          <w:b/>
          <w:sz w:val="24"/>
        </w:rPr>
        <w:t>7</w:t>
      </w:r>
      <w:r>
        <w:rPr>
          <w:rFonts w:ascii="Times New Roman" w:hAnsi="Times New Roman"/>
          <w:b/>
          <w:sz w:val="24"/>
        </w:rPr>
        <w:t>.</w:t>
      </w:r>
      <w:r w:rsidRPr="00452C1A">
        <w:rPr>
          <w:rFonts w:ascii="Times New Roman" w:hAnsi="Times New Roman"/>
          <w:b/>
          <w:sz w:val="24"/>
        </w:rPr>
        <w:t>3</w:t>
      </w:r>
      <w:r>
        <w:rPr>
          <w:rFonts w:ascii="Times New Roman" w:hAnsi="Times New Roman"/>
          <w:b/>
          <w:sz w:val="24"/>
        </w:rPr>
        <w:t xml:space="preserve"> </w:t>
      </w:r>
      <w:r>
        <w:tab/>
      </w:r>
      <w:r>
        <w:rPr>
          <w:rFonts w:ascii="Times New Roman" w:hAnsi="Times New Roman"/>
          <w:b/>
          <w:sz w:val="24"/>
        </w:rPr>
        <w:t>Rapports</w:t>
      </w:r>
    </w:p>
    <w:p w14:paraId="0AC7BF74" w14:textId="3765405B" w:rsidR="00832F98" w:rsidRPr="004C2BDB" w:rsidRDefault="00832F98" w:rsidP="005D707D">
      <w:pPr>
        <w:spacing w:after="240" w:line="240" w:lineRule="auto"/>
        <w:ind w:left="567" w:hanging="27"/>
        <w:jc w:val="both"/>
        <w:rPr>
          <w:rFonts w:ascii="Times New Roman" w:eastAsia="Times New Roman" w:hAnsi="Times New Roman" w:cs="Times New Roman"/>
          <w:i/>
          <w:color w:val="000000"/>
          <w:sz w:val="24"/>
          <w:szCs w:val="24"/>
        </w:rPr>
      </w:pPr>
      <w:r w:rsidRPr="004C2BDB">
        <w:rPr>
          <w:rFonts w:ascii="Times New Roman" w:hAnsi="Times New Roman"/>
          <w:i/>
          <w:sz w:val="24"/>
        </w:rPr>
        <w:t xml:space="preserve">Tous les rapports sont constitués d’une partie descriptive et d’une partie financière. Ils comprennent au minimum les informations détaillées aux points 5.5.2 (rapports intermédiaires) et 5.5.3 (rapport final) du manuel de jumelage. Les rapports doivent aller au-delà des activités et des contributions. Deux types de rapports sont prévus dans le cadre du jumelage: les rapports intermédiaires trimestriels et le rapport final. Un rapport intermédiaire trimestriel est présenté pour discussion à chaque réunion du CPP. La partie descriptive dresse principalement le bilan des progrès accomplis et des réalisations par rapport aux résultats obligatoires, </w:t>
      </w:r>
      <w:r w:rsidRPr="004C2BDB">
        <w:rPr>
          <w:rFonts w:ascii="Times New Roman" w:hAnsi="Times New Roman"/>
          <w:i/>
          <w:color w:val="000000"/>
          <w:sz w:val="24"/>
        </w:rPr>
        <w:t xml:space="preserve">formule des recommandations </w:t>
      </w:r>
      <w:r w:rsidRPr="004C2BDB">
        <w:rPr>
          <w:rFonts w:ascii="Times New Roman" w:hAnsi="Times New Roman"/>
          <w:i/>
          <w:color w:val="000000"/>
          <w:sz w:val="24"/>
        </w:rPr>
        <w:lastRenderedPageBreak/>
        <w:t>précises et propose des mesures correctives à envisager pour assurer la progression de la mise en œuvre du projet</w:t>
      </w:r>
      <w:r w:rsidRPr="004C2BDB">
        <w:rPr>
          <w:rFonts w:ascii="Times New Roman" w:hAnsi="Times New Roman"/>
          <w:i/>
          <w:sz w:val="24"/>
        </w:rPr>
        <w:t xml:space="preserve">. </w:t>
      </w:r>
    </w:p>
    <w:p w14:paraId="2C086C8E"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rPr>
      </w:pPr>
      <w:r w:rsidRPr="00452C1A">
        <w:rPr>
          <w:rFonts w:ascii="Times New Roman" w:hAnsi="Times New Roman"/>
          <w:b/>
          <w:sz w:val="24"/>
        </w:rPr>
        <w:t>8</w:t>
      </w:r>
      <w:r>
        <w:rPr>
          <w:rFonts w:ascii="Times New Roman" w:hAnsi="Times New Roman"/>
          <w:b/>
          <w:sz w:val="24"/>
        </w:rPr>
        <w:t>.</w:t>
      </w:r>
      <w:r>
        <w:tab/>
      </w:r>
      <w:r>
        <w:rPr>
          <w:rFonts w:ascii="Times New Roman" w:hAnsi="Times New Roman"/>
          <w:b/>
          <w:sz w:val="24"/>
        </w:rPr>
        <w:t xml:space="preserve">Durabilité </w:t>
      </w:r>
    </w:p>
    <w:p w14:paraId="5A394BE4" w14:textId="77777777" w:rsidR="00832F98" w:rsidRPr="005107DF" w:rsidRDefault="00832F98" w:rsidP="00A92DE1">
      <w:pPr>
        <w:spacing w:after="0" w:line="240" w:lineRule="auto"/>
        <w:jc w:val="both"/>
        <w:rPr>
          <w:rFonts w:ascii="Times New Roman" w:eastAsia="Times New Roman" w:hAnsi="Times New Roman" w:cs="Times New Roman"/>
          <w:i/>
          <w:color w:val="000000"/>
          <w:sz w:val="24"/>
          <w:szCs w:val="24"/>
        </w:rPr>
      </w:pPr>
    </w:p>
    <w:p w14:paraId="63214E88" w14:textId="77777777" w:rsidR="00832F98" w:rsidRPr="005107DF" w:rsidRDefault="00832F98" w:rsidP="0019382C">
      <w:pPr>
        <w:spacing w:after="120" w:line="240" w:lineRule="auto"/>
        <w:ind w:left="567" w:hanging="27"/>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Les résultats d’un projet de jumelage (des résultats par volet aux impacts) doivent être maintenus comme un atout permanent dans l’administration bénéficiaire même après la fin de la mise en œuvre du projet de jumelage. Cela présuppose, entre autres, la mise en place par l’administration bénéficiaire de mécanismes efficaces pour diffuser et consolider les résultats du projet. </w:t>
      </w:r>
    </w:p>
    <w:p w14:paraId="0FCE960B" w14:textId="77777777" w:rsidR="00832F98" w:rsidRPr="005107DF" w:rsidRDefault="00832F98" w:rsidP="0019382C">
      <w:pPr>
        <w:spacing w:after="120" w:line="240" w:lineRule="auto"/>
        <w:ind w:left="540"/>
        <w:jc w:val="both"/>
        <w:rPr>
          <w:rFonts w:ascii="Times New Roman" w:eastAsia="Times New Roman" w:hAnsi="Times New Roman" w:cs="Times New Roman"/>
          <w:i/>
          <w:color w:val="000000"/>
          <w:sz w:val="24"/>
          <w:szCs w:val="24"/>
        </w:rPr>
      </w:pPr>
      <w:r>
        <w:rPr>
          <w:rFonts w:ascii="Times New Roman" w:hAnsi="Times New Roman"/>
          <w:i/>
          <w:color w:val="000000"/>
          <w:sz w:val="24"/>
        </w:rPr>
        <w:t>En ce qui concerne les projets de jumelage prévoyant un soutien à l’élaboration des politiques sectorielles (stratégies et plans d’action), l’élaboration de nouveaux actes législatifs ou l’introduction de modifications (surtout ayant trait à l’acquis de l’Union), le meilleur moyen de garantir la durabilité des résultats obligatoires/produits est de veiller à ce que les propositions d’action et les propositions législatives soient au moins appuyées par des analyses d’impact élémentaires (réglementaires, fiscales) et à ce que les acteurs internes et externes soient consultés à leur sujet (consultations interministérielles et publiques), comme l’exige la législation du pays bénéficiaire.</w:t>
      </w:r>
      <w:r>
        <w:rPr>
          <w:rFonts w:ascii="Times New Roman" w:hAnsi="Times New Roman"/>
          <w:sz w:val="24"/>
        </w:rPr>
        <w:t xml:space="preserve"> </w:t>
      </w:r>
      <w:r>
        <w:rPr>
          <w:rFonts w:ascii="Times New Roman" w:hAnsi="Times New Roman"/>
          <w:i/>
          <w:color w:val="000000"/>
          <w:sz w:val="24"/>
        </w:rPr>
        <w:t>Il convient de prévoir suffisamment de temps pour ces travaux préparatoires pendant le projet et d’éviter les procédures accélérées d’adoption de la législation, qui mettent en péril la mise en œuvre et l’application de la future législation.</w:t>
      </w:r>
    </w:p>
    <w:p w14:paraId="035EE749" w14:textId="77777777" w:rsidR="00832F98" w:rsidRPr="005107DF" w:rsidRDefault="00832F98" w:rsidP="0019382C">
      <w:pPr>
        <w:spacing w:after="120" w:line="240" w:lineRule="auto"/>
        <w:ind w:left="540"/>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Compte tenu de la nécessité de pérenniser les résultats, le bénéficiaire devrait expliquer comment il a prévu les ressources nécessaires à cette pérennisation dans sa planification budgétaire (planification opérationnelle à moyen terme ou méthode semblable).    </w:t>
      </w:r>
    </w:p>
    <w:p w14:paraId="6ADB9357"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bCs/>
          <w:i/>
          <w:sz w:val="24"/>
          <w:szCs w:val="24"/>
        </w:rPr>
      </w:pPr>
      <w:r w:rsidRPr="00452C1A">
        <w:rPr>
          <w:rFonts w:ascii="Times New Roman" w:hAnsi="Times New Roman"/>
          <w:b/>
          <w:sz w:val="24"/>
        </w:rPr>
        <w:t>9</w:t>
      </w:r>
      <w:r>
        <w:rPr>
          <w:rFonts w:ascii="Times New Roman" w:hAnsi="Times New Roman"/>
          <w:b/>
          <w:sz w:val="24"/>
        </w:rPr>
        <w:t>.</w:t>
      </w:r>
      <w:r>
        <w:tab/>
      </w:r>
      <w:r>
        <w:rPr>
          <w:rFonts w:ascii="Times New Roman" w:hAnsi="Times New Roman"/>
          <w:b/>
          <w:sz w:val="24"/>
        </w:rPr>
        <w:t>Questions transversales</w:t>
      </w:r>
      <w:r>
        <w:rPr>
          <w:rFonts w:ascii="Times New Roman" w:hAnsi="Times New Roman"/>
          <w:i/>
          <w:sz w:val="24"/>
        </w:rPr>
        <w:t xml:space="preserve"> (égalité des chances, environnement, climat, etc.)</w:t>
      </w:r>
    </w:p>
    <w:p w14:paraId="04B056D0" w14:textId="77777777" w:rsidR="00832F98" w:rsidRPr="005107DF" w:rsidRDefault="00832F98" w:rsidP="0019382C">
      <w:pPr>
        <w:autoSpaceDE w:val="0"/>
        <w:autoSpaceDN w:val="0"/>
        <w:adjustRightInd w:val="0"/>
        <w:spacing w:before="120" w:after="0" w:line="240" w:lineRule="auto"/>
        <w:ind w:left="540"/>
        <w:jc w:val="both"/>
        <w:rPr>
          <w:rFonts w:ascii="Times New Roman" w:eastAsia="Times New Roman" w:hAnsi="Times New Roman" w:cs="Times New Roman"/>
          <w:bCs/>
          <w:i/>
          <w:sz w:val="24"/>
          <w:szCs w:val="24"/>
        </w:rPr>
      </w:pPr>
      <w:r>
        <w:rPr>
          <w:rFonts w:ascii="Times New Roman" w:hAnsi="Times New Roman"/>
          <w:i/>
          <w:sz w:val="24"/>
        </w:rPr>
        <w:t xml:space="preserve">Expliquez comment les objectifs du projet contribuent à la mise en œuvre de politiques de promotion de l’égalité hommes-femmes et des droits de l’homme et, à terme, à la promotion de l’égalité des chances, de l’environnement, des minorités, de la lutte contre le changement climatique, de la couverture régionale, etc. </w:t>
      </w:r>
    </w:p>
    <w:p w14:paraId="7BFF13BE" w14:textId="77777777" w:rsidR="00832F98" w:rsidRPr="005107DF" w:rsidRDefault="00832F98" w:rsidP="00E16E97">
      <w:pPr>
        <w:autoSpaceDE w:val="0"/>
        <w:autoSpaceDN w:val="0"/>
        <w:adjustRightInd w:val="0"/>
        <w:spacing w:before="120" w:after="0" w:line="240" w:lineRule="auto"/>
        <w:ind w:left="567" w:hanging="567"/>
        <w:rPr>
          <w:rFonts w:ascii="Times New Roman" w:eastAsia="Times New Roman" w:hAnsi="Times New Roman" w:cs="Times New Roman"/>
          <w:b/>
          <w:bCs/>
          <w:sz w:val="24"/>
          <w:szCs w:val="24"/>
        </w:rPr>
      </w:pPr>
      <w:r w:rsidRPr="00452C1A">
        <w:rPr>
          <w:rFonts w:ascii="Times New Roman" w:hAnsi="Times New Roman"/>
          <w:b/>
          <w:sz w:val="24"/>
        </w:rPr>
        <w:t>10</w:t>
      </w:r>
      <w:r>
        <w:rPr>
          <w:rFonts w:ascii="Times New Roman" w:hAnsi="Times New Roman"/>
          <w:b/>
          <w:sz w:val="24"/>
        </w:rPr>
        <w:t>.</w:t>
      </w:r>
      <w:r>
        <w:tab/>
      </w:r>
      <w:r>
        <w:rPr>
          <w:rFonts w:ascii="Times New Roman" w:hAnsi="Times New Roman"/>
          <w:b/>
          <w:sz w:val="24"/>
        </w:rPr>
        <w:t>Conditionnalité et échelonnement</w:t>
      </w:r>
    </w:p>
    <w:p w14:paraId="03A56A58" w14:textId="77777777" w:rsidR="00832F98" w:rsidRPr="005107DF" w:rsidRDefault="00832F98" w:rsidP="0019382C">
      <w:pPr>
        <w:autoSpaceDE w:val="0"/>
        <w:autoSpaceDN w:val="0"/>
        <w:adjustRightInd w:val="0"/>
        <w:spacing w:before="120" w:after="0" w:line="240" w:lineRule="auto"/>
        <w:ind w:left="567"/>
        <w:jc w:val="both"/>
        <w:rPr>
          <w:rFonts w:ascii="Times New Roman" w:eastAsia="Times New Roman" w:hAnsi="Times New Roman" w:cs="Times New Roman"/>
          <w:bCs/>
          <w:i/>
          <w:sz w:val="24"/>
          <w:szCs w:val="24"/>
        </w:rPr>
      </w:pPr>
      <w:r>
        <w:rPr>
          <w:rFonts w:ascii="Times New Roman" w:hAnsi="Times New Roman"/>
          <w:i/>
          <w:sz w:val="24"/>
        </w:rPr>
        <w:t xml:space="preserve">En règle générale, les projets de jumelage ne doivent PAS être conçus comme étant dépendants des produits/réalisations d’autres actions sans tenir compte de la nature de celles-ci (achat de fournitures spéciales, etc.) En l’absence des conditions externes au projet nécessaires à l’obtention des résultats de l’intervention, le projet doit-il être lancé? </w:t>
      </w:r>
    </w:p>
    <w:p w14:paraId="7BED716E" w14:textId="77777777" w:rsidR="00832F98" w:rsidRPr="005107DF" w:rsidRDefault="00832F98" w:rsidP="0019382C">
      <w:pPr>
        <w:autoSpaceDE w:val="0"/>
        <w:autoSpaceDN w:val="0"/>
        <w:adjustRightInd w:val="0"/>
        <w:spacing w:before="120" w:after="0" w:line="240" w:lineRule="auto"/>
        <w:ind w:left="567"/>
        <w:jc w:val="both"/>
        <w:rPr>
          <w:rFonts w:ascii="Times New Roman" w:eastAsia="Times New Roman" w:hAnsi="Times New Roman" w:cs="Times New Roman"/>
          <w:bCs/>
          <w:i/>
          <w:sz w:val="24"/>
          <w:szCs w:val="24"/>
        </w:rPr>
      </w:pPr>
      <w:r>
        <w:rPr>
          <w:rFonts w:ascii="Times New Roman" w:hAnsi="Times New Roman"/>
          <w:i/>
          <w:sz w:val="24"/>
        </w:rPr>
        <w:t>Lors de la conception d’un projet de jumelage, il convient d’accorder une attention particulière aux actions/activités/événements prévus dans le cadre de l’outil TAIEX et d’autres initiatives de l’UE.</w:t>
      </w:r>
    </w:p>
    <w:p w14:paraId="5F258364" w14:textId="77777777" w:rsidR="00832F98" w:rsidRPr="005107DF" w:rsidRDefault="00832F98" w:rsidP="00E16E97">
      <w:pPr>
        <w:autoSpaceDE w:val="0"/>
        <w:autoSpaceDN w:val="0"/>
        <w:adjustRightInd w:val="0"/>
        <w:spacing w:after="0" w:line="240" w:lineRule="auto"/>
        <w:ind w:left="567" w:hanging="567"/>
        <w:jc w:val="both"/>
        <w:rPr>
          <w:rFonts w:ascii="Times New Roman" w:eastAsia="Times New Roman" w:hAnsi="Times New Roman" w:cs="Times New Roman"/>
          <w:bCs/>
          <w:i/>
          <w:sz w:val="24"/>
          <w:szCs w:val="24"/>
        </w:rPr>
      </w:pPr>
    </w:p>
    <w:p w14:paraId="3D2E8C0A" w14:textId="77777777" w:rsidR="00832F98" w:rsidRPr="005107DF" w:rsidRDefault="00832F98" w:rsidP="0019382C">
      <w:pPr>
        <w:autoSpaceDE w:val="0"/>
        <w:autoSpaceDN w:val="0"/>
        <w:adjustRightInd w:val="0"/>
        <w:spacing w:after="0" w:line="240" w:lineRule="auto"/>
        <w:ind w:left="567"/>
        <w:jc w:val="both"/>
        <w:rPr>
          <w:rFonts w:ascii="Times New Roman" w:eastAsia="Times New Roman" w:hAnsi="Times New Roman" w:cs="Times New Roman"/>
          <w:bCs/>
          <w:i/>
          <w:sz w:val="24"/>
          <w:szCs w:val="24"/>
        </w:rPr>
      </w:pPr>
      <w:r>
        <w:rPr>
          <w:rFonts w:ascii="Times New Roman" w:hAnsi="Times New Roman"/>
          <w:i/>
          <w:sz w:val="24"/>
        </w:rPr>
        <w:t>Les projets de jumelage peuvent être interconnectés et cibler en parallèle différentes parties d’un programme de réforme. Pour cela, il est toutefois nécessaire que l’UE et le bénéficiaire conviennent d’un solide mécanisme de coordination en désignant l’un des CRJ du projet comme coordinateur général, établissent un cadre de suivi conjoint, lancent en temps opportun les différents projets, etc. Étant donné qu’une telle structure implique souvent la participation de plusieurs États membres, il est généralement recommandé de ne lancer de tels projets complexes que lorsque la délégation de l’UE est l’administration contractante.</w:t>
      </w:r>
    </w:p>
    <w:p w14:paraId="3DBF2703" w14:textId="474EEE3D" w:rsidR="00832F98" w:rsidRDefault="00832F98" w:rsidP="00E16E97">
      <w:p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p>
    <w:p w14:paraId="3A1677D2" w14:textId="6635BBC5" w:rsidR="00CA1245" w:rsidRDefault="00CA1245" w:rsidP="00E16E97">
      <w:p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p>
    <w:p w14:paraId="36714F15" w14:textId="3A46CF30" w:rsidR="00CA1245" w:rsidRDefault="00CA1245" w:rsidP="00E16E97">
      <w:p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p>
    <w:p w14:paraId="49872985" w14:textId="77777777" w:rsidR="00CA1245" w:rsidRPr="005107DF" w:rsidRDefault="00CA1245" w:rsidP="00E16E97">
      <w:p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p>
    <w:p w14:paraId="69486D96" w14:textId="77777777" w:rsidR="00832F98" w:rsidRPr="005107DF" w:rsidRDefault="00832F98" w:rsidP="00E16E97">
      <w:pPr>
        <w:autoSpaceDE w:val="0"/>
        <w:autoSpaceDN w:val="0"/>
        <w:adjustRightInd w:val="0"/>
        <w:spacing w:after="0" w:line="240" w:lineRule="auto"/>
        <w:ind w:left="567" w:hanging="567"/>
        <w:jc w:val="both"/>
        <w:rPr>
          <w:rFonts w:ascii="Times New Roman" w:eastAsia="Times New Roman" w:hAnsi="Times New Roman" w:cs="Times New Roman"/>
          <w:b/>
          <w:bCs/>
          <w:sz w:val="24"/>
          <w:szCs w:val="24"/>
        </w:rPr>
      </w:pPr>
      <w:r w:rsidRPr="00452C1A">
        <w:rPr>
          <w:rFonts w:ascii="Times New Roman" w:hAnsi="Times New Roman"/>
          <w:b/>
          <w:sz w:val="24"/>
        </w:rPr>
        <w:t>11</w:t>
      </w:r>
      <w:r>
        <w:rPr>
          <w:rFonts w:ascii="Times New Roman" w:hAnsi="Times New Roman"/>
          <w:b/>
          <w:sz w:val="24"/>
        </w:rPr>
        <w:t>.</w:t>
      </w:r>
      <w:r>
        <w:tab/>
      </w:r>
      <w:r>
        <w:rPr>
          <w:rFonts w:ascii="Times New Roman" w:hAnsi="Times New Roman"/>
          <w:b/>
          <w:sz w:val="24"/>
        </w:rPr>
        <w:t>Indicateurs de performance</w:t>
      </w:r>
    </w:p>
    <w:p w14:paraId="1AA108FB" w14:textId="77777777" w:rsidR="00832F98" w:rsidRPr="005107DF" w:rsidRDefault="00832F98" w:rsidP="00E16E97">
      <w:pPr>
        <w:autoSpaceDE w:val="0"/>
        <w:autoSpaceDN w:val="0"/>
        <w:adjustRightInd w:val="0"/>
        <w:spacing w:after="0" w:line="240" w:lineRule="auto"/>
        <w:ind w:left="567" w:hanging="567"/>
        <w:jc w:val="both"/>
        <w:rPr>
          <w:rFonts w:ascii="Times New Roman" w:eastAsia="Times New Roman" w:hAnsi="Times New Roman" w:cs="Times New Roman"/>
          <w:b/>
          <w:bCs/>
          <w:sz w:val="24"/>
          <w:szCs w:val="24"/>
        </w:rPr>
      </w:pPr>
    </w:p>
    <w:p w14:paraId="2EE257D5" w14:textId="77777777" w:rsidR="00832F98" w:rsidRPr="005107DF" w:rsidRDefault="00832F98" w:rsidP="0019382C">
      <w:pPr>
        <w:autoSpaceDE w:val="0"/>
        <w:autoSpaceDN w:val="0"/>
        <w:adjustRightInd w:val="0"/>
        <w:spacing w:after="0" w:line="240" w:lineRule="auto"/>
        <w:ind w:left="567"/>
        <w:jc w:val="both"/>
        <w:rPr>
          <w:rFonts w:ascii="Times New Roman" w:eastAsia="Times New Roman" w:hAnsi="Times New Roman" w:cs="Times New Roman"/>
          <w:bCs/>
          <w:i/>
          <w:sz w:val="24"/>
          <w:szCs w:val="24"/>
        </w:rPr>
      </w:pPr>
      <w:r>
        <w:rPr>
          <w:rFonts w:ascii="Times New Roman" w:hAnsi="Times New Roman"/>
          <w:i/>
          <w:sz w:val="24"/>
        </w:rPr>
        <w:t>Définition d’objectifs et d’indicateurs réalistes, vérifiables et spécifiques au projet, en complément du point </w:t>
      </w:r>
      <w:r w:rsidRPr="00452C1A">
        <w:rPr>
          <w:rFonts w:ascii="Times New Roman" w:hAnsi="Times New Roman"/>
          <w:i/>
          <w:sz w:val="24"/>
        </w:rPr>
        <w:t>10</w:t>
      </w:r>
      <w:r>
        <w:rPr>
          <w:rFonts w:ascii="Times New Roman" w:hAnsi="Times New Roman"/>
          <w:i/>
          <w:sz w:val="24"/>
        </w:rPr>
        <w:t>.</w:t>
      </w:r>
    </w:p>
    <w:p w14:paraId="3C504744" w14:textId="77777777" w:rsidR="00832F98" w:rsidRPr="005107DF" w:rsidRDefault="00832F98" w:rsidP="00E16E97">
      <w:p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p>
    <w:p w14:paraId="6ECAE114" w14:textId="77777777" w:rsidR="00832F98" w:rsidRPr="005107DF" w:rsidRDefault="00832F98" w:rsidP="00E16E97">
      <w:pPr>
        <w:autoSpaceDE w:val="0"/>
        <w:autoSpaceDN w:val="0"/>
        <w:adjustRightInd w:val="0"/>
        <w:spacing w:after="0" w:line="240" w:lineRule="auto"/>
        <w:ind w:left="567" w:hanging="567"/>
        <w:jc w:val="both"/>
        <w:rPr>
          <w:rFonts w:ascii="Times New Roman" w:eastAsia="Times New Roman" w:hAnsi="Times New Roman" w:cs="Times New Roman"/>
          <w:b/>
          <w:bCs/>
          <w:sz w:val="24"/>
          <w:szCs w:val="24"/>
        </w:rPr>
      </w:pPr>
      <w:r w:rsidRPr="00452C1A">
        <w:rPr>
          <w:rFonts w:ascii="Times New Roman" w:hAnsi="Times New Roman"/>
          <w:b/>
          <w:sz w:val="24"/>
        </w:rPr>
        <w:t>12</w:t>
      </w:r>
      <w:r>
        <w:rPr>
          <w:rFonts w:ascii="Times New Roman" w:hAnsi="Times New Roman"/>
          <w:b/>
          <w:sz w:val="24"/>
        </w:rPr>
        <w:t xml:space="preserve">. </w:t>
      </w:r>
      <w:r>
        <w:tab/>
      </w:r>
      <w:r>
        <w:rPr>
          <w:rFonts w:ascii="Times New Roman" w:hAnsi="Times New Roman"/>
          <w:b/>
          <w:sz w:val="24"/>
        </w:rPr>
        <w:t>Infrastructures disponibles</w:t>
      </w:r>
    </w:p>
    <w:p w14:paraId="7829B340" w14:textId="77777777" w:rsidR="00832F98" w:rsidRPr="005107DF" w:rsidRDefault="00832F98" w:rsidP="00E16E97">
      <w:p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p>
    <w:p w14:paraId="72CE892B" w14:textId="77777777" w:rsidR="00832F98" w:rsidRPr="005107DF" w:rsidRDefault="00832F98" w:rsidP="0019382C">
      <w:pPr>
        <w:autoSpaceDE w:val="0"/>
        <w:autoSpaceDN w:val="0"/>
        <w:adjustRightInd w:val="0"/>
        <w:spacing w:after="0" w:line="240" w:lineRule="auto"/>
        <w:ind w:left="567"/>
        <w:jc w:val="both"/>
        <w:rPr>
          <w:rFonts w:ascii="Times New Roman" w:eastAsia="Times New Roman" w:hAnsi="Times New Roman" w:cs="Times New Roman"/>
          <w:bCs/>
          <w:i/>
          <w:sz w:val="24"/>
          <w:szCs w:val="24"/>
        </w:rPr>
      </w:pPr>
      <w:r>
        <w:rPr>
          <w:rFonts w:ascii="Times New Roman" w:hAnsi="Times New Roman"/>
          <w:i/>
          <w:sz w:val="24"/>
        </w:rPr>
        <w:t>Décrivez en détail les infrastructures qui seront mises à disposition pour l’accueil du CRJ et de ses assistants (notamment des salles de réunion, des espaces de bureaux, du matériel informatique et des logiciels, des dispositifs de sécurité et des locaux disponibles pour les formations, séminaires et conférences).</w:t>
      </w:r>
    </w:p>
    <w:p w14:paraId="78713E9D" w14:textId="77777777" w:rsidR="00832F98" w:rsidRPr="005107DF" w:rsidRDefault="00832F98" w:rsidP="00A92DE1">
      <w:pPr>
        <w:autoSpaceDE w:val="0"/>
        <w:autoSpaceDN w:val="0"/>
        <w:adjustRightInd w:val="0"/>
        <w:spacing w:before="120" w:after="0" w:line="240" w:lineRule="auto"/>
        <w:jc w:val="both"/>
        <w:rPr>
          <w:rFonts w:ascii="Times New Roman" w:eastAsia="Times New Roman" w:hAnsi="Times New Roman" w:cs="Times New Roman"/>
          <w:b/>
          <w:bCs/>
          <w:sz w:val="24"/>
          <w:szCs w:val="24"/>
        </w:rPr>
      </w:pPr>
    </w:p>
    <w:p w14:paraId="2B7C00F3" w14:textId="77777777" w:rsidR="00832F98" w:rsidRPr="005107DF" w:rsidRDefault="00832F98">
      <w:pPr>
        <w:rPr>
          <w:rFonts w:ascii="Times New Roman" w:eastAsia="Times New Roman" w:hAnsi="Times New Roman" w:cs="Times New Roman"/>
          <w:b/>
          <w:bCs/>
          <w:sz w:val="24"/>
          <w:szCs w:val="24"/>
        </w:rPr>
      </w:pPr>
      <w:r>
        <w:br w:type="page"/>
      </w:r>
    </w:p>
    <w:p w14:paraId="4F3D441E" w14:textId="77777777" w:rsidR="00832F98" w:rsidRPr="004946B7" w:rsidRDefault="00832F98" w:rsidP="00A92DE1">
      <w:pPr>
        <w:autoSpaceDE w:val="0"/>
        <w:autoSpaceDN w:val="0"/>
        <w:adjustRightInd w:val="0"/>
        <w:spacing w:before="120" w:after="0" w:line="240" w:lineRule="auto"/>
        <w:jc w:val="both"/>
        <w:rPr>
          <w:rFonts w:ascii="Times New Roman" w:eastAsia="Times New Roman" w:hAnsi="Times New Roman" w:cs="Times New Roman"/>
          <w:b/>
          <w:bCs/>
          <w:sz w:val="24"/>
          <w:szCs w:val="24"/>
        </w:rPr>
      </w:pPr>
      <w:r w:rsidRPr="004946B7">
        <w:rPr>
          <w:rFonts w:ascii="Times New Roman" w:hAnsi="Times New Roman"/>
          <w:b/>
          <w:sz w:val="24"/>
          <w:szCs w:val="24"/>
        </w:rPr>
        <w:lastRenderedPageBreak/>
        <w:t>ANNEXES DE LA FICHE DE PROJET</w:t>
      </w:r>
    </w:p>
    <w:p w14:paraId="7C6B0491" w14:textId="77777777" w:rsidR="00832F98" w:rsidRPr="005107DF" w:rsidRDefault="00832F98" w:rsidP="00296495">
      <w:pPr>
        <w:autoSpaceDE w:val="0"/>
        <w:autoSpaceDN w:val="0"/>
        <w:adjustRightInd w:val="0"/>
        <w:spacing w:before="120" w:after="0" w:line="240" w:lineRule="auto"/>
        <w:ind w:left="709" w:hanging="709"/>
        <w:jc w:val="both"/>
        <w:rPr>
          <w:rFonts w:ascii="Times New Roman" w:eastAsia="Times New Roman" w:hAnsi="Times New Roman" w:cs="Times New Roman"/>
          <w:sz w:val="24"/>
          <w:szCs w:val="24"/>
        </w:rPr>
      </w:pPr>
      <w:r w:rsidRPr="00452C1A">
        <w:rPr>
          <w:rFonts w:ascii="Times New Roman" w:hAnsi="Times New Roman"/>
          <w:sz w:val="24"/>
        </w:rPr>
        <w:t>1</w:t>
      </w:r>
      <w:r>
        <w:rPr>
          <w:rFonts w:ascii="Times New Roman" w:hAnsi="Times New Roman"/>
          <w:sz w:val="24"/>
        </w:rPr>
        <w:t xml:space="preserve">. </w:t>
      </w:r>
      <w:r>
        <w:tab/>
      </w:r>
      <w:r>
        <w:rPr>
          <w:rFonts w:ascii="Times New Roman" w:hAnsi="Times New Roman"/>
          <w:sz w:val="24"/>
        </w:rPr>
        <w:t>La matrice du cadre logique simplifié d’après l’annexe C</w:t>
      </w:r>
      <w:r w:rsidRPr="00452C1A">
        <w:rPr>
          <w:rFonts w:ascii="Times New Roman" w:hAnsi="Times New Roman"/>
          <w:sz w:val="24"/>
        </w:rPr>
        <w:t>1</w:t>
      </w:r>
      <w:r>
        <w:rPr>
          <w:rFonts w:ascii="Times New Roman" w:hAnsi="Times New Roman"/>
          <w:sz w:val="24"/>
        </w:rPr>
        <w:t xml:space="preserve">a (obligatoire) </w:t>
      </w:r>
    </w:p>
    <w:p w14:paraId="309B2E6E" w14:textId="3AC53A3D" w:rsidR="00832F98" w:rsidRPr="005107DF" w:rsidRDefault="00832F98" w:rsidP="00EB3B0F">
      <w:pPr>
        <w:autoSpaceDE w:val="0"/>
        <w:autoSpaceDN w:val="0"/>
        <w:adjustRightInd w:val="0"/>
        <w:spacing w:before="120" w:after="0" w:line="240" w:lineRule="auto"/>
        <w:ind w:left="709" w:hanging="709"/>
        <w:jc w:val="both"/>
        <w:rPr>
          <w:rFonts w:ascii="Times New Roman" w:eastAsia="Times New Roman" w:hAnsi="Times New Roman" w:cs="Times New Roman"/>
          <w:sz w:val="24"/>
          <w:szCs w:val="24"/>
        </w:rPr>
      </w:pPr>
      <w:r w:rsidRPr="00452C1A">
        <w:rPr>
          <w:rFonts w:ascii="Times New Roman" w:hAnsi="Times New Roman"/>
          <w:sz w:val="24"/>
        </w:rPr>
        <w:t>2</w:t>
      </w:r>
      <w:r>
        <w:rPr>
          <w:rFonts w:ascii="Times New Roman" w:hAnsi="Times New Roman"/>
          <w:sz w:val="24"/>
        </w:rPr>
        <w:t xml:space="preserve">.    </w:t>
      </w:r>
      <w:r w:rsidR="004946B7">
        <w:rPr>
          <w:rFonts w:ascii="Times New Roman" w:hAnsi="Times New Roman"/>
          <w:sz w:val="24"/>
        </w:rPr>
        <w:tab/>
      </w:r>
      <w:r>
        <w:rPr>
          <w:rFonts w:ascii="Times New Roman" w:hAnsi="Times New Roman"/>
          <w:sz w:val="24"/>
        </w:rPr>
        <w:t>Référence à des études de faisabilité/préfaisabilité. Pour tous les projets d’investissement, il est recommandé de joindre le résumé des évaluations économiques et financières et l’étude d’impact environnemental (facultatif)</w:t>
      </w:r>
    </w:p>
    <w:p w14:paraId="4C510043" w14:textId="77777777" w:rsidR="00832F98" w:rsidRPr="005107DF" w:rsidRDefault="00832F98"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 xml:space="preserve">. </w:t>
      </w:r>
      <w:r>
        <w:tab/>
      </w:r>
      <w:r>
        <w:rPr>
          <w:rFonts w:ascii="Times New Roman" w:hAnsi="Times New Roman"/>
          <w:sz w:val="24"/>
        </w:rPr>
        <w:t>Liste des lois et règlements applicables (facultatif)</w:t>
      </w:r>
    </w:p>
    <w:p w14:paraId="5A83DD0F" w14:textId="77777777" w:rsidR="00832F98" w:rsidRPr="005107DF" w:rsidRDefault="00832F98"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rPr>
      </w:pPr>
      <w:r w:rsidRPr="00452C1A">
        <w:rPr>
          <w:rFonts w:ascii="Times New Roman" w:hAnsi="Times New Roman"/>
          <w:sz w:val="24"/>
        </w:rPr>
        <w:t>4</w:t>
      </w:r>
      <w:r>
        <w:rPr>
          <w:rFonts w:ascii="Times New Roman" w:hAnsi="Times New Roman"/>
          <w:sz w:val="24"/>
        </w:rPr>
        <w:t xml:space="preserve">. </w:t>
      </w:r>
      <w:r>
        <w:tab/>
      </w:r>
      <w:r>
        <w:rPr>
          <w:rFonts w:ascii="Times New Roman" w:hAnsi="Times New Roman"/>
          <w:sz w:val="24"/>
        </w:rPr>
        <w:t>Référence aux plans et aux études stratégiques du gouvernement (plan de développement institutionnel, plans d’activités, études de secteur, etc.) (facultatif)</w:t>
      </w:r>
    </w:p>
    <w:p w14:paraId="0FC476AC" w14:textId="21645C90" w:rsidR="00832F98" w:rsidRPr="005107DF" w:rsidRDefault="00832F98" w:rsidP="00CA1245">
      <w:pPr>
        <w:tabs>
          <w:tab w:val="left" w:pos="709"/>
        </w:tabs>
        <w:autoSpaceDE w:val="0"/>
        <w:autoSpaceDN w:val="0"/>
        <w:adjustRightInd w:val="0"/>
        <w:spacing w:before="120" w:after="0" w:line="240" w:lineRule="auto"/>
        <w:ind w:left="851" w:hanging="851"/>
        <w:jc w:val="both"/>
        <w:rPr>
          <w:rFonts w:ascii="Times New Roman" w:eastAsia="Times New Roman" w:hAnsi="Times New Roman" w:cs="Times New Roman"/>
          <w:sz w:val="24"/>
          <w:szCs w:val="24"/>
        </w:rPr>
      </w:pPr>
      <w:r w:rsidRPr="00452C1A">
        <w:rPr>
          <w:rFonts w:ascii="Times New Roman" w:hAnsi="Times New Roman"/>
          <w:sz w:val="24"/>
        </w:rPr>
        <w:t>5</w:t>
      </w:r>
      <w:r>
        <w:rPr>
          <w:rFonts w:ascii="Times New Roman" w:hAnsi="Times New Roman"/>
          <w:sz w:val="24"/>
        </w:rPr>
        <w:t xml:space="preserve">. </w:t>
      </w:r>
      <w:r>
        <w:tab/>
      </w:r>
      <w:r>
        <w:rPr>
          <w:rFonts w:ascii="Times New Roman" w:hAnsi="Times New Roman"/>
          <w:sz w:val="24"/>
        </w:rPr>
        <w:t xml:space="preserve">Cartographie des interventions connexes mises en </w:t>
      </w:r>
      <w:r w:rsidR="00CA1245">
        <w:rPr>
          <w:rFonts w:ascii="Times New Roman" w:hAnsi="Times New Roman"/>
          <w:sz w:val="24"/>
        </w:rPr>
        <w:t xml:space="preserve">œuvre par le gouvernement et/ou </w:t>
      </w:r>
      <w:r>
        <w:rPr>
          <w:rFonts w:ascii="Times New Roman" w:hAnsi="Times New Roman"/>
          <w:sz w:val="24"/>
        </w:rPr>
        <w:t>d’autres acteurs (le cas échéant).</w:t>
      </w:r>
    </w:p>
    <w:p w14:paraId="7F095F60" w14:textId="77777777" w:rsidR="00832F98" w:rsidRPr="005107DF" w:rsidRDefault="00832F98"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6</w:t>
      </w:r>
      <w:r>
        <w:rPr>
          <w:rFonts w:ascii="Times New Roman" w:hAnsi="Times New Roman"/>
          <w:sz w:val="24"/>
        </w:rPr>
        <w:t xml:space="preserve">. </w:t>
      </w:r>
      <w:r>
        <w:tab/>
      </w:r>
      <w:r>
        <w:rPr>
          <w:rFonts w:ascii="Times New Roman" w:hAnsi="Times New Roman"/>
          <w:sz w:val="24"/>
        </w:rPr>
        <w:t>Cadre existant de coordination des donateurs (le cas échéant)</w:t>
      </w:r>
    </w:p>
    <w:p w14:paraId="259CDD3D" w14:textId="77777777" w:rsidR="00832F98" w:rsidRPr="005107DF" w:rsidRDefault="00832F98"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7</w:t>
      </w:r>
      <w:r>
        <w:rPr>
          <w:rFonts w:ascii="Times New Roman" w:hAnsi="Times New Roman"/>
          <w:sz w:val="24"/>
        </w:rPr>
        <w:t xml:space="preserve">. </w:t>
      </w:r>
      <w:r>
        <w:tab/>
      </w:r>
      <w:r>
        <w:rPr>
          <w:rFonts w:ascii="Times New Roman" w:hAnsi="Times New Roman"/>
          <w:sz w:val="24"/>
        </w:rPr>
        <w:t>Cadre de suivi du projet/du secteur (le cas échéant)</w:t>
      </w:r>
    </w:p>
    <w:p w14:paraId="0DE02E47" w14:textId="77777777" w:rsidR="00832F98" w:rsidRPr="005107DF" w:rsidRDefault="00832F98"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rPr>
      </w:pPr>
      <w:r w:rsidRPr="00452C1A">
        <w:rPr>
          <w:rFonts w:ascii="Times New Roman" w:hAnsi="Times New Roman"/>
          <w:sz w:val="24"/>
        </w:rPr>
        <w:t>8</w:t>
      </w:r>
      <w:r>
        <w:rPr>
          <w:rFonts w:ascii="Times New Roman" w:hAnsi="Times New Roman"/>
          <w:sz w:val="24"/>
        </w:rPr>
        <w:t xml:space="preserve">. </w:t>
      </w:r>
      <w:r>
        <w:tab/>
      </w:r>
      <w:r>
        <w:rPr>
          <w:rFonts w:ascii="Times New Roman" w:hAnsi="Times New Roman"/>
          <w:sz w:val="24"/>
        </w:rPr>
        <w:t>Rapports d’évaluation sectorielle de toutes sortes, y compris les rapports d’autres organisations internationales (SIGMA, FMI, etc.) accessibles au public</w:t>
      </w:r>
    </w:p>
    <w:p w14:paraId="6C5C0759" w14:textId="77777777" w:rsidR="00832F98" w:rsidRPr="005107DF" w:rsidRDefault="00832F98"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rPr>
      </w:pPr>
      <w:r w:rsidRPr="00452C1A">
        <w:rPr>
          <w:rFonts w:ascii="Times New Roman" w:hAnsi="Times New Roman"/>
          <w:sz w:val="24"/>
        </w:rPr>
        <w:t>9</w:t>
      </w:r>
      <w:r>
        <w:rPr>
          <w:rFonts w:ascii="Times New Roman" w:hAnsi="Times New Roman"/>
          <w:sz w:val="24"/>
        </w:rPr>
        <w:t xml:space="preserve">. </w:t>
      </w:r>
      <w:r>
        <w:tab/>
      </w:r>
      <w:r>
        <w:rPr>
          <w:rFonts w:ascii="Times New Roman" w:hAnsi="Times New Roman"/>
          <w:sz w:val="24"/>
        </w:rPr>
        <w:t>Conclusions/accords conclus entre l’UE et le bénéficiaire à la suite du dialogue politique présentant un intérêt pour le projet/secteur et accessibles au public</w:t>
      </w:r>
    </w:p>
    <w:p w14:paraId="2192CBF5"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b/>
          <w:bCs/>
          <w:sz w:val="24"/>
          <w:szCs w:val="24"/>
        </w:rPr>
        <w:sectPr w:rsidR="00832F98" w:rsidRPr="005107DF" w:rsidSect="00AB264C">
          <w:headerReference w:type="default" r:id="rId47"/>
          <w:footerReference w:type="even" r:id="rId48"/>
          <w:footerReference w:type="default" r:id="rId49"/>
          <w:pgSz w:w="11910" w:h="16840"/>
          <w:pgMar w:top="1077" w:right="1418" w:bottom="1077" w:left="1418" w:header="720" w:footer="799" w:gutter="0"/>
          <w:pgNumType w:start="127"/>
          <w:cols w:space="720"/>
        </w:sectPr>
      </w:pPr>
      <w:r>
        <w:rPr>
          <w:rFonts w:ascii="Times New Roman" w:hAnsi="Times New Roman"/>
          <w:sz w:val="24"/>
        </w:rPr>
        <w:t xml:space="preserve"> </w:t>
      </w:r>
    </w:p>
    <w:p w14:paraId="17A73BC4"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281" w:name="_Toc517434474"/>
      <w:bookmarkStart w:id="1282" w:name="_Toc2861041"/>
      <w:bookmarkStart w:id="1283" w:name="_Toc476063483"/>
      <w:bookmarkStart w:id="1284" w:name="_Toc476067965"/>
      <w:r>
        <w:rPr>
          <w:sz w:val="32"/>
        </w:rPr>
        <w:lastRenderedPageBreak/>
        <w:t>ANNEXE C</w:t>
      </w:r>
      <w:r w:rsidRPr="00452C1A">
        <w:rPr>
          <w:sz w:val="32"/>
        </w:rPr>
        <w:t>1</w:t>
      </w:r>
      <w:r>
        <w:rPr>
          <w:sz w:val="32"/>
        </w:rPr>
        <w:t>a: Niveaux d’une logique d’intervention</w:t>
      </w:r>
      <w:bookmarkEnd w:id="1281"/>
      <w:bookmarkEnd w:id="1282"/>
      <w:r>
        <w:rPr>
          <w:sz w:val="32"/>
        </w:rPr>
        <w:t xml:space="preserve"> </w:t>
      </w:r>
    </w:p>
    <w:p w14:paraId="05AC85CE" w14:textId="77777777" w:rsidR="00832F98" w:rsidRPr="005107DF" w:rsidRDefault="00832F98">
      <w:pPr>
        <w:rPr>
          <w:rFonts w:ascii="Times New Roman" w:hAnsi="Times New Roman" w:cs="Times New Roman"/>
        </w:rPr>
      </w:pPr>
    </w:p>
    <w:p w14:paraId="4695DAC5" w14:textId="77777777" w:rsidR="00832F98" w:rsidRPr="005107DF" w:rsidRDefault="00832F98" w:rsidP="007338F0">
      <w:pPr>
        <w:rPr>
          <w:rFonts w:ascii="Times New Roman" w:hAnsi="Times New Roman" w:cs="Times New Roman"/>
        </w:rPr>
        <w:sectPr w:rsidR="00832F98" w:rsidRPr="005107DF" w:rsidSect="0019382C">
          <w:footnotePr>
            <w:numRestart w:val="eachSect"/>
          </w:footnotePr>
          <w:pgSz w:w="11907" w:h="16840" w:code="9"/>
          <w:pgMar w:top="1418" w:right="1417" w:bottom="851" w:left="1418" w:header="567" w:footer="567" w:gutter="0"/>
          <w:cols w:space="720"/>
          <w:docGrid w:linePitch="326"/>
        </w:sectPr>
      </w:pPr>
      <w:r>
        <w:rPr>
          <w:rFonts w:ascii="Times New Roman" w:hAnsi="Times New Roman" w:cs="Times New Roman"/>
          <w:noProof/>
          <w:lang w:val="en-GB" w:eastAsia="en-GB" w:bidi="ar-SA"/>
        </w:rPr>
        <w:drawing>
          <wp:inline distT="0" distB="0" distL="0" distR="0" wp14:anchorId="787B0486" wp14:editId="22698A28">
            <wp:extent cx="5844746" cy="7596606"/>
            <wp:effectExtent l="0" t="0" r="381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7505" cy="7600192"/>
                    </a:xfrm>
                    <a:prstGeom prst="rect">
                      <a:avLst/>
                    </a:prstGeom>
                    <a:noFill/>
                  </pic:spPr>
                </pic:pic>
              </a:graphicData>
            </a:graphic>
          </wp:inline>
        </w:drawing>
      </w:r>
      <w:bookmarkStart w:id="1285" w:name="_Toc63844493"/>
      <w:bookmarkStart w:id="1286" w:name="_Toc71600476"/>
      <w:bookmarkStart w:id="1287" w:name="_Toc71600537"/>
      <w:bookmarkStart w:id="1288" w:name="_Toc72222209"/>
      <w:bookmarkStart w:id="1289" w:name="_Toc77496162"/>
      <w:bookmarkStart w:id="1290" w:name="_Toc86057390"/>
      <w:bookmarkEnd w:id="1283"/>
      <w:bookmarkEnd w:id="1284"/>
    </w:p>
    <w:p w14:paraId="7DF69479" w14:textId="77777777" w:rsidR="00832F98" w:rsidRPr="005107DF" w:rsidRDefault="00832F98" w:rsidP="001D798C">
      <w:pPr>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lastRenderedPageBreak/>
        <w:t xml:space="preserve">Cadre logique simplifié </w:t>
      </w:r>
    </w:p>
    <w:p w14:paraId="77AAEF26" w14:textId="77777777" w:rsidR="00832F98" w:rsidRPr="005107DF" w:rsidRDefault="00832F98" w:rsidP="001D798C">
      <w:pPr>
        <w:spacing w:after="0" w:line="240" w:lineRule="auto"/>
        <w:rPr>
          <w:rFonts w:ascii="Times New Roman" w:eastAsia="Times New Roman" w:hAnsi="Times New Roman" w:cs="Times New Roman"/>
          <w:b/>
          <w:color w:val="000000"/>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7"/>
        <w:gridCol w:w="1403"/>
        <w:gridCol w:w="1480"/>
        <w:gridCol w:w="1391"/>
        <w:gridCol w:w="1391"/>
        <w:gridCol w:w="1526"/>
      </w:tblGrid>
      <w:tr w:rsidR="00832F98" w:rsidRPr="005107DF" w14:paraId="66481A7D" w14:textId="77777777" w:rsidTr="005D336D">
        <w:tc>
          <w:tcPr>
            <w:tcW w:w="874" w:type="pct"/>
          </w:tcPr>
          <w:p w14:paraId="73A5751F" w14:textId="77777777" w:rsidR="00832F98" w:rsidRPr="005107DF" w:rsidRDefault="00832F98" w:rsidP="005D336D">
            <w:pPr>
              <w:spacing w:after="0" w:line="240" w:lineRule="auto"/>
              <w:jc w:val="center"/>
              <w:rPr>
                <w:rFonts w:ascii="Times New Roman" w:eastAsia="Times New Roman" w:hAnsi="Times New Roman" w:cs="Times New Roman"/>
                <w:color w:val="000000"/>
                <w:sz w:val="24"/>
                <w:szCs w:val="24"/>
              </w:rPr>
            </w:pPr>
          </w:p>
        </w:tc>
        <w:tc>
          <w:tcPr>
            <w:tcW w:w="781" w:type="pct"/>
            <w:shd w:val="pct10" w:color="auto" w:fill="FFFFFF"/>
            <w:vAlign w:val="center"/>
          </w:tcPr>
          <w:p w14:paraId="2D8B0AE4" w14:textId="77777777" w:rsidR="00832F98" w:rsidRPr="005107DF" w:rsidRDefault="00832F98" w:rsidP="005D336D">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Description</w:t>
            </w:r>
          </w:p>
        </w:tc>
        <w:tc>
          <w:tcPr>
            <w:tcW w:w="873" w:type="pct"/>
            <w:shd w:val="pct10" w:color="auto" w:fill="FFFFFF"/>
            <w:vAlign w:val="center"/>
          </w:tcPr>
          <w:p w14:paraId="4A2DA492" w14:textId="77777777" w:rsidR="00832F98" w:rsidRPr="005107DF" w:rsidRDefault="00832F98" w:rsidP="005D336D">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Indicateurs (avec niveau de référence et données cibles pertinents)</w:t>
            </w:r>
          </w:p>
        </w:tc>
        <w:tc>
          <w:tcPr>
            <w:tcW w:w="800" w:type="pct"/>
            <w:shd w:val="pct10" w:color="auto" w:fill="FFFFFF"/>
            <w:vAlign w:val="center"/>
          </w:tcPr>
          <w:p w14:paraId="540F436A" w14:textId="77777777" w:rsidR="00832F98" w:rsidRPr="005107DF" w:rsidRDefault="00832F98" w:rsidP="005D336D">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Sources de vérification</w:t>
            </w:r>
          </w:p>
        </w:tc>
        <w:tc>
          <w:tcPr>
            <w:tcW w:w="800" w:type="pct"/>
            <w:shd w:val="pct10" w:color="auto" w:fill="FFFFFF"/>
          </w:tcPr>
          <w:p w14:paraId="689A1332" w14:textId="77777777" w:rsidR="00832F98" w:rsidRPr="005107DF" w:rsidRDefault="00832F98" w:rsidP="005D336D">
            <w:pPr>
              <w:spacing w:after="0" w:line="240" w:lineRule="auto"/>
              <w:jc w:val="center"/>
              <w:rPr>
                <w:rFonts w:ascii="Times New Roman" w:eastAsia="Times New Roman" w:hAnsi="Times New Roman" w:cs="Times New Roman"/>
                <w:b/>
                <w:color w:val="000000"/>
                <w:sz w:val="24"/>
                <w:szCs w:val="24"/>
              </w:rPr>
            </w:pPr>
          </w:p>
          <w:p w14:paraId="79DF4F42" w14:textId="77777777" w:rsidR="00832F98" w:rsidRPr="005107DF" w:rsidRDefault="00832F98" w:rsidP="005D336D">
            <w:pPr>
              <w:spacing w:after="0" w:line="240" w:lineRule="auto"/>
              <w:jc w:val="center"/>
              <w:rPr>
                <w:rFonts w:ascii="Times New Roman" w:eastAsia="Times New Roman" w:hAnsi="Times New Roman" w:cs="Times New Roman"/>
                <w:b/>
                <w:color w:val="000000"/>
                <w:sz w:val="24"/>
                <w:szCs w:val="24"/>
              </w:rPr>
            </w:pPr>
          </w:p>
          <w:p w14:paraId="06F09EFA" w14:textId="77777777" w:rsidR="00832F98" w:rsidRPr="005107DF" w:rsidRDefault="00832F98" w:rsidP="005D336D">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Risques</w:t>
            </w:r>
          </w:p>
        </w:tc>
        <w:tc>
          <w:tcPr>
            <w:tcW w:w="873" w:type="pct"/>
            <w:tcBorders>
              <w:bottom w:val="single" w:sz="4" w:space="0" w:color="auto"/>
            </w:tcBorders>
            <w:shd w:val="pct10" w:color="auto" w:fill="FFFFFF"/>
            <w:vAlign w:val="center"/>
          </w:tcPr>
          <w:p w14:paraId="580F8402" w14:textId="77777777" w:rsidR="00832F98" w:rsidRPr="005107DF" w:rsidRDefault="00832F98" w:rsidP="005D336D">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Hypothèses (facteurs externes au projet)</w:t>
            </w:r>
          </w:p>
        </w:tc>
      </w:tr>
      <w:tr w:rsidR="00832F98" w:rsidRPr="005107DF" w14:paraId="022ACBFF" w14:textId="77777777" w:rsidTr="005D336D">
        <w:trPr>
          <w:cantSplit/>
          <w:trHeight w:val="1054"/>
        </w:trPr>
        <w:tc>
          <w:tcPr>
            <w:tcW w:w="874" w:type="pct"/>
            <w:vAlign w:val="center"/>
          </w:tcPr>
          <w:p w14:paraId="772D1E79" w14:textId="77777777" w:rsidR="00832F98" w:rsidRPr="005107DF" w:rsidRDefault="00832F98" w:rsidP="005D336D">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Objectif général</w:t>
            </w:r>
          </w:p>
        </w:tc>
        <w:tc>
          <w:tcPr>
            <w:tcW w:w="781" w:type="pct"/>
          </w:tcPr>
          <w:p w14:paraId="18F70BD5"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tc>
        <w:tc>
          <w:tcPr>
            <w:tcW w:w="873" w:type="pct"/>
          </w:tcPr>
          <w:p w14:paraId="588DB83A"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p w14:paraId="4FE17EB5"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tc>
        <w:tc>
          <w:tcPr>
            <w:tcW w:w="800" w:type="pct"/>
          </w:tcPr>
          <w:p w14:paraId="18C6C657"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p w14:paraId="1CB3B041"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 xml:space="preserve"> </w:t>
            </w:r>
          </w:p>
        </w:tc>
        <w:tc>
          <w:tcPr>
            <w:tcW w:w="800" w:type="pct"/>
            <w:shd w:val="clear" w:color="auto" w:fill="auto"/>
          </w:tcPr>
          <w:p w14:paraId="347D6D61"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tc>
        <w:tc>
          <w:tcPr>
            <w:tcW w:w="873" w:type="pct"/>
            <w:shd w:val="clear" w:color="auto" w:fill="FFFFFF"/>
          </w:tcPr>
          <w:p w14:paraId="4AD9EBD1"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p>
          <w:p w14:paraId="25389901" w14:textId="77777777" w:rsidR="00832F98" w:rsidRPr="005107DF" w:rsidRDefault="00832F98" w:rsidP="005D336D">
            <w:pPr>
              <w:spacing w:after="0" w:line="240" w:lineRule="auto"/>
              <w:rPr>
                <w:rFonts w:ascii="Times New Roman" w:eastAsia="Times New Roman" w:hAnsi="Times New Roman" w:cs="Times New Roman"/>
                <w:sz w:val="24"/>
                <w:szCs w:val="24"/>
              </w:rPr>
            </w:pPr>
          </w:p>
          <w:p w14:paraId="07527A4F" w14:textId="77777777" w:rsidR="00832F98" w:rsidRPr="005107DF" w:rsidRDefault="00832F98" w:rsidP="005D336D">
            <w:pPr>
              <w:spacing w:after="0" w:line="240" w:lineRule="auto"/>
              <w:jc w:val="center"/>
              <w:rPr>
                <w:rFonts w:ascii="Times New Roman" w:eastAsia="Times New Roman" w:hAnsi="Times New Roman" w:cs="Times New Roman"/>
                <w:sz w:val="24"/>
                <w:szCs w:val="24"/>
              </w:rPr>
            </w:pPr>
          </w:p>
        </w:tc>
      </w:tr>
      <w:tr w:rsidR="00832F98" w:rsidRPr="005107DF" w14:paraId="37AA8CAC" w14:textId="77777777" w:rsidTr="005D336D">
        <w:trPr>
          <w:cantSplit/>
          <w:trHeight w:val="1126"/>
        </w:trPr>
        <w:tc>
          <w:tcPr>
            <w:tcW w:w="874" w:type="pct"/>
            <w:vAlign w:val="center"/>
          </w:tcPr>
          <w:p w14:paraId="3EE097F4" w14:textId="77777777" w:rsidR="00832F98" w:rsidRPr="005107DF" w:rsidRDefault="00832F98" w:rsidP="005D336D">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Objectif(s) spécifique(s) (du projet)</w:t>
            </w:r>
          </w:p>
        </w:tc>
        <w:tc>
          <w:tcPr>
            <w:tcW w:w="781" w:type="pct"/>
          </w:tcPr>
          <w:p w14:paraId="49324CD3"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tc>
        <w:tc>
          <w:tcPr>
            <w:tcW w:w="873" w:type="pct"/>
          </w:tcPr>
          <w:p w14:paraId="29BA1BB0"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tc>
        <w:tc>
          <w:tcPr>
            <w:tcW w:w="800" w:type="pct"/>
          </w:tcPr>
          <w:p w14:paraId="63C4EB07"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p>
        </w:tc>
        <w:tc>
          <w:tcPr>
            <w:tcW w:w="800" w:type="pct"/>
          </w:tcPr>
          <w:p w14:paraId="14795F4F"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tc>
        <w:tc>
          <w:tcPr>
            <w:tcW w:w="873" w:type="pct"/>
          </w:tcPr>
          <w:p w14:paraId="0F4A2588"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p w14:paraId="2A8E7EFD"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tc>
      </w:tr>
      <w:tr w:rsidR="00832F98" w:rsidRPr="005107DF" w14:paraId="1AD31229" w14:textId="77777777" w:rsidTr="005D336D">
        <w:trPr>
          <w:cantSplit/>
          <w:trHeight w:val="1114"/>
        </w:trPr>
        <w:tc>
          <w:tcPr>
            <w:tcW w:w="874" w:type="pct"/>
            <w:vAlign w:val="center"/>
          </w:tcPr>
          <w:p w14:paraId="24E37761" w14:textId="77777777" w:rsidR="00832F98" w:rsidRPr="005107DF" w:rsidRDefault="00832F98" w:rsidP="005D336D">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Résultats/produits obligatoires par volet</w:t>
            </w:r>
          </w:p>
        </w:tc>
        <w:tc>
          <w:tcPr>
            <w:tcW w:w="781" w:type="pct"/>
          </w:tcPr>
          <w:p w14:paraId="4567965C"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tc>
        <w:tc>
          <w:tcPr>
            <w:tcW w:w="873" w:type="pct"/>
          </w:tcPr>
          <w:p w14:paraId="32002442"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p>
        </w:tc>
        <w:tc>
          <w:tcPr>
            <w:tcW w:w="800" w:type="pct"/>
          </w:tcPr>
          <w:p w14:paraId="4A7BD3D7"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p>
        </w:tc>
        <w:tc>
          <w:tcPr>
            <w:tcW w:w="800" w:type="pct"/>
          </w:tcPr>
          <w:p w14:paraId="0B7AAD1C"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p>
        </w:tc>
        <w:tc>
          <w:tcPr>
            <w:tcW w:w="873" w:type="pct"/>
          </w:tcPr>
          <w:p w14:paraId="7C4FC204"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p>
        </w:tc>
      </w:tr>
      <w:tr w:rsidR="00832F98" w:rsidRPr="005107DF" w14:paraId="0A2FBFC1" w14:textId="77777777" w:rsidTr="005D336D">
        <w:trPr>
          <w:cantSplit/>
          <w:trHeight w:val="1114"/>
        </w:trPr>
        <w:tc>
          <w:tcPr>
            <w:tcW w:w="874" w:type="pct"/>
            <w:vAlign w:val="center"/>
          </w:tcPr>
          <w:p w14:paraId="2E6C685E" w14:textId="77777777" w:rsidR="00832F98" w:rsidRPr="005107DF" w:rsidDel="00CA0EDA" w:rsidRDefault="00832F98" w:rsidP="005D336D">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Sous-résultats par volet (facultatifs et indicatifs)</w:t>
            </w:r>
          </w:p>
        </w:tc>
        <w:tc>
          <w:tcPr>
            <w:tcW w:w="781" w:type="pct"/>
          </w:tcPr>
          <w:p w14:paraId="0FEC9DD7"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tc>
        <w:tc>
          <w:tcPr>
            <w:tcW w:w="873" w:type="pct"/>
          </w:tcPr>
          <w:p w14:paraId="037003B9"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p>
        </w:tc>
        <w:tc>
          <w:tcPr>
            <w:tcW w:w="800" w:type="pct"/>
          </w:tcPr>
          <w:p w14:paraId="7B4B6FAC"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p>
        </w:tc>
        <w:tc>
          <w:tcPr>
            <w:tcW w:w="800" w:type="pct"/>
          </w:tcPr>
          <w:p w14:paraId="180824C7"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p>
        </w:tc>
        <w:tc>
          <w:tcPr>
            <w:tcW w:w="873" w:type="pct"/>
          </w:tcPr>
          <w:p w14:paraId="0B77B38C"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p>
        </w:tc>
      </w:tr>
    </w:tbl>
    <w:p w14:paraId="64DC03F0"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p>
    <w:p w14:paraId="678FEA33"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OBJECTIF GÉNÉRAL: indiquer l’objectif stratégique général qui dépasse le cadre immédiat du projet, mais auquel celui-ci peut contribuer. L’objectif général devrait être en rapport avec la réforme sectorielle générale dans le pays bénéficiaire, comme convenu dans le cadre de la définition de la coopération avec l’UE.</w:t>
      </w:r>
    </w:p>
    <w:p w14:paraId="17188278"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p>
    <w:p w14:paraId="2251E434"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Il s’agit des changements qu’apporteront les interventions de tous les acteurs et parties prenantes du projet au niveau du contexte politique, social, économique et environnemental mondial. Ces changements nécessitent la participation de tierces parties qui n’étaient pas des bénéficiaires directs de l’intervention. Ils sont donc indirectement influencés par l’intervention de l’UE.</w:t>
      </w:r>
    </w:p>
    <w:p w14:paraId="3AAC519E"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p>
    <w:p w14:paraId="7FC3F31C"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OBJECTIF(S) spécifique(s) DU PROJET: définir le ou les objectifs spécifiques qui seront atteints grâce à la mise en œuvre du projet de jumelage. Il s’agit des effets du projet sur les domaines politiques, sociaux, économiques et environnementaux ciblés par l’intervention de l’UE ainsi que des modifications des comportements des bénéficiaires de l’intervention de l’UE. </w:t>
      </w:r>
    </w:p>
    <w:p w14:paraId="1B527BC6"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p>
    <w:p w14:paraId="4663257C" w14:textId="77777777" w:rsidR="00832F98" w:rsidRPr="005107DF" w:rsidRDefault="00832F98" w:rsidP="001D798C">
      <w:pPr>
        <w:spacing w:after="0" w:line="240" w:lineRule="auto"/>
        <w:jc w:val="both"/>
        <w:rPr>
          <w:rFonts w:ascii="Times New Roman" w:eastAsia="Times New Roman" w:hAnsi="Times New Roman" w:cs="Times New Roman"/>
          <w:bCs/>
          <w:i/>
          <w:sz w:val="20"/>
          <w:szCs w:val="20"/>
        </w:rPr>
      </w:pPr>
      <w:r>
        <w:rPr>
          <w:rFonts w:ascii="Times New Roman" w:hAnsi="Times New Roman"/>
          <w:i/>
          <w:color w:val="000000"/>
          <w:sz w:val="24"/>
        </w:rPr>
        <w:t>RÉSULTATS/PRODUITS OBLIGATOIRES: décrire chaque résultat que le projet doit atteindre, comme décrit dans la fiche de jumelage. Chaque résultat/produit obligatoire doit correspondre à un «volet du projet». Veuillez utiliser une ligne par volet.</w:t>
      </w:r>
      <w:r>
        <w:rPr>
          <w:rFonts w:ascii="Times New Roman" w:hAnsi="Times New Roman"/>
          <w:i/>
          <w:sz w:val="20"/>
        </w:rPr>
        <w:t xml:space="preserve"> </w:t>
      </w:r>
    </w:p>
    <w:p w14:paraId="64A1D59E"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p>
    <w:p w14:paraId="2F8D0ADB" w14:textId="77777777" w:rsidR="00832F98" w:rsidRDefault="00832F98" w:rsidP="001D798C">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INDICATEURS: (avec niveau de référence et données cibles pertinents): donner une indication de la manière dont la réalisation de chaque volet des résultats obligatoires [sous-résultats par volet, résultats (objectifs spécifiques) et impact (objectif général)] sera mesurée. Veiller à ce que les indicateurs définissent les éléments suivants, le cas échéant: </w:t>
      </w:r>
      <w:r w:rsidRPr="00452C1A">
        <w:rPr>
          <w:rFonts w:ascii="Times New Roman" w:hAnsi="Times New Roman"/>
          <w:i/>
          <w:color w:val="000000"/>
          <w:sz w:val="24"/>
        </w:rPr>
        <w:t>1</w:t>
      </w:r>
      <w:r>
        <w:rPr>
          <w:rFonts w:ascii="Times New Roman" w:hAnsi="Times New Roman"/>
          <w:i/>
          <w:color w:val="000000"/>
          <w:sz w:val="24"/>
        </w:rPr>
        <w:t xml:space="preserve">. Valeur de la mesure (quantité ou qualité); </w:t>
      </w:r>
      <w:r w:rsidRPr="00452C1A">
        <w:rPr>
          <w:rFonts w:ascii="Times New Roman" w:hAnsi="Times New Roman"/>
          <w:i/>
          <w:color w:val="000000"/>
          <w:sz w:val="24"/>
        </w:rPr>
        <w:t>2</w:t>
      </w:r>
      <w:r>
        <w:rPr>
          <w:rFonts w:ascii="Times New Roman" w:hAnsi="Times New Roman"/>
          <w:i/>
          <w:color w:val="000000"/>
          <w:sz w:val="24"/>
        </w:rPr>
        <w:t xml:space="preserve">. Niveau de référence et cible (valeurs et délais); </w:t>
      </w:r>
      <w:r w:rsidRPr="00452C1A">
        <w:rPr>
          <w:rFonts w:ascii="Times New Roman" w:hAnsi="Times New Roman"/>
          <w:i/>
          <w:color w:val="000000"/>
          <w:sz w:val="24"/>
        </w:rPr>
        <w:t>3</w:t>
      </w:r>
      <w:r>
        <w:rPr>
          <w:rFonts w:ascii="Times New Roman" w:hAnsi="Times New Roman"/>
          <w:i/>
          <w:color w:val="000000"/>
          <w:sz w:val="24"/>
        </w:rPr>
        <w:t xml:space="preserve">. Acteurs </w:t>
      </w:r>
      <w:r>
        <w:rPr>
          <w:rFonts w:ascii="Times New Roman" w:hAnsi="Times New Roman"/>
          <w:i/>
          <w:color w:val="000000"/>
          <w:sz w:val="24"/>
        </w:rPr>
        <w:lastRenderedPageBreak/>
        <w:t xml:space="preserve">responsables de la collecte des données et de l’établissement des rapports; </w:t>
      </w:r>
      <w:r w:rsidRPr="00452C1A">
        <w:rPr>
          <w:rFonts w:ascii="Times New Roman" w:hAnsi="Times New Roman"/>
          <w:i/>
          <w:color w:val="000000"/>
          <w:sz w:val="24"/>
        </w:rPr>
        <w:t>4</w:t>
      </w:r>
      <w:r>
        <w:rPr>
          <w:rFonts w:ascii="Times New Roman" w:hAnsi="Times New Roman"/>
          <w:i/>
          <w:color w:val="000000"/>
          <w:sz w:val="24"/>
        </w:rPr>
        <w:t xml:space="preserve">. Groupe cible; </w:t>
      </w:r>
      <w:r w:rsidRPr="00452C1A">
        <w:rPr>
          <w:rFonts w:ascii="Times New Roman" w:hAnsi="Times New Roman"/>
          <w:i/>
          <w:color w:val="000000"/>
          <w:sz w:val="24"/>
        </w:rPr>
        <w:t>5</w:t>
      </w:r>
      <w:r>
        <w:rPr>
          <w:rFonts w:ascii="Times New Roman" w:hAnsi="Times New Roman"/>
          <w:i/>
          <w:color w:val="000000"/>
          <w:sz w:val="24"/>
        </w:rPr>
        <w:t xml:space="preserve">. Délais pour l’établissement des rapports; </w:t>
      </w:r>
      <w:r w:rsidRPr="00452C1A">
        <w:rPr>
          <w:rFonts w:ascii="Times New Roman" w:hAnsi="Times New Roman"/>
          <w:i/>
          <w:color w:val="000000"/>
          <w:sz w:val="24"/>
        </w:rPr>
        <w:t>6</w:t>
      </w:r>
      <w:r>
        <w:rPr>
          <w:rFonts w:ascii="Times New Roman" w:hAnsi="Times New Roman"/>
          <w:i/>
          <w:color w:val="000000"/>
          <w:sz w:val="24"/>
        </w:rPr>
        <w:t xml:space="preserve">. Lieu. Le niveau de référence et les données cibles, comme indiqués dans la fiche de jumelage, seront indiqués entre crochets à côté de chaque indicateur. Les indicateurs peuvent être révisés si cela est jugé approprié lors de l’élaboration du plan de travail initial. </w:t>
      </w:r>
    </w:p>
    <w:p w14:paraId="50E64215"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SOURCES DE VÉRIFICATION: pour chaque volet, préciser les sources d’information permettant de prouver que les cibles ont bien été atteintes: par exemple, des rapports indépendants, des enquêtes, le Journal officiel, des rapports de la Commission, etc.</w:t>
      </w:r>
    </w:p>
    <w:p w14:paraId="2C820742"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p>
    <w:p w14:paraId="135D2A79"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RISQUES: mentionner les facteurs externes susceptibles d’entraver la bonne mise en œuvre du projet, y compris tout événement échappant au contrôle des principaux acteurs.</w:t>
      </w:r>
    </w:p>
    <w:p w14:paraId="78331FF9"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p>
    <w:p w14:paraId="5C5E8040"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HYPOTHÈSES: préciser les conditions externes et/ou les initiatives de tierces parties susceptibles d’influencer la mise en œuvre du projet au point que seule leur réussite peut garantir le succès du projet. Il s’agit des conditions nécessaires et positives qui permettent d’établir un lien de causalité avéré entre les différents niveaux de résultats.</w:t>
      </w:r>
      <w:r>
        <w:rPr>
          <w:rFonts w:ascii="Times New Roman" w:hAnsi="Times New Roman"/>
          <w:b/>
          <w:i/>
          <w:color w:val="000000"/>
          <w:sz w:val="24"/>
          <w:u w:val="single"/>
        </w:rPr>
        <w:t xml:space="preserve"> </w:t>
      </w:r>
    </w:p>
    <w:p w14:paraId="306B0D90" w14:textId="77777777" w:rsidR="00832F98" w:rsidRPr="005107DF" w:rsidRDefault="00832F98" w:rsidP="001D798C">
      <w:pPr>
        <w:spacing w:after="0" w:line="240" w:lineRule="auto"/>
        <w:jc w:val="both"/>
        <w:rPr>
          <w:rFonts w:ascii="Times New Roman" w:eastAsia="Times New Roman" w:hAnsi="Times New Roman" w:cs="Times New Roman"/>
          <w:color w:val="000000"/>
          <w:sz w:val="24"/>
          <w:szCs w:val="24"/>
        </w:rPr>
      </w:pPr>
    </w:p>
    <w:p w14:paraId="15F41FE3" w14:textId="77777777" w:rsidR="00832F98" w:rsidRPr="005107DF" w:rsidRDefault="00832F98" w:rsidP="001D798C">
      <w:pPr>
        <w:spacing w:after="0" w:line="240" w:lineRule="auto"/>
        <w:rPr>
          <w:rFonts w:ascii="Times New Roman" w:eastAsia="Times New Roman" w:hAnsi="Times New Roman" w:cs="Times New Roman"/>
          <w:sz w:val="24"/>
          <w:szCs w:val="24"/>
        </w:rPr>
      </w:pPr>
    </w:p>
    <w:p w14:paraId="51780162" w14:textId="77777777" w:rsidR="00832F98" w:rsidRPr="005107DF" w:rsidRDefault="00832F98" w:rsidP="001D798C">
      <w:pPr>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 xml:space="preserve">CALENDRIER INDICATIF (exemple) </w:t>
      </w:r>
    </w:p>
    <w:p w14:paraId="03D9F61B" w14:textId="77777777" w:rsidR="00832F98" w:rsidRPr="005107DF" w:rsidRDefault="00832F98" w:rsidP="001D798C">
      <w:pPr>
        <w:spacing w:after="0" w:line="240" w:lineRule="auto"/>
        <w:rPr>
          <w:rFonts w:ascii="Times New Roman" w:eastAsia="Times New Roman" w:hAnsi="Times New Roman" w:cs="Times New Roman"/>
          <w:b/>
          <w:color w:val="000000"/>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519"/>
        <w:gridCol w:w="520"/>
        <w:gridCol w:w="520"/>
        <w:gridCol w:w="520"/>
        <w:gridCol w:w="519"/>
        <w:gridCol w:w="520"/>
        <w:gridCol w:w="520"/>
        <w:gridCol w:w="520"/>
        <w:gridCol w:w="519"/>
        <w:gridCol w:w="520"/>
        <w:gridCol w:w="520"/>
        <w:gridCol w:w="520"/>
      </w:tblGrid>
      <w:tr w:rsidR="00832F98" w:rsidRPr="005107DF" w14:paraId="10234D4D" w14:textId="77777777" w:rsidTr="005D336D">
        <w:tc>
          <w:tcPr>
            <w:tcW w:w="2694" w:type="dxa"/>
            <w:tcBorders>
              <w:top w:val="double" w:sz="4" w:space="0" w:color="auto"/>
              <w:left w:val="double" w:sz="4" w:space="0" w:color="auto"/>
              <w:bottom w:val="double" w:sz="4" w:space="0" w:color="auto"/>
              <w:right w:val="double" w:sz="4" w:space="0" w:color="auto"/>
            </w:tcBorders>
          </w:tcPr>
          <w:p w14:paraId="5BC313B1"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Mois du projet</w:t>
            </w:r>
          </w:p>
        </w:tc>
        <w:tc>
          <w:tcPr>
            <w:tcW w:w="519" w:type="dxa"/>
            <w:tcBorders>
              <w:top w:val="double" w:sz="4" w:space="0" w:color="auto"/>
              <w:left w:val="double" w:sz="4" w:space="0" w:color="auto"/>
              <w:bottom w:val="double" w:sz="4" w:space="0" w:color="auto"/>
              <w:right w:val="double" w:sz="4" w:space="0" w:color="auto"/>
            </w:tcBorders>
          </w:tcPr>
          <w:p w14:paraId="65D75BBE"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1</w:t>
            </w:r>
          </w:p>
        </w:tc>
        <w:tc>
          <w:tcPr>
            <w:tcW w:w="520" w:type="dxa"/>
            <w:tcBorders>
              <w:top w:val="double" w:sz="4" w:space="0" w:color="auto"/>
              <w:left w:val="double" w:sz="4" w:space="0" w:color="auto"/>
              <w:bottom w:val="double" w:sz="4" w:space="0" w:color="auto"/>
              <w:right w:val="double" w:sz="4" w:space="0" w:color="auto"/>
            </w:tcBorders>
          </w:tcPr>
          <w:p w14:paraId="11E77E30"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2</w:t>
            </w:r>
          </w:p>
        </w:tc>
        <w:tc>
          <w:tcPr>
            <w:tcW w:w="520" w:type="dxa"/>
            <w:tcBorders>
              <w:top w:val="double" w:sz="4" w:space="0" w:color="auto"/>
              <w:left w:val="double" w:sz="4" w:space="0" w:color="auto"/>
              <w:bottom w:val="double" w:sz="4" w:space="0" w:color="auto"/>
              <w:right w:val="double" w:sz="4" w:space="0" w:color="auto"/>
            </w:tcBorders>
          </w:tcPr>
          <w:p w14:paraId="78E0BC12"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3</w:t>
            </w:r>
          </w:p>
        </w:tc>
        <w:tc>
          <w:tcPr>
            <w:tcW w:w="520" w:type="dxa"/>
            <w:tcBorders>
              <w:top w:val="double" w:sz="4" w:space="0" w:color="auto"/>
              <w:left w:val="double" w:sz="4" w:space="0" w:color="auto"/>
              <w:bottom w:val="double" w:sz="4" w:space="0" w:color="auto"/>
              <w:right w:val="double" w:sz="4" w:space="0" w:color="auto"/>
            </w:tcBorders>
          </w:tcPr>
          <w:p w14:paraId="609BE710"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4</w:t>
            </w:r>
          </w:p>
        </w:tc>
        <w:tc>
          <w:tcPr>
            <w:tcW w:w="519" w:type="dxa"/>
            <w:tcBorders>
              <w:top w:val="double" w:sz="4" w:space="0" w:color="auto"/>
              <w:left w:val="double" w:sz="4" w:space="0" w:color="auto"/>
              <w:bottom w:val="double" w:sz="4" w:space="0" w:color="auto"/>
              <w:right w:val="double" w:sz="4" w:space="0" w:color="auto"/>
            </w:tcBorders>
          </w:tcPr>
          <w:p w14:paraId="57FC39A3"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5</w:t>
            </w:r>
          </w:p>
        </w:tc>
        <w:tc>
          <w:tcPr>
            <w:tcW w:w="520" w:type="dxa"/>
            <w:tcBorders>
              <w:top w:val="double" w:sz="4" w:space="0" w:color="auto"/>
              <w:left w:val="double" w:sz="4" w:space="0" w:color="auto"/>
              <w:bottom w:val="double" w:sz="4" w:space="0" w:color="auto"/>
              <w:right w:val="double" w:sz="4" w:space="0" w:color="auto"/>
            </w:tcBorders>
          </w:tcPr>
          <w:p w14:paraId="023C007B"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6</w:t>
            </w:r>
          </w:p>
        </w:tc>
        <w:tc>
          <w:tcPr>
            <w:tcW w:w="520" w:type="dxa"/>
            <w:tcBorders>
              <w:top w:val="double" w:sz="4" w:space="0" w:color="auto"/>
              <w:left w:val="double" w:sz="4" w:space="0" w:color="auto"/>
              <w:bottom w:val="double" w:sz="4" w:space="0" w:color="auto"/>
              <w:right w:val="double" w:sz="4" w:space="0" w:color="auto"/>
            </w:tcBorders>
          </w:tcPr>
          <w:p w14:paraId="52EB0F20"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7</w:t>
            </w:r>
          </w:p>
        </w:tc>
        <w:tc>
          <w:tcPr>
            <w:tcW w:w="520" w:type="dxa"/>
            <w:tcBorders>
              <w:top w:val="double" w:sz="4" w:space="0" w:color="auto"/>
              <w:left w:val="double" w:sz="4" w:space="0" w:color="auto"/>
              <w:bottom w:val="double" w:sz="4" w:space="0" w:color="auto"/>
              <w:right w:val="double" w:sz="4" w:space="0" w:color="auto"/>
            </w:tcBorders>
          </w:tcPr>
          <w:p w14:paraId="1EB0316B"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8</w:t>
            </w:r>
          </w:p>
        </w:tc>
        <w:tc>
          <w:tcPr>
            <w:tcW w:w="519" w:type="dxa"/>
            <w:tcBorders>
              <w:top w:val="double" w:sz="4" w:space="0" w:color="auto"/>
              <w:left w:val="double" w:sz="4" w:space="0" w:color="auto"/>
              <w:bottom w:val="double" w:sz="4" w:space="0" w:color="auto"/>
              <w:right w:val="double" w:sz="4" w:space="0" w:color="auto"/>
            </w:tcBorders>
          </w:tcPr>
          <w:p w14:paraId="6864AAD6"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9</w:t>
            </w:r>
          </w:p>
        </w:tc>
        <w:tc>
          <w:tcPr>
            <w:tcW w:w="520" w:type="dxa"/>
            <w:tcBorders>
              <w:top w:val="double" w:sz="4" w:space="0" w:color="auto"/>
              <w:left w:val="double" w:sz="4" w:space="0" w:color="auto"/>
              <w:bottom w:val="double" w:sz="4" w:space="0" w:color="auto"/>
              <w:right w:val="double" w:sz="4" w:space="0" w:color="auto"/>
            </w:tcBorders>
          </w:tcPr>
          <w:p w14:paraId="78FAD331"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10</w:t>
            </w:r>
          </w:p>
        </w:tc>
        <w:tc>
          <w:tcPr>
            <w:tcW w:w="520" w:type="dxa"/>
            <w:tcBorders>
              <w:top w:val="double" w:sz="4" w:space="0" w:color="auto"/>
              <w:left w:val="double" w:sz="4" w:space="0" w:color="auto"/>
              <w:bottom w:val="double" w:sz="4" w:space="0" w:color="auto"/>
              <w:right w:val="double" w:sz="4" w:space="0" w:color="auto"/>
            </w:tcBorders>
          </w:tcPr>
          <w:p w14:paraId="4984FDE1"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11</w:t>
            </w:r>
          </w:p>
        </w:tc>
        <w:tc>
          <w:tcPr>
            <w:tcW w:w="520" w:type="dxa"/>
            <w:tcBorders>
              <w:top w:val="double" w:sz="4" w:space="0" w:color="auto"/>
              <w:left w:val="double" w:sz="4" w:space="0" w:color="auto"/>
              <w:bottom w:val="double" w:sz="4" w:space="0" w:color="auto"/>
              <w:right w:val="double" w:sz="4" w:space="0" w:color="auto"/>
            </w:tcBorders>
          </w:tcPr>
          <w:p w14:paraId="0E0C7CFA"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12</w:t>
            </w:r>
          </w:p>
        </w:tc>
      </w:tr>
      <w:tr w:rsidR="00832F98" w:rsidRPr="005107DF" w14:paraId="3DB546FB"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double" w:sz="4"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5594B94"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r>
              <w:rPr>
                <w:rFonts w:ascii="Times New Roman" w:hAnsi="Times New Roman"/>
                <w:b/>
                <w:color w:val="000000"/>
                <w:sz w:val="24"/>
              </w:rPr>
              <w:t>CRJ et activités connexes</w:t>
            </w:r>
          </w:p>
        </w:tc>
      </w:tr>
      <w:tr w:rsidR="00832F98" w:rsidRPr="005107DF" w14:paraId="7A4E7D06"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6E70D955" w14:textId="77777777" w:rsidR="00832F98" w:rsidRPr="005107DF" w:rsidRDefault="00832F98" w:rsidP="005D336D">
            <w:pPr>
              <w:spacing w:after="0" w:line="240" w:lineRule="auto"/>
              <w:rPr>
                <w:rFonts w:ascii="Times New Roman" w:eastAsia="Times New Roman" w:hAnsi="Times New Roman" w:cs="Times New Roman"/>
                <w:b/>
                <w:bCs/>
                <w:color w:val="000000"/>
                <w:sz w:val="24"/>
                <w:szCs w:val="24"/>
              </w:rPr>
            </w:pPr>
            <w:r>
              <w:rPr>
                <w:rFonts w:ascii="Times New Roman" w:hAnsi="Times New Roman"/>
                <w:b/>
                <w:color w:val="000000"/>
                <w:sz w:val="24"/>
              </w:rPr>
              <w:t>Date de début du CRJ</w:t>
            </w:r>
          </w:p>
        </w:tc>
      </w:tr>
      <w:tr w:rsidR="00832F98" w:rsidRPr="005107DF" w14:paraId="3AC544E7"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301F45CB" w14:textId="77777777" w:rsidR="00832F98" w:rsidRPr="005107DF" w:rsidRDefault="00832F98" w:rsidP="005D336D">
            <w:pPr>
              <w:spacing w:after="0" w:line="240" w:lineRule="auto"/>
              <w:rPr>
                <w:rFonts w:ascii="Times New Roman" w:eastAsia="Times New Roman" w:hAnsi="Times New Roman" w:cs="Times New Roman"/>
                <w:b/>
                <w:bCs/>
                <w:color w:val="000000"/>
                <w:sz w:val="24"/>
                <w:szCs w:val="24"/>
              </w:rPr>
            </w:pPr>
            <w:r>
              <w:rPr>
                <w:rFonts w:ascii="Times New Roman" w:hAnsi="Times New Roman"/>
                <w:b/>
                <w:color w:val="000000"/>
                <w:sz w:val="24"/>
              </w:rPr>
              <w:t>Sélection du ou des assistants du CRJ</w:t>
            </w:r>
          </w:p>
        </w:tc>
      </w:tr>
      <w:tr w:rsidR="00832F98" w:rsidRPr="005107DF" w14:paraId="0AB2A874"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CF128AF"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r>
              <w:rPr>
                <w:rFonts w:ascii="Times New Roman" w:hAnsi="Times New Roman"/>
                <w:b/>
                <w:color w:val="000000"/>
                <w:sz w:val="24"/>
              </w:rPr>
              <w:t>Activités horizontales</w:t>
            </w:r>
          </w:p>
        </w:tc>
      </w:tr>
      <w:tr w:rsidR="00832F98" w:rsidRPr="005107DF" w14:paraId="12BFCE14"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02F52CAE" w14:textId="77777777" w:rsidR="00832F98" w:rsidRPr="005107DF" w:rsidRDefault="00832F98" w:rsidP="005D336D">
            <w:pPr>
              <w:spacing w:after="0" w:line="240" w:lineRule="auto"/>
              <w:rPr>
                <w:rFonts w:ascii="Times New Roman" w:eastAsia="Times New Roman" w:hAnsi="Times New Roman" w:cs="Times New Roman"/>
                <w:b/>
                <w:bCs/>
                <w:color w:val="000000"/>
                <w:sz w:val="24"/>
                <w:szCs w:val="24"/>
              </w:rPr>
            </w:pPr>
            <w:r>
              <w:rPr>
                <w:rFonts w:ascii="Times New Roman" w:hAnsi="Times New Roman"/>
                <w:b/>
                <w:color w:val="000000"/>
                <w:sz w:val="24"/>
              </w:rPr>
              <w:t>Préparation du plan de travail initial</w:t>
            </w:r>
          </w:p>
        </w:tc>
      </w:tr>
      <w:tr w:rsidR="00832F98" w:rsidRPr="005107DF" w14:paraId="4C3F4F72"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635197F4" w14:textId="77777777" w:rsidR="00832F98" w:rsidRPr="005107DF" w:rsidRDefault="00832F98" w:rsidP="005D336D">
            <w:pPr>
              <w:spacing w:after="0" w:line="240" w:lineRule="auto"/>
              <w:rPr>
                <w:rFonts w:ascii="Times New Roman" w:eastAsia="Times New Roman" w:hAnsi="Times New Roman" w:cs="Times New Roman"/>
                <w:b/>
                <w:bCs/>
                <w:color w:val="000000"/>
                <w:sz w:val="24"/>
                <w:szCs w:val="24"/>
              </w:rPr>
            </w:pPr>
            <w:r>
              <w:rPr>
                <w:rFonts w:ascii="Times New Roman" w:hAnsi="Times New Roman"/>
                <w:b/>
                <w:color w:val="000000"/>
                <w:sz w:val="24"/>
              </w:rPr>
              <w:t>Comités de pilotage</w:t>
            </w:r>
          </w:p>
        </w:tc>
      </w:tr>
      <w:tr w:rsidR="00832F98" w:rsidRPr="005107DF" w14:paraId="7227ECE7"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33D7A028" w14:textId="77777777" w:rsidR="00832F98" w:rsidRPr="005107DF" w:rsidRDefault="00832F98" w:rsidP="005D336D">
            <w:pPr>
              <w:spacing w:after="0" w:line="240" w:lineRule="auto"/>
              <w:rPr>
                <w:rFonts w:ascii="Times New Roman" w:eastAsia="Times New Roman" w:hAnsi="Times New Roman" w:cs="Times New Roman"/>
                <w:b/>
                <w:bCs/>
                <w:color w:val="000000"/>
                <w:sz w:val="24"/>
                <w:szCs w:val="24"/>
              </w:rPr>
            </w:pPr>
            <w:r>
              <w:rPr>
                <w:rFonts w:ascii="Times New Roman" w:hAnsi="Times New Roman"/>
                <w:b/>
                <w:color w:val="000000"/>
                <w:sz w:val="24"/>
              </w:rPr>
              <w:t>Activités de communication et de visibilité</w:t>
            </w:r>
          </w:p>
        </w:tc>
      </w:tr>
      <w:tr w:rsidR="00832F98" w:rsidRPr="005107DF" w14:paraId="3B606945"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00B859FA"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r>
              <w:rPr>
                <w:rFonts w:ascii="Times New Roman" w:hAnsi="Times New Roman"/>
                <w:b/>
                <w:color w:val="000000"/>
                <w:sz w:val="24"/>
              </w:rPr>
              <w:t>Résultats obligatoires/produits</w:t>
            </w:r>
          </w:p>
        </w:tc>
      </w:tr>
      <w:tr w:rsidR="00832F98" w:rsidRPr="005107DF" w14:paraId="255DCB55"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single" w:sz="8" w:space="0" w:color="auto"/>
              <w:right w:val="nil"/>
            </w:tcBorders>
            <w:shd w:val="clear" w:color="auto" w:fill="BFBFBF"/>
            <w:tcMar>
              <w:top w:w="0" w:type="dxa"/>
              <w:left w:w="108" w:type="dxa"/>
              <w:bottom w:w="0" w:type="dxa"/>
              <w:right w:w="108" w:type="dxa"/>
            </w:tcMar>
          </w:tcPr>
          <w:p w14:paraId="7CB33E4D" w14:textId="77777777" w:rsidR="00832F98" w:rsidRPr="005107DF" w:rsidRDefault="00832F98" w:rsidP="005D336D">
            <w:pPr>
              <w:spacing w:after="0" w:line="240" w:lineRule="auto"/>
              <w:rPr>
                <w:rFonts w:ascii="Times New Roman" w:eastAsia="Times New Roman" w:hAnsi="Times New Roman" w:cs="Times New Roman"/>
                <w:b/>
                <w:bCs/>
                <w:color w:val="000000"/>
                <w:sz w:val="24"/>
                <w:szCs w:val="24"/>
              </w:rPr>
            </w:pPr>
            <w:r>
              <w:rPr>
                <w:rFonts w:ascii="Times New Roman" w:hAnsi="Times New Roman"/>
                <w:b/>
                <w:color w:val="000000"/>
                <w:sz w:val="24"/>
              </w:rPr>
              <w:t>Volet </w:t>
            </w:r>
            <w:r w:rsidRPr="00452C1A">
              <w:rPr>
                <w:rFonts w:ascii="Times New Roman" w:hAnsi="Times New Roman"/>
                <w:b/>
                <w:color w:val="000000"/>
                <w:sz w:val="24"/>
              </w:rPr>
              <w:t>1</w:t>
            </w:r>
            <w:r>
              <w:rPr>
                <w:rFonts w:ascii="Times New Roman" w:hAnsi="Times New Roman"/>
                <w:b/>
                <w:color w:val="000000"/>
                <w:sz w:val="24"/>
              </w:rPr>
              <w:t>: Intitulé</w:t>
            </w: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036A0B29"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163AC8B0"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6831C288"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800B6E4"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2E7540B7"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634077EE"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3B45E24B"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03072241"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43B9C445"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48AB6ECC"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73C66FE2"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1EBF20E6"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r>
      <w:tr w:rsidR="00832F98" w:rsidRPr="005107DF" w14:paraId="407E44C2"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nil"/>
              <w:right w:val="nil"/>
            </w:tcBorders>
            <w:shd w:val="clear" w:color="auto" w:fill="BFBFBF"/>
            <w:tcMar>
              <w:top w:w="0" w:type="dxa"/>
              <w:left w:w="108" w:type="dxa"/>
              <w:bottom w:w="0" w:type="dxa"/>
              <w:right w:w="108" w:type="dxa"/>
            </w:tcMar>
            <w:hideMark/>
          </w:tcPr>
          <w:p w14:paraId="1A4E4310"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r>
              <w:rPr>
                <w:rFonts w:ascii="Times New Roman" w:hAnsi="Times New Roman"/>
                <w:b/>
                <w:color w:val="000000"/>
                <w:sz w:val="24"/>
              </w:rPr>
              <w:t>Volet </w:t>
            </w:r>
            <w:r w:rsidRPr="00452C1A">
              <w:rPr>
                <w:rFonts w:ascii="Times New Roman" w:hAnsi="Times New Roman"/>
                <w:b/>
                <w:color w:val="000000"/>
                <w:sz w:val="24"/>
              </w:rPr>
              <w:t>2</w:t>
            </w:r>
            <w:r>
              <w:rPr>
                <w:rFonts w:ascii="Times New Roman" w:hAnsi="Times New Roman"/>
                <w:b/>
                <w:color w:val="000000"/>
                <w:sz w:val="24"/>
              </w:rPr>
              <w:t>: Intitulé</w:t>
            </w:r>
          </w:p>
        </w:tc>
        <w:tc>
          <w:tcPr>
            <w:tcW w:w="519" w:type="dxa"/>
            <w:tcBorders>
              <w:top w:val="nil"/>
              <w:left w:val="nil"/>
              <w:bottom w:val="nil"/>
              <w:right w:val="nil"/>
            </w:tcBorders>
            <w:shd w:val="clear" w:color="auto" w:fill="BFBFBF"/>
            <w:tcMar>
              <w:top w:w="0" w:type="dxa"/>
              <w:left w:w="108" w:type="dxa"/>
              <w:bottom w:w="0" w:type="dxa"/>
              <w:right w:w="108" w:type="dxa"/>
            </w:tcMar>
          </w:tcPr>
          <w:p w14:paraId="476F85B8"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1C69B392"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1E1AA5B5"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7F53D708"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nil"/>
              <w:right w:val="nil"/>
            </w:tcBorders>
            <w:shd w:val="clear" w:color="auto" w:fill="BFBFBF"/>
            <w:tcMar>
              <w:top w:w="0" w:type="dxa"/>
              <w:left w:w="108" w:type="dxa"/>
              <w:bottom w:w="0" w:type="dxa"/>
              <w:right w:w="108" w:type="dxa"/>
            </w:tcMar>
          </w:tcPr>
          <w:p w14:paraId="4E6D5CA5"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548800D4"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0094AB86"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6284D35F"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nil"/>
              <w:right w:val="nil"/>
            </w:tcBorders>
            <w:shd w:val="clear" w:color="auto" w:fill="BFBFBF"/>
            <w:tcMar>
              <w:top w:w="0" w:type="dxa"/>
              <w:left w:w="108" w:type="dxa"/>
              <w:bottom w:w="0" w:type="dxa"/>
              <w:right w:w="108" w:type="dxa"/>
            </w:tcMar>
          </w:tcPr>
          <w:p w14:paraId="1CADDD59"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55116B9C"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185A1611"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530D4E36"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r>
      <w:tr w:rsidR="00832F98" w:rsidRPr="005107DF" w14:paraId="68D055A7"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single" w:sz="8" w:space="0" w:color="auto"/>
              <w:right w:val="nil"/>
            </w:tcBorders>
            <w:shd w:val="clear" w:color="auto" w:fill="BFBFBF"/>
            <w:tcMar>
              <w:top w:w="0" w:type="dxa"/>
              <w:left w:w="108" w:type="dxa"/>
              <w:bottom w:w="0" w:type="dxa"/>
              <w:right w:w="108" w:type="dxa"/>
            </w:tcMar>
          </w:tcPr>
          <w:p w14:paraId="4720A9D5" w14:textId="77777777" w:rsidR="00832F98" w:rsidRPr="005107DF" w:rsidRDefault="00832F98" w:rsidP="005D336D">
            <w:pPr>
              <w:spacing w:after="0" w:line="240" w:lineRule="auto"/>
              <w:rPr>
                <w:rFonts w:ascii="Times New Roman" w:eastAsia="Times New Roman" w:hAnsi="Times New Roman" w:cs="Times New Roman"/>
                <w:b/>
                <w:bCs/>
                <w:color w:val="000000"/>
                <w:sz w:val="24"/>
                <w:szCs w:val="24"/>
              </w:rPr>
            </w:pPr>
            <w:r>
              <w:rPr>
                <w:rFonts w:ascii="Times New Roman" w:hAnsi="Times New Roman"/>
                <w:b/>
                <w:color w:val="000000"/>
                <w:sz w:val="24"/>
              </w:rPr>
              <w:t>Volet </w:t>
            </w:r>
            <w:r w:rsidRPr="00452C1A">
              <w:rPr>
                <w:rFonts w:ascii="Times New Roman" w:hAnsi="Times New Roman"/>
                <w:b/>
                <w:color w:val="000000"/>
                <w:sz w:val="24"/>
              </w:rPr>
              <w:t>3</w:t>
            </w:r>
            <w:r>
              <w:rPr>
                <w:rFonts w:ascii="Times New Roman" w:hAnsi="Times New Roman"/>
                <w:b/>
                <w:color w:val="000000"/>
                <w:sz w:val="24"/>
              </w:rPr>
              <w:t>: Intitulé</w:t>
            </w: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4B2024AC"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2B2BC196"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48AE6EEF"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66E29FB0"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1F150D1D"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05A4D3C7"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1F5D1C49"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212EFB0"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3B82249B"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0AC316D8"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79500959"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0E8393F8"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r>
      <w:tr w:rsidR="00832F98" w:rsidRPr="005107DF" w14:paraId="3E7A63A6"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single" w:sz="8" w:space="0" w:color="auto"/>
              <w:right w:val="nil"/>
            </w:tcBorders>
            <w:shd w:val="clear" w:color="auto" w:fill="BFBFBF"/>
            <w:tcMar>
              <w:top w:w="0" w:type="dxa"/>
              <w:left w:w="108" w:type="dxa"/>
              <w:bottom w:w="0" w:type="dxa"/>
              <w:right w:w="108" w:type="dxa"/>
            </w:tcMar>
          </w:tcPr>
          <w:p w14:paraId="1B72C93A" w14:textId="77777777" w:rsidR="00832F98" w:rsidRPr="005107DF" w:rsidRDefault="00832F98" w:rsidP="005D336D">
            <w:pPr>
              <w:spacing w:after="0" w:line="240" w:lineRule="auto"/>
              <w:rPr>
                <w:rFonts w:ascii="Times New Roman" w:eastAsia="Times New Roman" w:hAnsi="Times New Roman" w:cs="Times New Roman"/>
                <w:b/>
                <w:bCs/>
                <w:color w:val="000000"/>
                <w:sz w:val="24"/>
                <w:szCs w:val="24"/>
              </w:rPr>
            </w:pPr>
            <w:r>
              <w:rPr>
                <w:rFonts w:ascii="Times New Roman" w:hAnsi="Times New Roman"/>
                <w:b/>
                <w:color w:val="000000"/>
                <w:sz w:val="24"/>
              </w:rPr>
              <w:t>Volet N: Intitulé</w:t>
            </w: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1D9E7C95"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641E10AE"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7072D806"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00D63ED7"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36357DDF"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3D2A9D98"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26EC9D66"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E5F08FA"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7EE83E20"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2EA453A1"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712900A8"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4D0B1D93"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r>
    </w:tbl>
    <w:p w14:paraId="784DA993" w14:textId="77777777" w:rsidR="00832F98" w:rsidRPr="005107DF" w:rsidRDefault="00832F98" w:rsidP="001D798C">
      <w:pPr>
        <w:rPr>
          <w:rFonts w:ascii="Times New Roman" w:eastAsia="Times New Roman" w:hAnsi="Times New Roman" w:cs="Times New Roman"/>
          <w:sz w:val="24"/>
          <w:szCs w:val="24"/>
        </w:rPr>
      </w:pPr>
    </w:p>
    <w:p w14:paraId="566F572D"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08702D0C"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527CD4B7"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19F94288"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0A7A0AEA"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07016CA2"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5CB12A1D"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13A97B45"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67EACCA6"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35B9DA31"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35F45421"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794C5704"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00B33D47"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774273FA" w14:textId="77777777" w:rsidR="00832F98" w:rsidRPr="005107DF" w:rsidRDefault="00832F98" w:rsidP="007338F0">
      <w:pPr>
        <w:jc w:val="center"/>
        <w:rPr>
          <w:rFonts w:ascii="Times New Roman" w:hAnsi="Times New Roman" w:cs="Times New Roman"/>
          <w:color w:val="000000"/>
        </w:rPr>
      </w:pPr>
      <w:bookmarkStart w:id="1291" w:name="_Toc476063487"/>
      <w:bookmarkStart w:id="1292" w:name="_Toc476067969"/>
      <w:bookmarkEnd w:id="1285"/>
      <w:bookmarkEnd w:id="1286"/>
      <w:bookmarkEnd w:id="1287"/>
      <w:bookmarkEnd w:id="1288"/>
      <w:bookmarkEnd w:id="1289"/>
      <w:bookmarkEnd w:id="1290"/>
      <w:r>
        <w:rPr>
          <w:rFonts w:ascii="Times New Roman" w:hAnsi="Times New Roman" w:cs="Times New Roman"/>
          <w:noProof/>
          <w:lang w:val="en-GB" w:eastAsia="en-GB" w:bidi="ar-SA"/>
        </w:rPr>
        <w:drawing>
          <wp:inline distT="0" distB="0" distL="0" distR="0" wp14:anchorId="45E5F593" wp14:editId="220AE876">
            <wp:extent cx="2105025" cy="1457325"/>
            <wp:effectExtent l="0" t="0" r="9525" b="9525"/>
            <wp:docPr id="12" name="Picture 12"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CE_Vertical_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291"/>
      <w:bookmarkEnd w:id="1292"/>
    </w:p>
    <w:p w14:paraId="4B683DF3" w14:textId="77777777" w:rsidR="00832F98" w:rsidRPr="005107DF" w:rsidRDefault="00832F98" w:rsidP="00A92DE1">
      <w:pPr>
        <w:spacing w:after="0" w:line="240" w:lineRule="auto"/>
        <w:rPr>
          <w:rFonts w:ascii="Times New Roman" w:eastAsia="Times New Roman" w:hAnsi="Times New Roman" w:cs="Times New Roman"/>
          <w:b/>
          <w:bCs/>
          <w:sz w:val="36"/>
          <w:szCs w:val="36"/>
        </w:rPr>
      </w:pP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832F98" w:rsidRPr="005107DF" w14:paraId="0F5E0C84" w14:textId="77777777" w:rsidTr="007338F0">
        <w:tc>
          <w:tcPr>
            <w:tcW w:w="9175" w:type="dxa"/>
            <w:shd w:val="clear" w:color="auto" w:fill="auto"/>
          </w:tcPr>
          <w:p w14:paraId="791D6984" w14:textId="2D909719" w:rsidR="00832F98" w:rsidRPr="005107DF" w:rsidRDefault="003E763F" w:rsidP="00A92DE1">
            <w:pPr>
              <w:spacing w:after="0" w:line="240" w:lineRule="auto"/>
              <w:rPr>
                <w:rFonts w:ascii="Times New Roman" w:eastAsia="Times New Roman" w:hAnsi="Times New Roman" w:cs="Times New Roman"/>
                <w:sz w:val="24"/>
                <w:szCs w:val="24"/>
              </w:rPr>
            </w:pPr>
            <w:r>
              <w:rPr>
                <w:rFonts w:eastAsia="Times New Roman"/>
                <w:noProof/>
                <w:sz w:val="24"/>
                <w:szCs w:val="24"/>
                <w:lang w:val="en-GB" w:eastAsia="en-GB" w:bidi="ar-SA"/>
              </w:rPr>
              <w:drawing>
                <wp:anchor distT="0" distB="0" distL="114300" distR="114300" simplePos="0" relativeHeight="251675648" behindDoc="1" locked="0" layoutInCell="1" allowOverlap="1" wp14:anchorId="7E56F641" wp14:editId="1C27233E">
                  <wp:simplePos x="0" y="0"/>
                  <wp:positionH relativeFrom="margin">
                    <wp:posOffset>-93023</wp:posOffset>
                  </wp:positionH>
                  <wp:positionV relativeFrom="margin">
                    <wp:posOffset>-83231</wp:posOffset>
                  </wp:positionV>
                  <wp:extent cx="6037498" cy="6400800"/>
                  <wp:effectExtent l="0" t="0" r="1905" b="0"/>
                  <wp:wrapNone/>
                  <wp:docPr id="30" name="Picture 30"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9146" cy="64237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5EFC6" w14:textId="54F7FEC5" w:rsidR="00832F98" w:rsidRPr="005107DF" w:rsidRDefault="00832F98" w:rsidP="007338F0">
            <w:pPr>
              <w:pStyle w:val="Heading2"/>
              <w:jc w:val="center"/>
              <w:rPr>
                <w:b/>
                <w:bCs/>
                <w:szCs w:val="36"/>
              </w:rPr>
            </w:pPr>
            <w:bookmarkStart w:id="1293" w:name="_Toc476063488"/>
            <w:bookmarkStart w:id="1294" w:name="_Toc476067970"/>
            <w:bookmarkStart w:id="1295" w:name="_Toc517434475"/>
            <w:bookmarkStart w:id="1296" w:name="_Toc2861042"/>
            <w:r>
              <w:rPr>
                <w:sz w:val="32"/>
              </w:rPr>
              <w:t>ANNEXE C</w:t>
            </w:r>
            <w:r w:rsidRPr="00452C1A">
              <w:rPr>
                <w:sz w:val="32"/>
              </w:rPr>
              <w:t>1</w:t>
            </w:r>
            <w:r>
              <w:rPr>
                <w:sz w:val="32"/>
              </w:rPr>
              <w:t xml:space="preserve">bis: Fiche de jumelage léger </w:t>
            </w:r>
            <w:bookmarkStart w:id="1297" w:name="_Toc482703888"/>
            <w:bookmarkStart w:id="1298" w:name="_Toc482704222"/>
            <w:bookmarkStart w:id="1299" w:name="_Toc482704569"/>
            <w:bookmarkStart w:id="1300" w:name="_Toc482704798"/>
            <w:bookmarkStart w:id="1301" w:name="_Toc482705028"/>
            <w:bookmarkStart w:id="1302" w:name="_Toc482705257"/>
            <w:bookmarkStart w:id="1303" w:name="_Toc482705478"/>
            <w:bookmarkStart w:id="1304" w:name="_Toc482705692"/>
            <w:bookmarkStart w:id="1305" w:name="_Toc482708423"/>
            <w:bookmarkStart w:id="1306" w:name="_Toc482708708"/>
            <w:bookmarkStart w:id="1307" w:name="_Toc482708910"/>
            <w:bookmarkStart w:id="1308" w:name="_Toc482709232"/>
            <w:bookmarkStart w:id="1309" w:name="_Toc482709519"/>
            <w:bookmarkStart w:id="1310" w:name="_Toc482710035"/>
            <w:bookmarkStart w:id="1311" w:name="_Toc482711711"/>
            <w:bookmarkStart w:id="1312" w:name="_Toc482716130"/>
            <w:bookmarkStart w:id="1313" w:name="_Toc482716321"/>
            <w:bookmarkStart w:id="1314" w:name="_Toc482778697"/>
            <w:bookmarkStart w:id="1315" w:name="_Toc482791850"/>
            <w:bookmarkStart w:id="1316" w:name="_Toc482792801"/>
            <w:bookmarkStart w:id="1317" w:name="_Toc483839970"/>
            <w:bookmarkStart w:id="1318" w:name="_Toc484172854"/>
            <w:bookmarkStart w:id="1319" w:name="_Toc484173511"/>
            <w:bookmarkEnd w:id="1293"/>
            <w:bookmarkEnd w:id="1294"/>
            <w:r w:rsidRPr="004946B7">
              <w:rPr>
                <w:rStyle w:val="FootnoteReference"/>
              </w:rPr>
              <w:footnoteReference w:id="50"/>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14:paraId="79AC84D3" w14:textId="06426CA4" w:rsidR="00832F98" w:rsidRPr="005107DF" w:rsidRDefault="00832F98" w:rsidP="00A92DE1">
            <w:pPr>
              <w:tabs>
                <w:tab w:val="center" w:pos="4153"/>
                <w:tab w:val="right" w:pos="8306"/>
              </w:tabs>
              <w:spacing w:after="0" w:line="240" w:lineRule="auto"/>
              <w:jc w:val="both"/>
              <w:outlineLvl w:val="0"/>
              <w:rPr>
                <w:rFonts w:ascii="Times New Roman" w:eastAsia="Times New Roman" w:hAnsi="Times New Roman" w:cs="Times New Roman"/>
                <w:b/>
                <w:bCs/>
                <w:sz w:val="36"/>
                <w:szCs w:val="36"/>
              </w:rPr>
            </w:pPr>
          </w:p>
          <w:p w14:paraId="6A708344" w14:textId="5DC6D68E" w:rsidR="00832F98" w:rsidRPr="005107DF" w:rsidRDefault="00832F98" w:rsidP="007338F0">
            <w:pPr>
              <w:rPr>
                <w:rFonts w:ascii="Times New Roman" w:hAnsi="Times New Roman" w:cs="Times New Roman"/>
                <w:b/>
                <w:bCs/>
                <w:sz w:val="24"/>
                <w:szCs w:val="24"/>
              </w:rPr>
            </w:pPr>
            <w:bookmarkStart w:id="1320" w:name="_Toc476063490"/>
            <w:bookmarkStart w:id="1321" w:name="_Toc476067972"/>
            <w:r>
              <w:rPr>
                <w:rFonts w:ascii="Times New Roman" w:hAnsi="Times New Roman"/>
                <w:b/>
                <w:sz w:val="24"/>
              </w:rPr>
              <w:t>Intitulé du projet:</w:t>
            </w:r>
            <w:r>
              <w:rPr>
                <w:rFonts w:ascii="Times New Roman" w:hAnsi="Times New Roman"/>
                <w:sz w:val="24"/>
              </w:rPr>
              <w:t xml:space="preserve"> l’intitulé doit être bref, clair et pertinent (pas d’acronymes sauf si ceux-ci sont explicites)</w:t>
            </w:r>
            <w:bookmarkEnd w:id="1320"/>
            <w:bookmarkEnd w:id="1321"/>
          </w:p>
          <w:p w14:paraId="7968C834" w14:textId="4818DD32" w:rsidR="00832F98" w:rsidRPr="005107DF" w:rsidRDefault="00832F98" w:rsidP="007338F0">
            <w:pPr>
              <w:rPr>
                <w:rFonts w:ascii="Times New Roman" w:hAnsi="Times New Roman" w:cs="Times New Roman"/>
                <w:b/>
                <w:bCs/>
                <w:sz w:val="24"/>
                <w:szCs w:val="24"/>
              </w:rPr>
            </w:pPr>
            <w:bookmarkStart w:id="1322" w:name="_Toc476063491"/>
            <w:bookmarkStart w:id="1323" w:name="_Toc476067973"/>
            <w:r>
              <w:rPr>
                <w:rFonts w:ascii="Times New Roman" w:hAnsi="Times New Roman"/>
                <w:b/>
                <w:sz w:val="24"/>
              </w:rPr>
              <w:t xml:space="preserve">Administration bénéficiaire: </w:t>
            </w:r>
            <w:r>
              <w:rPr>
                <w:rFonts w:ascii="Times New Roman" w:hAnsi="Times New Roman"/>
                <w:sz w:val="24"/>
                <w:u w:val="dotted"/>
              </w:rPr>
              <w:t xml:space="preserve"> désignation de l’administration bénéficiaire dans le pays bénéficiaire</w:t>
            </w:r>
            <w:bookmarkEnd w:id="1322"/>
            <w:bookmarkEnd w:id="1323"/>
          </w:p>
          <w:p w14:paraId="43D56070" w14:textId="70BC4C56" w:rsidR="00832F98" w:rsidRPr="005107DF" w:rsidRDefault="00832F98" w:rsidP="007338F0">
            <w:pPr>
              <w:rPr>
                <w:rFonts w:ascii="Times New Roman" w:hAnsi="Times New Roman" w:cs="Times New Roman"/>
                <w:bCs/>
                <w:sz w:val="24"/>
                <w:szCs w:val="24"/>
              </w:rPr>
            </w:pPr>
            <w:bookmarkStart w:id="1324" w:name="_Toc476063492"/>
            <w:bookmarkStart w:id="1325" w:name="_Toc476067974"/>
            <w:r>
              <w:rPr>
                <w:rFonts w:ascii="Times New Roman" w:hAnsi="Times New Roman"/>
                <w:b/>
                <w:sz w:val="24"/>
              </w:rPr>
              <w:t>Référence du jumelage:</w:t>
            </w:r>
            <w:r>
              <w:rPr>
                <w:rFonts w:ascii="Times New Roman" w:hAnsi="Times New Roman"/>
                <w:sz w:val="24"/>
              </w:rPr>
              <w:t xml:space="preserve"> le numéro de référence du jumelage est présenté au format </w:t>
            </w:r>
            <w:r w:rsidRPr="003E763F">
              <w:rPr>
                <w:rFonts w:ascii="Times New Roman" w:hAnsi="Times New Roman"/>
                <w:sz w:val="24"/>
                <w:highlight w:val="yellow"/>
              </w:rPr>
              <w:t>«MN 14 IPA TR 01 17 TWL» ou «AZ 15 ENI JH 02 17 (AZ/49)TWL»</w:t>
            </w:r>
            <w:bookmarkEnd w:id="1324"/>
            <w:bookmarkEnd w:id="1325"/>
          </w:p>
          <w:p w14:paraId="6BE171BD" w14:textId="370C9881" w:rsidR="00832F98" w:rsidRPr="005107DF" w:rsidRDefault="00832F98" w:rsidP="007338F0">
            <w:pPr>
              <w:rPr>
                <w:rFonts w:ascii="Times New Roman" w:hAnsi="Times New Roman" w:cs="Times New Roman"/>
                <w:bCs/>
                <w:sz w:val="24"/>
                <w:szCs w:val="24"/>
              </w:rPr>
            </w:pPr>
            <w:bookmarkStart w:id="1326" w:name="_Toc476063493"/>
            <w:bookmarkStart w:id="1327" w:name="_Toc476067975"/>
            <w:r>
              <w:rPr>
                <w:rFonts w:ascii="Times New Roman" w:hAnsi="Times New Roman"/>
                <w:b/>
                <w:sz w:val="24"/>
              </w:rPr>
              <w:t>Référence de l’avis de publication:</w:t>
            </w:r>
            <w:r>
              <w:rPr>
                <w:rFonts w:ascii="Times New Roman" w:hAnsi="Times New Roman"/>
                <w:sz w:val="24"/>
              </w:rPr>
              <w:t xml:space="preserve"> la référence de l’avis de publication sera complétée par l’administration contractante (ordonnateur de programme/unité centrale de financement et de passation de contrats/délégation/bureau de l’UE)</w:t>
            </w:r>
            <w:bookmarkEnd w:id="1326"/>
            <w:bookmarkEnd w:id="1327"/>
          </w:p>
          <w:p w14:paraId="42D563AF" w14:textId="77777777" w:rsidR="00832F98" w:rsidRPr="005107DF" w:rsidRDefault="00832F98" w:rsidP="00A92DE1">
            <w:pPr>
              <w:spacing w:after="0" w:line="240" w:lineRule="auto"/>
              <w:rPr>
                <w:rFonts w:ascii="Times New Roman" w:eastAsia="Times New Roman" w:hAnsi="Times New Roman" w:cs="Times New Roman"/>
                <w:sz w:val="24"/>
                <w:szCs w:val="24"/>
              </w:rPr>
            </w:pPr>
          </w:p>
        </w:tc>
      </w:tr>
    </w:tbl>
    <w:p w14:paraId="2612D28F" w14:textId="378588F4" w:rsidR="00832F98" w:rsidRPr="005107DF" w:rsidRDefault="00832F98" w:rsidP="00A92DE1">
      <w:pPr>
        <w:spacing w:after="0" w:line="240" w:lineRule="auto"/>
        <w:rPr>
          <w:rFonts w:ascii="Times New Roman" w:eastAsia="Times New Roman" w:hAnsi="Times New Roman" w:cs="Times New Roman"/>
          <w:sz w:val="24"/>
          <w:szCs w:val="24"/>
        </w:rPr>
      </w:pPr>
    </w:p>
    <w:p w14:paraId="04DD055A" w14:textId="7CA23C98" w:rsidR="00832F98" w:rsidRPr="005107DF" w:rsidRDefault="00832F98" w:rsidP="002414D5">
      <w:pPr>
        <w:spacing w:after="0" w:line="240" w:lineRule="auto"/>
        <w:rPr>
          <w:rFonts w:ascii="Times New Roman" w:eastAsia="Times New Roman" w:hAnsi="Times New Roman" w:cs="Times New Roman"/>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832F98" w:rsidRPr="005107DF" w14:paraId="6BCF30EB" w14:textId="77777777" w:rsidTr="007338F0">
        <w:tc>
          <w:tcPr>
            <w:tcW w:w="9214" w:type="dxa"/>
            <w:shd w:val="clear" w:color="auto" w:fill="auto"/>
          </w:tcPr>
          <w:p w14:paraId="2E230392" w14:textId="77777777" w:rsidR="00832F98" w:rsidRPr="005107DF" w:rsidRDefault="00832F98" w:rsidP="007338F0">
            <w:pPr>
              <w:jc w:val="center"/>
              <w:rPr>
                <w:rFonts w:ascii="Times New Roman" w:hAnsi="Times New Roman" w:cs="Times New Roman"/>
                <w:b/>
                <w:sz w:val="32"/>
                <w:szCs w:val="32"/>
              </w:rPr>
            </w:pPr>
            <w:r>
              <w:rPr>
                <w:rFonts w:ascii="Times New Roman" w:hAnsi="Times New Roman"/>
                <w:b/>
                <w:sz w:val="32"/>
              </w:rPr>
              <w:t>Projet financé par l’Union européenne</w:t>
            </w:r>
          </w:p>
          <w:p w14:paraId="104CC285" w14:textId="77777777" w:rsidR="00832F98" w:rsidRPr="005107DF" w:rsidRDefault="00832F98" w:rsidP="00B82475">
            <w:pPr>
              <w:jc w:val="center"/>
              <w:rPr>
                <w:rFonts w:ascii="Times New Roman" w:hAnsi="Times New Roman" w:cs="Times New Roman"/>
                <w:sz w:val="36"/>
                <w:szCs w:val="36"/>
              </w:rPr>
            </w:pPr>
            <w:r>
              <w:rPr>
                <w:rFonts w:ascii="Times New Roman" w:hAnsi="Times New Roman"/>
                <w:b/>
                <w:i/>
                <w:sz w:val="32"/>
              </w:rPr>
              <w:t>OUTIL DE JUMELAGE</w:t>
            </w:r>
          </w:p>
        </w:tc>
      </w:tr>
    </w:tbl>
    <w:p w14:paraId="7421778D" w14:textId="605EC948" w:rsidR="00832F98" w:rsidRDefault="00832F98" w:rsidP="005D707D">
      <w:pPr>
        <w:jc w:val="both"/>
        <w:rPr>
          <w:rFonts w:ascii="Times New Roman" w:hAnsi="Times New Roman"/>
          <w:i/>
          <w:sz w:val="24"/>
        </w:rPr>
      </w:pPr>
      <w:r>
        <w:rPr>
          <w:rFonts w:ascii="Times New Roman" w:hAnsi="Times New Roman"/>
          <w:i/>
          <w:sz w:val="24"/>
        </w:rPr>
        <w:t xml:space="preserve">(Il est recommandé que la fiche de jumelage ne dépasse pas </w:t>
      </w:r>
      <w:r w:rsidRPr="00452C1A">
        <w:rPr>
          <w:rFonts w:ascii="Times New Roman" w:hAnsi="Times New Roman"/>
          <w:i/>
          <w:sz w:val="24"/>
        </w:rPr>
        <w:t>10</w:t>
      </w:r>
      <w:r>
        <w:rPr>
          <w:rFonts w:ascii="Times New Roman" w:hAnsi="Times New Roman"/>
          <w:i/>
          <w:sz w:val="24"/>
        </w:rPr>
        <w:t> pages, annexes non comprises)</w:t>
      </w:r>
    </w:p>
    <w:p w14:paraId="39464057" w14:textId="2A2F34BB" w:rsidR="002414D5" w:rsidRDefault="002414D5" w:rsidP="002414D5">
      <w:pPr>
        <w:tabs>
          <w:tab w:val="left" w:pos="15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4E6ED6D" w14:textId="3917890B" w:rsidR="003E763F" w:rsidRPr="005107DF" w:rsidRDefault="002414D5" w:rsidP="002414D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2F45AA0"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rPr>
      </w:pPr>
      <w:r w:rsidRPr="00452C1A">
        <w:rPr>
          <w:rFonts w:ascii="Times New Roman" w:hAnsi="Times New Roman"/>
          <w:b/>
          <w:sz w:val="24"/>
        </w:rPr>
        <w:lastRenderedPageBreak/>
        <w:t>1</w:t>
      </w:r>
      <w:r>
        <w:rPr>
          <w:rFonts w:ascii="Times New Roman" w:hAnsi="Times New Roman"/>
          <w:b/>
          <w:sz w:val="24"/>
        </w:rPr>
        <w:t>.</w:t>
      </w:r>
      <w:r>
        <w:tab/>
      </w:r>
      <w:r>
        <w:rPr>
          <w:rFonts w:ascii="Times New Roman" w:hAnsi="Times New Roman"/>
          <w:b/>
          <w:sz w:val="24"/>
        </w:rPr>
        <w:t>Informations de base</w:t>
      </w:r>
    </w:p>
    <w:p w14:paraId="33459673" w14:textId="77777777" w:rsidR="00832F98" w:rsidRPr="005107DF" w:rsidRDefault="00832F98"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rPr>
      </w:pPr>
      <w:r w:rsidRPr="00452C1A">
        <w:rPr>
          <w:rFonts w:ascii="Times New Roman" w:hAnsi="Times New Roman"/>
          <w:sz w:val="24"/>
        </w:rPr>
        <w:t>1</w:t>
      </w:r>
      <w:r>
        <w:rPr>
          <w:rFonts w:ascii="Times New Roman" w:hAnsi="Times New Roman"/>
          <w:sz w:val="24"/>
        </w:rPr>
        <w:t>.</w:t>
      </w:r>
      <w:r w:rsidRPr="00452C1A">
        <w:rPr>
          <w:rFonts w:ascii="Times New Roman" w:hAnsi="Times New Roman"/>
          <w:sz w:val="24"/>
        </w:rPr>
        <w:t>1</w:t>
      </w:r>
      <w:r>
        <w:tab/>
      </w:r>
      <w:r>
        <w:rPr>
          <w:rFonts w:ascii="Times New Roman" w:hAnsi="Times New Roman"/>
          <w:sz w:val="24"/>
        </w:rPr>
        <w:t xml:space="preserve">Programme: </w:t>
      </w:r>
      <w:r>
        <w:rPr>
          <w:rFonts w:ascii="Times New Roman" w:hAnsi="Times New Roman"/>
          <w:i/>
          <w:sz w:val="24"/>
        </w:rPr>
        <w:t>indiquez la référence et l’année de la décision de financement, précisez le mode de gestion (gestion directe ou indirecte, avec contrôle ex ante ou ex post)</w:t>
      </w:r>
    </w:p>
    <w:p w14:paraId="0FA989F4" w14:textId="77777777" w:rsidR="00832F98" w:rsidRPr="005107DF" w:rsidRDefault="00832F98"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rPr>
      </w:pPr>
    </w:p>
    <w:p w14:paraId="7B5BBE08" w14:textId="25DA6DC1" w:rsidR="00832F98" w:rsidRPr="004946B7" w:rsidRDefault="00832F98" w:rsidP="004946B7">
      <w:pPr>
        <w:ind w:left="540"/>
        <w:jc w:val="both"/>
        <w:rPr>
          <w:rFonts w:ascii="Times New Roman" w:hAnsi="Times New Roman" w:cs="Times New Roman"/>
          <w:i/>
          <w:snapToGrid w:val="0"/>
          <w:color w:val="000000"/>
          <w:sz w:val="24"/>
          <w:szCs w:val="24"/>
        </w:rPr>
      </w:pPr>
      <w:r>
        <w:rPr>
          <w:rFonts w:ascii="Times New Roman" w:hAnsi="Times New Roman"/>
          <w:i/>
          <w:snapToGrid w:val="0"/>
          <w:color w:val="000000"/>
          <w:sz w:val="24"/>
        </w:rPr>
        <w:t>Pour les demandeurs du Royaume-Uni: veuillez noter que les critères d’éligibilité doivent être respectés pendant toute la durée de la convention de subvention. Si le Royaume-Uni se retire de l’Union au cours de la période de subvention sans conclure avec l’Union un accord veillant notamment à ce que les demandeurs du Royaume-Uni continuent à être éligibles, vous cesserez de recevoir un financement de l’Union (tout en continuant, si c’est possible, à participer au projet) ou serez contraint de quitter le projet sur la base de l’article </w:t>
      </w:r>
      <w:r w:rsidRPr="00452C1A">
        <w:rPr>
          <w:rFonts w:ascii="Times New Roman" w:hAnsi="Times New Roman"/>
          <w:i/>
          <w:snapToGrid w:val="0"/>
          <w:color w:val="000000"/>
          <w:sz w:val="24"/>
        </w:rPr>
        <w:t>12</w:t>
      </w:r>
      <w:r>
        <w:rPr>
          <w:rFonts w:ascii="Times New Roman" w:hAnsi="Times New Roman"/>
          <w:i/>
          <w:snapToGrid w:val="0"/>
          <w:color w:val="000000"/>
          <w:sz w:val="24"/>
        </w:rPr>
        <w:t>.</w:t>
      </w:r>
      <w:r w:rsidRPr="00452C1A">
        <w:rPr>
          <w:rFonts w:ascii="Times New Roman" w:hAnsi="Times New Roman"/>
          <w:i/>
          <w:snapToGrid w:val="0"/>
          <w:color w:val="000000"/>
          <w:sz w:val="24"/>
        </w:rPr>
        <w:t>2</w:t>
      </w:r>
      <w:r>
        <w:rPr>
          <w:rFonts w:ascii="Times New Roman" w:hAnsi="Times New Roman"/>
          <w:i/>
          <w:snapToGrid w:val="0"/>
          <w:color w:val="000000"/>
          <w:sz w:val="24"/>
        </w:rPr>
        <w:t xml:space="preserve"> des conditions générales de la convention de subvention.</w:t>
      </w:r>
    </w:p>
    <w:p w14:paraId="09962388"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1</w:t>
      </w:r>
      <w:r>
        <w:rPr>
          <w:rFonts w:ascii="Times New Roman" w:hAnsi="Times New Roman"/>
          <w:sz w:val="24"/>
        </w:rPr>
        <w:t>.</w:t>
      </w:r>
      <w:r w:rsidRPr="00452C1A">
        <w:rPr>
          <w:rFonts w:ascii="Times New Roman" w:hAnsi="Times New Roman"/>
          <w:sz w:val="24"/>
        </w:rPr>
        <w:t>2</w:t>
      </w:r>
      <w:r>
        <w:tab/>
      </w:r>
      <w:r>
        <w:rPr>
          <w:rFonts w:ascii="Times New Roman" w:hAnsi="Times New Roman"/>
          <w:sz w:val="24"/>
        </w:rPr>
        <w:t xml:space="preserve">Secteur de jumelage: </w:t>
      </w:r>
      <w:r>
        <w:rPr>
          <w:rFonts w:ascii="Times New Roman" w:hAnsi="Times New Roman"/>
          <w:i/>
          <w:sz w:val="24"/>
          <w:u w:val="dotted"/>
        </w:rPr>
        <w:t>veuillez consulter la liste des secteurs de jumelage spécifiques.</w:t>
      </w:r>
    </w:p>
    <w:p w14:paraId="5FDDDE2A"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1</w:t>
      </w:r>
      <w:r>
        <w:rPr>
          <w:rFonts w:ascii="Times New Roman" w:hAnsi="Times New Roman"/>
          <w:sz w:val="24"/>
        </w:rPr>
        <w:t>.</w:t>
      </w:r>
      <w:r w:rsidRPr="00452C1A">
        <w:rPr>
          <w:rFonts w:ascii="Times New Roman" w:hAnsi="Times New Roman"/>
          <w:sz w:val="24"/>
        </w:rPr>
        <w:t>3</w:t>
      </w:r>
      <w:r>
        <w:tab/>
      </w:r>
      <w:r>
        <w:rPr>
          <w:rFonts w:ascii="Times New Roman" w:hAnsi="Times New Roman"/>
          <w:sz w:val="24"/>
        </w:rPr>
        <w:t xml:space="preserve">Budget financé par l’Union européenne: </w:t>
      </w:r>
      <w:r>
        <w:rPr>
          <w:rFonts w:ascii="Times New Roman" w:hAnsi="Times New Roman"/>
          <w:i/>
          <w:sz w:val="24"/>
        </w:rPr>
        <w:t>montant maximal de la subvention</w:t>
      </w:r>
    </w:p>
    <w:p w14:paraId="5DA0CF37" w14:textId="77777777" w:rsidR="00832F98" w:rsidRPr="005107DF" w:rsidRDefault="00832F98" w:rsidP="00A92DE1">
      <w:pPr>
        <w:autoSpaceDE w:val="0"/>
        <w:autoSpaceDN w:val="0"/>
        <w:adjustRightInd w:val="0"/>
        <w:spacing w:after="0" w:line="240" w:lineRule="auto"/>
        <w:ind w:left="539" w:hanging="539"/>
        <w:rPr>
          <w:rFonts w:ascii="Times New Roman" w:eastAsia="Times New Roman" w:hAnsi="Times New Roman" w:cs="Times New Roman"/>
          <w:b/>
          <w:bCs/>
          <w:sz w:val="24"/>
          <w:szCs w:val="24"/>
        </w:rPr>
      </w:pPr>
    </w:p>
    <w:p w14:paraId="7D3A68A3"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rPr>
      </w:pPr>
      <w:r w:rsidRPr="00452C1A">
        <w:rPr>
          <w:rFonts w:ascii="Times New Roman" w:hAnsi="Times New Roman"/>
          <w:b/>
          <w:sz w:val="24"/>
        </w:rPr>
        <w:t>2</w:t>
      </w:r>
      <w:r>
        <w:rPr>
          <w:rFonts w:ascii="Times New Roman" w:hAnsi="Times New Roman"/>
          <w:b/>
          <w:sz w:val="24"/>
        </w:rPr>
        <w:t>.</w:t>
      </w:r>
      <w:r>
        <w:tab/>
      </w:r>
      <w:r>
        <w:rPr>
          <w:rFonts w:ascii="Times New Roman" w:hAnsi="Times New Roman"/>
          <w:b/>
          <w:sz w:val="24"/>
        </w:rPr>
        <w:t>Objectifs</w:t>
      </w:r>
    </w:p>
    <w:p w14:paraId="44CD387D"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b/>
          <w:sz w:val="24"/>
        </w:rPr>
        <w:t>2</w:t>
      </w:r>
      <w:r>
        <w:rPr>
          <w:rFonts w:ascii="Times New Roman" w:hAnsi="Times New Roman"/>
          <w:b/>
          <w:sz w:val="24"/>
        </w:rPr>
        <w:t>.</w:t>
      </w:r>
      <w:r w:rsidRPr="00452C1A">
        <w:rPr>
          <w:rFonts w:ascii="Times New Roman" w:hAnsi="Times New Roman"/>
          <w:b/>
          <w:sz w:val="24"/>
        </w:rPr>
        <w:t>1</w:t>
      </w:r>
      <w:r>
        <w:tab/>
      </w:r>
      <w:r>
        <w:rPr>
          <w:rFonts w:ascii="Times New Roman" w:hAnsi="Times New Roman"/>
          <w:sz w:val="24"/>
        </w:rPr>
        <w:t>Objectif(s) général (généraux):</w:t>
      </w:r>
    </w:p>
    <w:p w14:paraId="0FFCF63E" w14:textId="77777777" w:rsidR="00832F98" w:rsidRPr="005107DF" w:rsidRDefault="00832F98" w:rsidP="003E763F">
      <w:pPr>
        <w:tabs>
          <w:tab w:val="num" w:pos="540"/>
        </w:tabs>
        <w:spacing w:after="0" w:line="240" w:lineRule="auto"/>
        <w:ind w:left="567"/>
        <w:jc w:val="both"/>
        <w:rPr>
          <w:rFonts w:ascii="Times New Roman" w:eastAsia="Times New Roman" w:hAnsi="Times New Roman" w:cs="Times New Roman"/>
          <w:i/>
          <w:sz w:val="24"/>
          <w:szCs w:val="20"/>
        </w:rPr>
      </w:pPr>
      <w:r>
        <w:rPr>
          <w:rFonts w:ascii="Times New Roman" w:hAnsi="Times New Roman"/>
          <w:i/>
          <w:sz w:val="24"/>
        </w:rPr>
        <w:t>Le projet ne devrait avoir en principe qu’un seul objectif général. Exceptionnellement, plusieurs objectifs pourront être définis s’ils contribuent à la clarté et à la logique du projet.</w:t>
      </w:r>
    </w:p>
    <w:p w14:paraId="767F7266" w14:textId="77777777" w:rsidR="00832F98" w:rsidRPr="005107DF" w:rsidRDefault="00832F98" w:rsidP="003E763F">
      <w:pPr>
        <w:tabs>
          <w:tab w:val="num" w:pos="540"/>
        </w:tabs>
        <w:spacing w:after="0" w:line="240" w:lineRule="auto"/>
        <w:ind w:left="567"/>
        <w:rPr>
          <w:rFonts w:ascii="Times New Roman" w:eastAsia="Times New Roman" w:hAnsi="Times New Roman" w:cs="Times New Roman"/>
          <w:i/>
          <w:sz w:val="24"/>
          <w:szCs w:val="20"/>
        </w:rPr>
      </w:pPr>
    </w:p>
    <w:p w14:paraId="1254B702" w14:textId="50E48266" w:rsidR="00832F98" w:rsidRPr="005107DF" w:rsidRDefault="003E763F" w:rsidP="003E763F">
      <w:pPr>
        <w:tabs>
          <w:tab w:val="num" w:pos="540"/>
        </w:tabs>
        <w:spacing w:after="0" w:line="240" w:lineRule="auto"/>
        <w:ind w:left="567"/>
        <w:jc w:val="both"/>
        <w:rPr>
          <w:rFonts w:ascii="Times New Roman" w:eastAsia="Times New Roman" w:hAnsi="Times New Roman" w:cs="Times New Roman"/>
          <w:i/>
          <w:sz w:val="24"/>
          <w:szCs w:val="20"/>
        </w:rPr>
      </w:pPr>
      <w:r>
        <w:rPr>
          <w:rFonts w:ascii="Times New Roman" w:hAnsi="Times New Roman"/>
          <w:b/>
          <w:i/>
          <w:sz w:val="24"/>
        </w:rPr>
        <w:t xml:space="preserve"> </w:t>
      </w:r>
      <w:r w:rsidR="00832F98">
        <w:rPr>
          <w:rFonts w:ascii="Times New Roman" w:hAnsi="Times New Roman"/>
          <w:i/>
          <w:sz w:val="24"/>
        </w:rPr>
        <w:t>L’</w:t>
      </w:r>
      <w:r w:rsidR="00832F98">
        <w:rPr>
          <w:rFonts w:ascii="Times New Roman" w:hAnsi="Times New Roman"/>
          <w:b/>
          <w:i/>
          <w:sz w:val="24"/>
        </w:rPr>
        <w:t>objectif général</w:t>
      </w:r>
      <w:r w:rsidR="00832F98">
        <w:rPr>
          <w:rFonts w:ascii="Times New Roman" w:hAnsi="Times New Roman"/>
          <w:i/>
          <w:sz w:val="24"/>
        </w:rPr>
        <w:t xml:space="preserve"> devrait expliquer l’importance de votre projet pour le bénéficiaire. À cette fin, il doit faire référence aux bénéfices à long terme escomptés pour les bénéficiaires directs ainsi qu’aux bénéfices plus larges dont l’ensemble du pays bénéficiaire devrait tirer parti. Votre projet n’est pas supposé réaliser à lui seul l’objectif général: il peut en effet s’agir d’un processus global de réforme du secteur nécessitant l’impact d’autres projets et programmes de même que, éventuellement, celui d’actions mises en œuvre par d’autres donateurs.</w:t>
      </w:r>
    </w:p>
    <w:p w14:paraId="56FD7642" w14:textId="77777777" w:rsidR="00832F98" w:rsidRPr="005107DF" w:rsidRDefault="00832F98"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14:paraId="54AE9419"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2</w:t>
      </w:r>
      <w:r>
        <w:rPr>
          <w:rFonts w:ascii="Times New Roman" w:hAnsi="Times New Roman"/>
          <w:sz w:val="24"/>
        </w:rPr>
        <w:t>.</w:t>
      </w:r>
      <w:r w:rsidRPr="00452C1A">
        <w:rPr>
          <w:rFonts w:ascii="Times New Roman" w:hAnsi="Times New Roman"/>
          <w:sz w:val="24"/>
        </w:rPr>
        <w:t>2</w:t>
      </w:r>
      <w:r>
        <w:tab/>
      </w:r>
      <w:r>
        <w:rPr>
          <w:rFonts w:ascii="Times New Roman" w:hAnsi="Times New Roman"/>
          <w:sz w:val="24"/>
        </w:rPr>
        <w:t xml:space="preserve">Objectif spécifique: </w:t>
      </w:r>
    </w:p>
    <w:p w14:paraId="48745FEB" w14:textId="77777777" w:rsidR="00832F98" w:rsidRPr="005107DF" w:rsidRDefault="00832F98" w:rsidP="00A92DE1">
      <w:pPr>
        <w:autoSpaceDE w:val="0"/>
        <w:autoSpaceDN w:val="0"/>
        <w:adjustRightInd w:val="0"/>
        <w:spacing w:after="0" w:line="240" w:lineRule="auto"/>
        <w:ind w:left="539" w:hanging="540"/>
        <w:rPr>
          <w:rFonts w:ascii="Times New Roman" w:eastAsia="Times New Roman" w:hAnsi="Times New Roman" w:cs="Times New Roman"/>
          <w:sz w:val="24"/>
          <w:szCs w:val="24"/>
        </w:rPr>
      </w:pPr>
    </w:p>
    <w:p w14:paraId="3390963C" w14:textId="77777777" w:rsidR="00832F98" w:rsidRPr="005107DF" w:rsidRDefault="00832F98" w:rsidP="003E763F">
      <w:pPr>
        <w:tabs>
          <w:tab w:val="num" w:pos="540"/>
          <w:tab w:val="num" w:pos="1134"/>
        </w:tabs>
        <w:spacing w:after="0" w:line="240" w:lineRule="auto"/>
        <w:ind w:left="567"/>
        <w:jc w:val="both"/>
        <w:rPr>
          <w:rFonts w:ascii="Times New Roman" w:eastAsia="Times New Roman" w:hAnsi="Times New Roman" w:cs="Times New Roman"/>
          <w:i/>
          <w:sz w:val="24"/>
          <w:szCs w:val="20"/>
        </w:rPr>
      </w:pPr>
      <w:r>
        <w:rPr>
          <w:rFonts w:ascii="Times New Roman" w:hAnsi="Times New Roman"/>
          <w:i/>
          <w:sz w:val="24"/>
        </w:rPr>
        <w:t>Chaque projet devrait en principe n’avoir qu’un seul objectif spécifique. Exceptionnellement, plusieurs objectifs spécifiques pourront être définis s’ils contribuent à la clarté et à la logique du projet.</w:t>
      </w:r>
    </w:p>
    <w:p w14:paraId="4CE049CC" w14:textId="77777777" w:rsidR="00832F98" w:rsidRPr="005107DF" w:rsidRDefault="00832F98" w:rsidP="003E763F">
      <w:pPr>
        <w:tabs>
          <w:tab w:val="num" w:pos="540"/>
          <w:tab w:val="num" w:pos="1134"/>
        </w:tabs>
        <w:spacing w:after="0" w:line="240" w:lineRule="auto"/>
        <w:ind w:left="567"/>
        <w:rPr>
          <w:rFonts w:ascii="Times New Roman" w:eastAsia="Times New Roman" w:hAnsi="Times New Roman" w:cs="Times New Roman"/>
          <w:i/>
          <w:sz w:val="24"/>
          <w:szCs w:val="20"/>
        </w:rPr>
      </w:pPr>
    </w:p>
    <w:p w14:paraId="537BF452" w14:textId="77777777" w:rsidR="00832F98" w:rsidRPr="005107DF" w:rsidRDefault="00832F98" w:rsidP="003E763F">
      <w:pPr>
        <w:tabs>
          <w:tab w:val="num" w:pos="540"/>
          <w:tab w:val="num" w:pos="1134"/>
        </w:tabs>
        <w:spacing w:after="0" w:line="240" w:lineRule="auto"/>
        <w:ind w:left="567"/>
        <w:jc w:val="both"/>
        <w:rPr>
          <w:rFonts w:ascii="Times New Roman" w:eastAsia="Times New Roman" w:hAnsi="Times New Roman" w:cs="Times New Roman"/>
          <w:i/>
          <w:sz w:val="24"/>
          <w:szCs w:val="20"/>
        </w:rPr>
      </w:pPr>
      <w:r>
        <w:rPr>
          <w:rFonts w:ascii="Times New Roman" w:hAnsi="Times New Roman"/>
          <w:b/>
          <w:i/>
          <w:smallCaps/>
          <w:sz w:val="24"/>
        </w:rPr>
        <w:t>Rappel:</w:t>
      </w:r>
      <w:r>
        <w:rPr>
          <w:rFonts w:ascii="Times New Roman" w:hAnsi="Times New Roman"/>
          <w:b/>
          <w:i/>
          <w:sz w:val="24"/>
        </w:rPr>
        <w:t> </w:t>
      </w:r>
      <w:r>
        <w:rPr>
          <w:rFonts w:ascii="Times New Roman" w:hAnsi="Times New Roman"/>
          <w:i/>
          <w:sz w:val="24"/>
        </w:rPr>
        <w:t>essayez de viser un seul objectif spécifique par projet. L’</w:t>
      </w:r>
      <w:r>
        <w:rPr>
          <w:rFonts w:ascii="Times New Roman" w:hAnsi="Times New Roman"/>
          <w:b/>
          <w:i/>
          <w:sz w:val="24"/>
        </w:rPr>
        <w:t>objectif spécifique du projet</w:t>
      </w:r>
      <w:r>
        <w:rPr>
          <w:rFonts w:ascii="Times New Roman" w:hAnsi="Times New Roman"/>
          <w:i/>
          <w:sz w:val="24"/>
        </w:rPr>
        <w:t xml:space="preserve"> est l’objectif unique et central du projet. Il devrait être décrit en termes de bénéfices durables que le projet apportera aux bénéficiaires ciblés.</w:t>
      </w:r>
    </w:p>
    <w:p w14:paraId="5558C621" w14:textId="77777777" w:rsidR="00832F98" w:rsidRPr="005107DF" w:rsidRDefault="00832F98" w:rsidP="00A92DE1">
      <w:pPr>
        <w:tabs>
          <w:tab w:val="num" w:pos="540"/>
          <w:tab w:val="num" w:pos="1494"/>
        </w:tabs>
        <w:spacing w:after="0" w:line="240" w:lineRule="auto"/>
        <w:rPr>
          <w:rFonts w:ascii="Times New Roman" w:eastAsia="Times New Roman" w:hAnsi="Times New Roman" w:cs="Times New Roman"/>
          <w:i/>
          <w:sz w:val="24"/>
          <w:szCs w:val="20"/>
        </w:rPr>
      </w:pPr>
    </w:p>
    <w:p w14:paraId="49B5BFBF"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r w:rsidRPr="00452C1A">
        <w:rPr>
          <w:rFonts w:ascii="Times New Roman" w:hAnsi="Times New Roman"/>
          <w:sz w:val="24"/>
        </w:rPr>
        <w:t>2</w:t>
      </w:r>
      <w:r>
        <w:rPr>
          <w:rFonts w:ascii="Times New Roman" w:hAnsi="Times New Roman"/>
          <w:sz w:val="24"/>
        </w:rPr>
        <w:t>.</w:t>
      </w:r>
      <w:r w:rsidRPr="00452C1A">
        <w:rPr>
          <w:rFonts w:ascii="Times New Roman" w:hAnsi="Times New Roman"/>
          <w:sz w:val="24"/>
        </w:rPr>
        <w:t>3</w:t>
      </w:r>
      <w:r>
        <w:tab/>
      </w:r>
      <w:r>
        <w:rPr>
          <w:rFonts w:ascii="Times New Roman" w:hAnsi="Times New Roman"/>
          <w:sz w:val="24"/>
        </w:rPr>
        <w:t>Les éléments ciblés dans les documents stratégiques, à savoir le plan national de développement/l’accord de coopération/l’accord d’association/la stratégie de réforme sectorielle et les plans d’action connexes</w:t>
      </w:r>
    </w:p>
    <w:p w14:paraId="5C89E178" w14:textId="77777777" w:rsidR="00832F98" w:rsidRPr="005107DF" w:rsidRDefault="00832F98" w:rsidP="00A92DE1">
      <w:pPr>
        <w:autoSpaceDE w:val="0"/>
        <w:autoSpaceDN w:val="0"/>
        <w:adjustRightInd w:val="0"/>
        <w:spacing w:after="0" w:line="240" w:lineRule="auto"/>
        <w:rPr>
          <w:rFonts w:ascii="Times New Roman" w:eastAsia="Times New Roman" w:hAnsi="Times New Roman" w:cs="Times New Roman"/>
          <w:b/>
          <w:bCs/>
          <w:sz w:val="24"/>
          <w:szCs w:val="24"/>
        </w:rPr>
      </w:pPr>
    </w:p>
    <w:p w14:paraId="309BA5B1"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rPr>
      </w:pPr>
      <w:r w:rsidRPr="00452C1A">
        <w:rPr>
          <w:rFonts w:ascii="Times New Roman" w:hAnsi="Times New Roman"/>
          <w:b/>
          <w:sz w:val="24"/>
        </w:rPr>
        <w:t>3</w:t>
      </w:r>
      <w:r>
        <w:rPr>
          <w:rFonts w:ascii="Times New Roman" w:hAnsi="Times New Roman"/>
          <w:b/>
          <w:sz w:val="24"/>
        </w:rPr>
        <w:t>.</w:t>
      </w:r>
      <w:r>
        <w:tab/>
      </w:r>
      <w:r>
        <w:rPr>
          <w:rFonts w:ascii="Times New Roman" w:hAnsi="Times New Roman"/>
          <w:b/>
          <w:sz w:val="24"/>
        </w:rPr>
        <w:t>Description</w:t>
      </w:r>
    </w:p>
    <w:p w14:paraId="5E303CC2"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1</w:t>
      </w:r>
      <w:r>
        <w:tab/>
      </w:r>
      <w:r>
        <w:rPr>
          <w:rFonts w:ascii="Times New Roman" w:hAnsi="Times New Roman"/>
          <w:sz w:val="24"/>
        </w:rPr>
        <w:t xml:space="preserve">Contexte et justification: </w:t>
      </w:r>
    </w:p>
    <w:p w14:paraId="7B97C6EC"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lastRenderedPageBreak/>
        <w:t xml:space="preserve">Les informations essentielles doivent être indiquées dans cette section afin de s’assurer que le ou les États membres de l’UE comprennent l’aide qui est attendue de leur part. Décrivez le domaine de compétence, le mandat et la structure organisationnelle de l’administration bénéficiaire, en indiquant ses forces et ses faiblesses. Si plusieurs administrations sont concernées, précisez leur relation dans le cadre de la mise en œuvre du projet et indiquez si ce dernier entraînera une modification des structures institutionnelles. </w:t>
      </w:r>
    </w:p>
    <w:p w14:paraId="08B753E2"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Décrivez le cadre juridique national existant en mentionnant les actes législatifs/directives/normes susceptibles d’affecter ou d’être affectés par le projet de jumelage.</w:t>
      </w:r>
    </w:p>
    <w:p w14:paraId="7C19BA39"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2</w:t>
      </w:r>
      <w:r>
        <w:tab/>
      </w:r>
      <w:r>
        <w:rPr>
          <w:rFonts w:ascii="Times New Roman" w:hAnsi="Times New Roman"/>
          <w:sz w:val="24"/>
        </w:rPr>
        <w:t>Réformes en cours:</w:t>
      </w:r>
    </w:p>
    <w:p w14:paraId="020A1499"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Décrivez le cadre dans lequel sera mis en œuvre le projet de jumelage, en expliquant les efforts déployés par votre pays pour mener à bien la ou des réformes sectorielles. Vous pouvez faire référence aux «objectifs spécifiques» des règlements IAP II et IEV, en mettant l’accent sur le domaine que couvrira le projet de jumelage.</w:t>
      </w:r>
    </w:p>
    <w:p w14:paraId="57C4D6AC"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3</w:t>
      </w:r>
      <w:r>
        <w:tab/>
      </w:r>
      <w:r>
        <w:rPr>
          <w:rFonts w:ascii="Times New Roman" w:hAnsi="Times New Roman"/>
          <w:sz w:val="24"/>
        </w:rPr>
        <w:t xml:space="preserve">Activités connexes: </w:t>
      </w:r>
    </w:p>
    <w:p w14:paraId="356C5AF4"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0"/>
        </w:rPr>
      </w:pPr>
      <w:r>
        <w:rPr>
          <w:rFonts w:ascii="Times New Roman" w:hAnsi="Times New Roman"/>
          <w:i/>
          <w:sz w:val="24"/>
        </w:rPr>
        <w:t>Indiquez ici les informations essentielles relatives à l’assistance (de l’UE ou d’autres donateurs) déjà fournie et/ou toujours disponible à moyen et long terme. Décrivez les activités réalisées actuellement ou précédemment par l’UE dans ce domaine, en soulignant les liens éventuels entre chacune d’entre elles et avec le projet, et expliquez comment le projet de jumelage peut contribuer à la mise en œuvre des accords et/ou des cadres de coopération avec l’UE. Décrivez en outre brièvement les activités pertinentes actuellement mises en œuvre par d’autres acteurs, tels que le gouvernement, le secteur privé, la société civile ou les institutions financières internationales (IFI).</w:t>
      </w:r>
    </w:p>
    <w:p w14:paraId="18EA24A6" w14:textId="77777777" w:rsidR="00832F98" w:rsidRPr="005107DF" w:rsidRDefault="00832F98"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 xml:space="preserve">Indiquez brièvement si des efforts de réforme horizontale de l’administration publique (RAP) sont en cours dans votre pays et s’ils sont soutenus par l’UE ou d’autres donateurs. Décrivez spécifiquement la manière dont l’élaboration des politiques (et de la législation) est abordée et quelles sont les exigences en matière d’analyse d’impact (réglementaire, budgétaire) et de consultations publiques et interministérielles. </w:t>
      </w:r>
    </w:p>
    <w:p w14:paraId="698CBE42"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4</w:t>
      </w:r>
      <w:r>
        <w:tab/>
      </w:r>
      <w:r>
        <w:rPr>
          <w:rFonts w:ascii="Times New Roman" w:hAnsi="Times New Roman"/>
          <w:sz w:val="24"/>
        </w:rPr>
        <w:t>Liste des dispositions de l’acquis</w:t>
      </w:r>
      <w:r>
        <w:rPr>
          <w:rFonts w:ascii="Times New Roman" w:hAnsi="Times New Roman"/>
          <w:i/>
          <w:sz w:val="24"/>
        </w:rPr>
        <w:t xml:space="preserve"> </w:t>
      </w:r>
      <w:r>
        <w:rPr>
          <w:rFonts w:ascii="Times New Roman" w:hAnsi="Times New Roman"/>
          <w:sz w:val="24"/>
        </w:rPr>
        <w:t>de l’UE/des normes applicables:</w:t>
      </w:r>
    </w:p>
    <w:p w14:paraId="576BCE87" w14:textId="77777777" w:rsidR="00832F98" w:rsidRPr="005107DF" w:rsidRDefault="00832F98"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rPr>
      </w:pPr>
      <w:r>
        <w:tab/>
      </w:r>
      <w:r>
        <w:rPr>
          <w:rFonts w:ascii="Times New Roman" w:hAnsi="Times New Roman"/>
          <w:i/>
          <w:sz w:val="24"/>
        </w:rPr>
        <w:t>Le cas échéant,</w:t>
      </w:r>
      <w:r>
        <w:rPr>
          <w:rFonts w:ascii="Times New Roman" w:hAnsi="Times New Roman"/>
          <w:sz w:val="24"/>
        </w:rPr>
        <w:t xml:space="preserve"> </w:t>
      </w:r>
      <w:r>
        <w:rPr>
          <w:rFonts w:ascii="Times New Roman" w:hAnsi="Times New Roman"/>
          <w:i/>
          <w:sz w:val="24"/>
        </w:rPr>
        <w:t>indiquez les dispositions législatives nationales correspondantes.</w:t>
      </w:r>
    </w:p>
    <w:p w14:paraId="5DDF081A"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5</w:t>
      </w:r>
      <w:r>
        <w:tab/>
      </w:r>
      <w:r>
        <w:rPr>
          <w:rFonts w:ascii="Times New Roman" w:hAnsi="Times New Roman"/>
          <w:sz w:val="24"/>
        </w:rPr>
        <w:t>Volets et résultats par volet</w:t>
      </w:r>
    </w:p>
    <w:p w14:paraId="5046BF56" w14:textId="77777777" w:rsidR="00832F98" w:rsidRPr="005107DF" w:rsidRDefault="00832F98"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rPr>
      </w:pPr>
      <w:r>
        <w:rPr>
          <w:rFonts w:ascii="Times New Roman" w:hAnsi="Times New Roman"/>
          <w:i/>
          <w:sz w:val="24"/>
        </w:rPr>
        <w:t>Les résultats décrits sous ce point doivent correspondre aux résultats inscrits dans le cadre logique; décrivez les résultats qui auront été obtenus à la fin du projet ou de chaque phase de celui-ci et la manière dont ils contribueront à atteindre de manière durable l’objectif spécifique du projet. Les indicateurs de résultat devraient être mesurables, vérifiables et situés dans le temps</w:t>
      </w:r>
      <w:r>
        <w:rPr>
          <w:rFonts w:ascii="Times New Roman" w:hAnsi="Times New Roman"/>
          <w:sz w:val="24"/>
        </w:rPr>
        <w:t>.</w:t>
      </w:r>
    </w:p>
    <w:p w14:paraId="452723AE" w14:textId="77777777" w:rsidR="00832F98" w:rsidRPr="005107DF" w:rsidRDefault="00832F98"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rPr>
      </w:pPr>
      <w:r>
        <w:rPr>
          <w:rFonts w:ascii="Times New Roman" w:hAnsi="Times New Roman"/>
          <w:i/>
          <w:sz w:val="24"/>
        </w:rPr>
        <w:t>À titre d’exemple, un document élaboré par les services de la DG NEAR au sujet de la définition d’objectifs mesurables est joint en annexe C</w:t>
      </w:r>
      <w:r w:rsidRPr="00452C1A">
        <w:rPr>
          <w:rFonts w:ascii="Times New Roman" w:hAnsi="Times New Roman"/>
          <w:i/>
          <w:sz w:val="24"/>
        </w:rPr>
        <w:t>1</w:t>
      </w:r>
      <w:r>
        <w:rPr>
          <w:rFonts w:ascii="Times New Roman" w:hAnsi="Times New Roman"/>
          <w:i/>
          <w:sz w:val="24"/>
        </w:rPr>
        <w:t>a et un autre document relatif à la «logique d’intervention» est joint en annexe C</w:t>
      </w:r>
      <w:r w:rsidRPr="00452C1A">
        <w:rPr>
          <w:rFonts w:ascii="Times New Roman" w:hAnsi="Times New Roman"/>
          <w:i/>
          <w:sz w:val="24"/>
        </w:rPr>
        <w:t>2</w:t>
      </w:r>
      <w:r>
        <w:rPr>
          <w:rFonts w:ascii="Times New Roman" w:hAnsi="Times New Roman"/>
          <w:i/>
          <w:sz w:val="24"/>
        </w:rPr>
        <w:t xml:space="preserve">a. </w:t>
      </w:r>
    </w:p>
    <w:p w14:paraId="09909119"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6</w:t>
      </w:r>
      <w:r>
        <w:tab/>
      </w:r>
      <w:r>
        <w:rPr>
          <w:rFonts w:ascii="Times New Roman" w:hAnsi="Times New Roman"/>
          <w:sz w:val="24"/>
        </w:rPr>
        <w:t>Activités prévues:</w:t>
      </w:r>
    </w:p>
    <w:p w14:paraId="0A1B191E"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Les activités de jumelage devraient être définies avec précision. Les activités décrites sous ce point doivent correspondre aux activités inscrites dans le cadre logique inclus à l’annexe C</w:t>
      </w:r>
      <w:r w:rsidRPr="00452C1A">
        <w:rPr>
          <w:rFonts w:ascii="Times New Roman" w:hAnsi="Times New Roman"/>
          <w:i/>
          <w:sz w:val="24"/>
        </w:rPr>
        <w:t>1</w:t>
      </w:r>
      <w:r>
        <w:rPr>
          <w:rFonts w:ascii="Times New Roman" w:hAnsi="Times New Roman"/>
          <w:i/>
          <w:sz w:val="24"/>
        </w:rPr>
        <w:t xml:space="preserve">b. </w:t>
      </w:r>
    </w:p>
    <w:p w14:paraId="4C9F4DBE"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7</w:t>
      </w:r>
      <w:r>
        <w:tab/>
      </w:r>
      <w:r>
        <w:rPr>
          <w:rFonts w:ascii="Times New Roman" w:hAnsi="Times New Roman"/>
          <w:sz w:val="24"/>
        </w:rPr>
        <w:t>Moyens et apports de l’administration de l’État membre de l’UE partenaire*:</w:t>
      </w:r>
    </w:p>
    <w:p w14:paraId="1676548F" w14:textId="77777777" w:rsidR="00832F98" w:rsidRPr="005107DF" w:rsidRDefault="00832F98" w:rsidP="00A92DE1">
      <w:pPr>
        <w:tabs>
          <w:tab w:val="left" w:pos="900"/>
        </w:tabs>
        <w:autoSpaceDE w:val="0"/>
        <w:autoSpaceDN w:val="0"/>
        <w:adjustRightInd w:val="0"/>
        <w:spacing w:before="120" w:after="0" w:line="240" w:lineRule="auto"/>
        <w:ind w:left="540" w:hanging="540"/>
        <w:jc w:val="both"/>
        <w:rPr>
          <w:rFonts w:ascii="Times New Roman" w:eastAsia="Times New Roman" w:hAnsi="Times New Roman" w:cs="Times New Roman"/>
          <w:b/>
          <w:i/>
          <w:color w:val="1F497D"/>
          <w:sz w:val="24"/>
          <w:szCs w:val="24"/>
        </w:rPr>
      </w:pPr>
      <w:r>
        <w:tab/>
      </w:r>
      <w:r>
        <w:rPr>
          <w:rFonts w:ascii="Times New Roman" w:hAnsi="Times New Roman"/>
          <w:i/>
          <w:sz w:val="24"/>
        </w:rPr>
        <w:t>Les moyens et apports demandés à l’État membre devraient être clairement définis.</w:t>
      </w:r>
    </w:p>
    <w:p w14:paraId="54969FF4" w14:textId="36752DD9" w:rsidR="00832F98" w:rsidRPr="005107DF" w:rsidRDefault="003E763F" w:rsidP="009673F8">
      <w:pPr>
        <w:tabs>
          <w:tab w:val="left" w:pos="900"/>
        </w:tabs>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3E763F">
        <w:rPr>
          <w:rFonts w:ascii="Times New Roman" w:hAnsi="Times New Roman"/>
          <w:sz w:val="24"/>
        </w:rPr>
        <w:lastRenderedPageBreak/>
        <w:t>3.7.1</w:t>
      </w:r>
      <w:r>
        <w:t xml:space="preserve">   </w:t>
      </w:r>
      <w:r w:rsidR="00832F98">
        <w:rPr>
          <w:rFonts w:ascii="Times New Roman" w:hAnsi="Times New Roman"/>
          <w:sz w:val="24"/>
        </w:rPr>
        <w:t>Profil et tâches du CP:</w:t>
      </w:r>
    </w:p>
    <w:p w14:paraId="318341B6" w14:textId="77777777" w:rsidR="00832F98" w:rsidRPr="005107DF" w:rsidRDefault="00832F98" w:rsidP="009673F8">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Énumérez les compétences de base exigées; </w:t>
      </w:r>
    </w:p>
    <w:p w14:paraId="137CB671" w14:textId="77777777" w:rsidR="00832F98" w:rsidRPr="005107DF" w:rsidRDefault="00832F98" w:rsidP="009673F8">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minimum trois ans d’expérience spécifique;</w:t>
      </w:r>
    </w:p>
    <w:p w14:paraId="326FBFEE" w14:textId="48D427BB" w:rsidR="00832F98" w:rsidRPr="005107DF" w:rsidRDefault="00832F98" w:rsidP="009673F8">
      <w:pPr>
        <w:autoSpaceDE w:val="0"/>
        <w:autoSpaceDN w:val="0"/>
        <w:adjustRightInd w:val="0"/>
        <w:spacing w:before="120" w:after="0" w:line="240" w:lineRule="auto"/>
        <w:ind w:firstLine="540"/>
        <w:rPr>
          <w:rFonts w:ascii="Times New Roman" w:eastAsia="Times New Roman" w:hAnsi="Times New Roman" w:cs="Times New Roman"/>
          <w:b/>
          <w:i/>
          <w:sz w:val="24"/>
          <w:szCs w:val="24"/>
        </w:rPr>
      </w:pPr>
      <w:r>
        <w:rPr>
          <w:rFonts w:ascii="Times New Roman" w:hAnsi="Times New Roman"/>
          <w:i/>
          <w:sz w:val="24"/>
        </w:rPr>
        <w:t>diplôme universitaire ou expérience professionnelle équivalente de huit ans.</w:t>
      </w:r>
    </w:p>
    <w:p w14:paraId="463C12BF" w14:textId="6E5585D6" w:rsidR="00832F98" w:rsidRPr="005107DF" w:rsidRDefault="003E763F" w:rsidP="003E763F">
      <w:pPr>
        <w:autoSpaceDE w:val="0"/>
        <w:autoSpaceDN w:val="0"/>
        <w:adjustRightInd w:val="0"/>
        <w:spacing w:before="120" w:after="0" w:line="240" w:lineRule="auto"/>
        <w:rPr>
          <w:rFonts w:ascii="Times New Roman" w:eastAsia="Times New Roman" w:hAnsi="Times New Roman" w:cs="Times New Roman"/>
          <w:i/>
          <w:szCs w:val="24"/>
        </w:rPr>
      </w:pPr>
      <w:r w:rsidRPr="003E763F">
        <w:rPr>
          <w:rFonts w:ascii="Times New Roman" w:eastAsia="Times New Roman" w:hAnsi="Times New Roman" w:cs="Times New Roman"/>
          <w:sz w:val="24"/>
          <w:szCs w:val="24"/>
        </w:rPr>
        <w:t>3.7.2</w:t>
      </w:r>
      <w:r>
        <w:rPr>
          <w:rFonts w:ascii="Times New Roman" w:eastAsia="Times New Roman" w:hAnsi="Times New Roman" w:cs="Times New Roman"/>
          <w:b/>
          <w:i/>
          <w:sz w:val="24"/>
          <w:szCs w:val="24"/>
        </w:rPr>
        <w:t xml:space="preserve">  </w:t>
      </w:r>
      <w:r w:rsidR="00832F98">
        <w:rPr>
          <w:rFonts w:ascii="Times New Roman" w:hAnsi="Times New Roman"/>
          <w:sz w:val="24"/>
        </w:rPr>
        <w:t>Profil et tâches des responsables de volets</w:t>
      </w:r>
      <w:r w:rsidR="00832F98">
        <w:rPr>
          <w:rFonts w:ascii="Times New Roman" w:hAnsi="Times New Roman"/>
          <w:i/>
        </w:rPr>
        <w:t>:</w:t>
      </w:r>
    </w:p>
    <w:p w14:paraId="09A7F49E" w14:textId="77777777" w:rsidR="00832F98" w:rsidRPr="005107DF" w:rsidRDefault="00832F98" w:rsidP="009673F8">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Énumérez les compétences de base exigées; </w:t>
      </w:r>
    </w:p>
    <w:p w14:paraId="0B6012F7" w14:textId="77777777" w:rsidR="00832F98" w:rsidRPr="005107DF" w:rsidRDefault="00832F98" w:rsidP="009673F8">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minimum trois ans d’expérience spécifique; </w:t>
      </w:r>
    </w:p>
    <w:p w14:paraId="7FC43EBB" w14:textId="77777777" w:rsidR="00832F98" w:rsidRPr="005107DF" w:rsidRDefault="00832F98" w:rsidP="009673F8">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diplôme universitaire ou expérience professionnelle équivalente de huit ans. </w:t>
      </w:r>
    </w:p>
    <w:p w14:paraId="26A78432" w14:textId="77777777" w:rsidR="00832F98" w:rsidRPr="005107DF" w:rsidRDefault="00832F98" w:rsidP="009673F8">
      <w:pPr>
        <w:autoSpaceDE w:val="0"/>
        <w:autoSpaceDN w:val="0"/>
        <w:adjustRightInd w:val="0"/>
        <w:spacing w:before="120" w:after="0" w:line="240" w:lineRule="auto"/>
        <w:ind w:firstLine="540"/>
        <w:rPr>
          <w:rFonts w:ascii="Times New Roman" w:eastAsia="Times New Roman" w:hAnsi="Times New Roman" w:cs="Times New Roman"/>
          <w:sz w:val="24"/>
          <w:szCs w:val="24"/>
        </w:rPr>
      </w:pPr>
      <w:r>
        <w:rPr>
          <w:rFonts w:ascii="Times New Roman" w:hAnsi="Times New Roman"/>
          <w:sz w:val="24"/>
        </w:rPr>
        <w:t>Etc.</w:t>
      </w:r>
    </w:p>
    <w:p w14:paraId="75CF72D0" w14:textId="17CE23F9" w:rsidR="00832F98" w:rsidRPr="005107DF" w:rsidRDefault="003E763F" w:rsidP="003E763F">
      <w:pPr>
        <w:autoSpaceDE w:val="0"/>
        <w:autoSpaceDN w:val="0"/>
        <w:adjustRightInd w:val="0"/>
        <w:spacing w:before="12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3.7.3  </w:t>
      </w:r>
      <w:r w:rsidR="00832F98">
        <w:rPr>
          <w:rFonts w:ascii="Times New Roman" w:hAnsi="Times New Roman"/>
          <w:sz w:val="24"/>
        </w:rPr>
        <w:t>Profil et tâches des autres experts à court terme</w:t>
      </w:r>
      <w:r w:rsidR="00832F98">
        <w:rPr>
          <w:rFonts w:ascii="Times New Roman" w:hAnsi="Times New Roman"/>
          <w:i/>
        </w:rPr>
        <w:t>:</w:t>
      </w:r>
    </w:p>
    <w:p w14:paraId="327484AF" w14:textId="77777777" w:rsidR="00832F98" w:rsidRPr="005107DF" w:rsidRDefault="00832F98" w:rsidP="009673F8">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Une description commune est suffisante, à moins qu’un profil spécifique ne soit recherché (expert informatique, par exemple).</w:t>
      </w:r>
    </w:p>
    <w:p w14:paraId="3B12EF70" w14:textId="77777777" w:rsidR="00832F98" w:rsidRPr="005107DF" w:rsidRDefault="00832F98" w:rsidP="009673F8">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Énumérez les compétences de base exigées; </w:t>
      </w:r>
    </w:p>
    <w:p w14:paraId="60786890" w14:textId="77777777" w:rsidR="00832F98" w:rsidRPr="005107DF" w:rsidRDefault="00832F98" w:rsidP="009673F8">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minimum trois ans d’expérience spécifique; </w:t>
      </w:r>
    </w:p>
    <w:p w14:paraId="06504418" w14:textId="77777777" w:rsidR="00832F98" w:rsidRPr="005107DF" w:rsidRDefault="00832F98" w:rsidP="009673F8">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diplôme universitaire ou expérience professionnelle équivalente de huit ans. </w:t>
      </w:r>
    </w:p>
    <w:p w14:paraId="5050EFC9" w14:textId="77777777" w:rsidR="00832F98" w:rsidRPr="005107DF" w:rsidRDefault="00832F98" w:rsidP="009673F8">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p>
    <w:p w14:paraId="4C0BCC28" w14:textId="77777777" w:rsidR="00832F98" w:rsidRPr="005107DF" w:rsidRDefault="00832F98" w:rsidP="009673F8">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*Les administrations contractantes doivent noter que, si elles utilisent le terme «minimum», les propositions qui ne satisfont pas à ce critère devront être considérées comme non conformes et que, dans ce cas, l’expérience conjointe de l’équipe (CP, CRJ, responsables de volets) ne peut compenser le non-respect de l’exigence minimale.</w:t>
      </w:r>
    </w:p>
    <w:p w14:paraId="7BA40813" w14:textId="77777777" w:rsidR="00832F98" w:rsidRPr="005107DF" w:rsidRDefault="00832F98" w:rsidP="007338F0">
      <w:pPr>
        <w:autoSpaceDE w:val="0"/>
        <w:autoSpaceDN w:val="0"/>
        <w:adjustRightInd w:val="0"/>
        <w:spacing w:before="120" w:after="0" w:line="240" w:lineRule="auto"/>
        <w:ind w:left="540"/>
        <w:jc w:val="both"/>
        <w:rPr>
          <w:rFonts w:ascii="Times New Roman" w:eastAsia="Times New Roman" w:hAnsi="Times New Roman" w:cs="Times New Roman"/>
          <w:i/>
          <w:sz w:val="20"/>
          <w:szCs w:val="20"/>
        </w:rPr>
      </w:pPr>
      <w:r>
        <w:rPr>
          <w:rFonts w:ascii="Times New Roman" w:hAnsi="Times New Roman"/>
          <w:i/>
          <w:sz w:val="20"/>
        </w:rPr>
        <w:t xml:space="preserve">* </w:t>
      </w:r>
      <w:r w:rsidRPr="003E763F">
        <w:rPr>
          <w:rFonts w:ascii="Times New Roman" w:hAnsi="Times New Roman"/>
          <w:i/>
          <w:sz w:val="24"/>
        </w:rPr>
        <w:t>L’administration contractante est invitée à tenir rigoureusement compte du fait qu’aucune forme de sous-traitance avec le secteur privé n’est autorisée, à la seule exception du recours à des services de traduction et d’interprétation, si nécessaire.</w:t>
      </w:r>
    </w:p>
    <w:p w14:paraId="5ED6B02B" w14:textId="77777777" w:rsidR="00832F98" w:rsidRPr="005107DF" w:rsidRDefault="00832F98" w:rsidP="00A92DE1">
      <w:pPr>
        <w:autoSpaceDE w:val="0"/>
        <w:autoSpaceDN w:val="0"/>
        <w:adjustRightInd w:val="0"/>
        <w:spacing w:after="0" w:line="240" w:lineRule="auto"/>
        <w:rPr>
          <w:rFonts w:ascii="Times New Roman" w:eastAsia="Times New Roman" w:hAnsi="Times New Roman" w:cs="Times New Roman"/>
          <w:bCs/>
          <w:i/>
          <w:sz w:val="24"/>
          <w:szCs w:val="24"/>
        </w:rPr>
      </w:pPr>
      <w:r>
        <w:tab/>
      </w:r>
    </w:p>
    <w:p w14:paraId="6D3157C8" w14:textId="77777777" w:rsidR="00832F98" w:rsidRPr="005107DF" w:rsidRDefault="00832F98"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rPr>
      </w:pPr>
      <w:r w:rsidRPr="00452C1A">
        <w:rPr>
          <w:rFonts w:ascii="Times New Roman" w:hAnsi="Times New Roman"/>
          <w:b/>
          <w:sz w:val="24"/>
        </w:rPr>
        <w:t>4</w:t>
      </w:r>
      <w:r>
        <w:rPr>
          <w:rFonts w:ascii="Times New Roman" w:hAnsi="Times New Roman"/>
          <w:b/>
          <w:sz w:val="24"/>
        </w:rPr>
        <w:t xml:space="preserve">. </w:t>
      </w:r>
      <w:r>
        <w:tab/>
      </w:r>
      <w:r>
        <w:rPr>
          <w:rFonts w:ascii="Times New Roman" w:hAnsi="Times New Roman"/>
          <w:b/>
          <w:sz w:val="24"/>
        </w:rPr>
        <w:t>Budget</w:t>
      </w:r>
    </w:p>
    <w:p w14:paraId="19017EA8" w14:textId="77777777" w:rsidR="00832F98" w:rsidRPr="005107DF" w:rsidRDefault="00832F98"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Cs/>
          <w:i/>
          <w:sz w:val="24"/>
          <w:szCs w:val="24"/>
        </w:rPr>
      </w:pPr>
      <w:r>
        <w:tab/>
      </w:r>
      <w:r>
        <w:rPr>
          <w:rFonts w:ascii="Times New Roman" w:hAnsi="Times New Roman"/>
          <w:sz w:val="24"/>
        </w:rPr>
        <w:t>Budget maximal disponible pour la subvention</w:t>
      </w:r>
      <w:r>
        <w:rPr>
          <w:rFonts w:ascii="Times New Roman" w:hAnsi="Times New Roman"/>
          <w:i/>
          <w:sz w:val="24"/>
        </w:rPr>
        <w:t xml:space="preserve"> </w:t>
      </w:r>
    </w:p>
    <w:p w14:paraId="6964B531" w14:textId="77777777" w:rsidR="00832F98" w:rsidRPr="005107DF" w:rsidRDefault="00832F98"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b/>
          <w:bCs/>
          <w:sz w:val="24"/>
          <w:szCs w:val="24"/>
        </w:rPr>
      </w:pPr>
    </w:p>
    <w:p w14:paraId="5788018D" w14:textId="77777777" w:rsidR="00832F98" w:rsidRPr="005107DF" w:rsidRDefault="00832F98"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rPr>
      </w:pPr>
      <w:r w:rsidRPr="00452C1A">
        <w:rPr>
          <w:rFonts w:ascii="Times New Roman" w:hAnsi="Times New Roman"/>
          <w:b/>
          <w:sz w:val="24"/>
        </w:rPr>
        <w:t>5</w:t>
      </w:r>
      <w:r>
        <w:rPr>
          <w:rFonts w:ascii="Times New Roman" w:hAnsi="Times New Roman"/>
          <w:b/>
          <w:sz w:val="24"/>
        </w:rPr>
        <w:t xml:space="preserve">. </w:t>
      </w:r>
      <w:r>
        <w:tab/>
      </w:r>
      <w:r>
        <w:rPr>
          <w:rFonts w:ascii="Times New Roman" w:hAnsi="Times New Roman"/>
          <w:b/>
          <w:sz w:val="24"/>
        </w:rPr>
        <w:t xml:space="preserve">Modalités de mise en œuvre </w:t>
      </w:r>
    </w:p>
    <w:p w14:paraId="17B05584" w14:textId="77777777" w:rsidR="00832F98" w:rsidRPr="005107DF" w:rsidRDefault="00832F98"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5</w:t>
      </w:r>
      <w:r>
        <w:rPr>
          <w:rFonts w:ascii="Times New Roman" w:hAnsi="Times New Roman"/>
          <w:sz w:val="24"/>
        </w:rPr>
        <w:t>.</w:t>
      </w:r>
      <w:r w:rsidRPr="00452C1A">
        <w:rPr>
          <w:rFonts w:ascii="Times New Roman" w:hAnsi="Times New Roman"/>
          <w:sz w:val="24"/>
        </w:rPr>
        <w:t>1</w:t>
      </w:r>
      <w:r>
        <w:rPr>
          <w:rFonts w:ascii="Times New Roman" w:hAnsi="Times New Roman"/>
          <w:sz w:val="24"/>
        </w:rPr>
        <w:t xml:space="preserve"> </w:t>
      </w:r>
      <w:r>
        <w:tab/>
      </w:r>
      <w:r>
        <w:rPr>
          <w:rFonts w:ascii="Times New Roman" w:hAnsi="Times New Roman"/>
          <w:sz w:val="24"/>
        </w:rPr>
        <w:t>Organisme de mise en œuvre responsable de la passation de marchés et de la gestion financière (ordonnateur/unité centrale de financement et de passation de contrats/ordonnateur de programme/délégation/bureau de l’Union européenne):</w:t>
      </w:r>
    </w:p>
    <w:p w14:paraId="62CD73E1" w14:textId="77777777" w:rsidR="00832F98" w:rsidRPr="005107DF" w:rsidRDefault="00832F98"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i/>
          <w:sz w:val="24"/>
          <w:szCs w:val="24"/>
        </w:rPr>
      </w:pPr>
      <w:r>
        <w:tab/>
      </w:r>
      <w:r>
        <w:rPr>
          <w:rFonts w:ascii="Times New Roman" w:hAnsi="Times New Roman"/>
          <w:i/>
          <w:sz w:val="24"/>
        </w:rPr>
        <w:t>Veuillez fournir les coordonnées complètes de la personne de contact.</w:t>
      </w:r>
    </w:p>
    <w:p w14:paraId="7EE37126" w14:textId="77777777" w:rsidR="00832F98" w:rsidRPr="005107DF" w:rsidRDefault="00832F98"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5</w:t>
      </w:r>
      <w:r>
        <w:rPr>
          <w:rFonts w:ascii="Times New Roman" w:hAnsi="Times New Roman"/>
          <w:sz w:val="24"/>
        </w:rPr>
        <w:t>.</w:t>
      </w:r>
      <w:r w:rsidRPr="00452C1A">
        <w:rPr>
          <w:rFonts w:ascii="Times New Roman" w:hAnsi="Times New Roman"/>
          <w:sz w:val="24"/>
        </w:rPr>
        <w:t>2</w:t>
      </w:r>
      <w:r>
        <w:rPr>
          <w:rFonts w:ascii="Times New Roman" w:hAnsi="Times New Roman"/>
          <w:sz w:val="24"/>
        </w:rPr>
        <w:t xml:space="preserve"> </w:t>
      </w:r>
      <w:r>
        <w:tab/>
      </w:r>
      <w:r>
        <w:rPr>
          <w:rFonts w:ascii="Times New Roman" w:hAnsi="Times New Roman"/>
          <w:sz w:val="24"/>
        </w:rPr>
        <w:t>Cadre institutionnel</w:t>
      </w:r>
    </w:p>
    <w:p w14:paraId="7678CD04" w14:textId="77777777" w:rsidR="00832F98" w:rsidRPr="005107DF" w:rsidRDefault="00832F98"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rPr>
      </w:pPr>
      <w:r>
        <w:tab/>
      </w:r>
      <w:r>
        <w:rPr>
          <w:rFonts w:ascii="Times New Roman" w:hAnsi="Times New Roman"/>
          <w:i/>
          <w:sz w:val="24"/>
        </w:rPr>
        <w:t xml:space="preserve">Indiquez l’administration bénéficiaire et, le cas échéant, les services ou directions visés au sein de l’administration bénéficiaire. </w:t>
      </w:r>
    </w:p>
    <w:p w14:paraId="135E095E" w14:textId="77777777" w:rsidR="00832F98" w:rsidRPr="005107DF" w:rsidRDefault="00832F98"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rPr>
      </w:pPr>
      <w:r>
        <w:tab/>
      </w:r>
      <w:r>
        <w:rPr>
          <w:rFonts w:ascii="Times New Roman" w:hAnsi="Times New Roman"/>
          <w:i/>
          <w:sz w:val="24"/>
        </w:rPr>
        <w:t>Si plusieurs administrations sont visées, précisez la relation qui les unit et leur structure pour la mise en œuvre du projet, ainsi que le mécanisme qui assure leur coordination.</w:t>
      </w:r>
    </w:p>
    <w:p w14:paraId="47B6D035" w14:textId="3A237AAB" w:rsidR="00832F98" w:rsidRPr="005107DF" w:rsidRDefault="00832F98" w:rsidP="002414D5">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rPr>
      </w:pPr>
      <w:r>
        <w:tab/>
      </w:r>
      <w:r>
        <w:rPr>
          <w:rFonts w:ascii="Times New Roman" w:hAnsi="Times New Roman"/>
          <w:i/>
          <w:sz w:val="24"/>
        </w:rPr>
        <w:t>Précisez si les résultats du projet entraîneront une modification du cadre institutionnel tel qu’il est décrit.</w:t>
      </w:r>
    </w:p>
    <w:p w14:paraId="4B5E69A1" w14:textId="77777777" w:rsidR="00832F98" w:rsidRPr="005107DF" w:rsidRDefault="00832F98"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5</w:t>
      </w:r>
      <w:r>
        <w:rPr>
          <w:rFonts w:ascii="Times New Roman" w:hAnsi="Times New Roman"/>
          <w:sz w:val="24"/>
        </w:rPr>
        <w:t>.</w:t>
      </w:r>
      <w:r w:rsidRPr="00452C1A">
        <w:rPr>
          <w:rFonts w:ascii="Times New Roman" w:hAnsi="Times New Roman"/>
          <w:sz w:val="24"/>
        </w:rPr>
        <w:t>3</w:t>
      </w:r>
      <w:r>
        <w:tab/>
      </w:r>
      <w:r>
        <w:rPr>
          <w:rFonts w:ascii="Times New Roman" w:hAnsi="Times New Roman"/>
          <w:sz w:val="24"/>
        </w:rPr>
        <w:t>Homologues dans l’administration bénéficiaire:</w:t>
      </w:r>
    </w:p>
    <w:p w14:paraId="0007204E" w14:textId="77777777" w:rsidR="00832F98" w:rsidRPr="005107DF" w:rsidRDefault="00832F98" w:rsidP="002414D5">
      <w:pPr>
        <w:tabs>
          <w:tab w:val="left" w:pos="540"/>
        </w:tabs>
        <w:autoSpaceDE w:val="0"/>
        <w:autoSpaceDN w:val="0"/>
        <w:adjustRightInd w:val="0"/>
        <w:spacing w:before="120" w:after="0" w:line="240" w:lineRule="auto"/>
        <w:ind w:left="567"/>
        <w:jc w:val="both"/>
        <w:rPr>
          <w:rFonts w:ascii="Times New Roman" w:eastAsia="Times New Roman" w:hAnsi="Times New Roman" w:cs="Times New Roman"/>
          <w:bCs/>
          <w:i/>
          <w:sz w:val="24"/>
          <w:szCs w:val="24"/>
        </w:rPr>
      </w:pPr>
      <w:r>
        <w:rPr>
          <w:rFonts w:ascii="Times New Roman" w:hAnsi="Times New Roman"/>
          <w:i/>
          <w:sz w:val="24"/>
        </w:rPr>
        <w:t>L’homologue du CP est un fonctionnaire de l’administration bénéficiaire et participe activement à la gestion et à la coordination du projet.</w:t>
      </w:r>
    </w:p>
    <w:p w14:paraId="2C6F0982" w14:textId="77777777" w:rsidR="00832F98" w:rsidRPr="005107DF" w:rsidRDefault="00832F98" w:rsidP="003E763F">
      <w:pPr>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lastRenderedPageBreak/>
        <w:t>5</w:t>
      </w:r>
      <w:r>
        <w:rPr>
          <w:rFonts w:ascii="Times New Roman" w:hAnsi="Times New Roman"/>
          <w:sz w:val="24"/>
        </w:rPr>
        <w:t>.</w:t>
      </w: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1</w:t>
      </w:r>
      <w:r>
        <w:rPr>
          <w:rFonts w:ascii="Times New Roman" w:hAnsi="Times New Roman"/>
          <w:sz w:val="24"/>
        </w:rPr>
        <w:t>.</w:t>
      </w:r>
      <w:r>
        <w:tab/>
      </w:r>
      <w:r>
        <w:rPr>
          <w:rFonts w:ascii="Times New Roman" w:hAnsi="Times New Roman"/>
          <w:sz w:val="24"/>
        </w:rPr>
        <w:t>Personne de contact:</w:t>
      </w:r>
    </w:p>
    <w:p w14:paraId="3ACC8A68" w14:textId="77777777" w:rsidR="00832F98" w:rsidRPr="005107DF" w:rsidRDefault="00832F98"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rPr>
      </w:pPr>
      <w:r>
        <w:rPr>
          <w:rFonts w:ascii="Times New Roman" w:hAnsi="Times New Roman"/>
          <w:i/>
          <w:sz w:val="24"/>
        </w:rPr>
        <w:t>Veuillez indiquer le nom, le poste officiel et l’adresse postale.</w:t>
      </w:r>
    </w:p>
    <w:p w14:paraId="53E69883" w14:textId="77777777" w:rsidR="00832F98" w:rsidRPr="005107DF" w:rsidRDefault="00832F98" w:rsidP="003E763F">
      <w:pPr>
        <w:autoSpaceDE w:val="0"/>
        <w:autoSpaceDN w:val="0"/>
        <w:adjustRightInd w:val="0"/>
        <w:spacing w:before="120" w:after="0" w:line="240" w:lineRule="auto"/>
        <w:jc w:val="both"/>
        <w:rPr>
          <w:rFonts w:ascii="Times New Roman" w:eastAsia="Times New Roman" w:hAnsi="Times New Roman" w:cs="Times New Roman"/>
          <w:bCs/>
          <w:i/>
          <w:sz w:val="24"/>
          <w:szCs w:val="24"/>
        </w:rPr>
      </w:pPr>
      <w:r w:rsidRPr="00452C1A">
        <w:rPr>
          <w:rFonts w:ascii="Times New Roman" w:hAnsi="Times New Roman"/>
          <w:sz w:val="24"/>
        </w:rPr>
        <w:t>5</w:t>
      </w:r>
      <w:r>
        <w:rPr>
          <w:rFonts w:ascii="Times New Roman" w:hAnsi="Times New Roman"/>
          <w:sz w:val="24"/>
        </w:rPr>
        <w:t>.</w:t>
      </w: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2</w:t>
      </w:r>
      <w:r>
        <w:rPr>
          <w:rFonts w:ascii="Times New Roman" w:hAnsi="Times New Roman"/>
          <w:sz w:val="24"/>
        </w:rPr>
        <w:t>.</w:t>
      </w:r>
      <w:r>
        <w:tab/>
      </w:r>
      <w:r>
        <w:rPr>
          <w:rFonts w:ascii="Times New Roman" w:hAnsi="Times New Roman"/>
          <w:sz w:val="24"/>
        </w:rPr>
        <w:t>Homologue du CP</w:t>
      </w:r>
    </w:p>
    <w:p w14:paraId="5075C689" w14:textId="77777777" w:rsidR="00832F98" w:rsidRPr="005107DF" w:rsidRDefault="00832F98"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rPr>
      </w:pPr>
      <w:r>
        <w:rPr>
          <w:rFonts w:ascii="Times New Roman" w:hAnsi="Times New Roman"/>
          <w:i/>
          <w:sz w:val="24"/>
        </w:rPr>
        <w:t>Indiquez le nom, le poste officiel et l’adresse postale de son administration (pas de coordonnées de la personne)</w:t>
      </w:r>
    </w:p>
    <w:p w14:paraId="514E53A7" w14:textId="77777777" w:rsidR="00832F98" w:rsidRPr="005107DF" w:rsidRDefault="00832F98" w:rsidP="00A92DE1">
      <w:pPr>
        <w:autoSpaceDE w:val="0"/>
        <w:autoSpaceDN w:val="0"/>
        <w:adjustRightInd w:val="0"/>
        <w:spacing w:before="240" w:after="0" w:line="240" w:lineRule="auto"/>
        <w:ind w:left="539" w:hanging="539"/>
        <w:rPr>
          <w:rFonts w:ascii="Times New Roman" w:eastAsia="Times New Roman" w:hAnsi="Times New Roman" w:cs="Times New Roman"/>
          <w:b/>
          <w:bCs/>
          <w:sz w:val="24"/>
          <w:szCs w:val="24"/>
        </w:rPr>
      </w:pPr>
      <w:r w:rsidRPr="00452C1A">
        <w:rPr>
          <w:rFonts w:ascii="Times New Roman" w:hAnsi="Times New Roman"/>
          <w:sz w:val="24"/>
        </w:rPr>
        <w:t>6</w:t>
      </w:r>
      <w:r>
        <w:rPr>
          <w:rFonts w:ascii="Times New Roman" w:hAnsi="Times New Roman"/>
          <w:sz w:val="24"/>
        </w:rPr>
        <w:t>.</w:t>
      </w:r>
      <w:r>
        <w:tab/>
      </w:r>
      <w:r>
        <w:rPr>
          <w:rFonts w:ascii="Times New Roman" w:hAnsi="Times New Roman"/>
          <w:b/>
          <w:sz w:val="24"/>
        </w:rPr>
        <w:t>Durée du projet</w:t>
      </w:r>
    </w:p>
    <w:p w14:paraId="44EC1E5C" w14:textId="77777777" w:rsidR="00832F98" w:rsidRPr="005107DF" w:rsidRDefault="00832F98" w:rsidP="00A92DE1">
      <w:pPr>
        <w:autoSpaceDE w:val="0"/>
        <w:autoSpaceDN w:val="0"/>
        <w:adjustRightInd w:val="0"/>
        <w:spacing w:before="120" w:after="0" w:line="240" w:lineRule="auto"/>
        <w:ind w:left="539"/>
        <w:rPr>
          <w:rFonts w:ascii="Times New Roman" w:eastAsia="Times New Roman" w:hAnsi="Times New Roman" w:cs="Times New Roman"/>
          <w:b/>
          <w:bCs/>
          <w:i/>
          <w:sz w:val="24"/>
          <w:szCs w:val="24"/>
        </w:rPr>
      </w:pPr>
      <w:r>
        <w:rPr>
          <w:rFonts w:ascii="Times New Roman" w:hAnsi="Times New Roman"/>
          <w:i/>
          <w:sz w:val="24"/>
        </w:rPr>
        <w:t>Précisez la période d’exécution (nombre de mois)</w:t>
      </w:r>
      <w:r>
        <w:rPr>
          <w:rFonts w:ascii="Times New Roman" w:hAnsi="Times New Roman"/>
          <w:b/>
          <w:i/>
          <w:sz w:val="24"/>
        </w:rPr>
        <w:t>.</w:t>
      </w:r>
    </w:p>
    <w:p w14:paraId="31559075" w14:textId="77777777" w:rsidR="00832F98" w:rsidRPr="005107DF" w:rsidRDefault="00832F98" w:rsidP="00A92DE1">
      <w:pPr>
        <w:autoSpaceDE w:val="0"/>
        <w:autoSpaceDN w:val="0"/>
        <w:adjustRightInd w:val="0"/>
        <w:spacing w:after="0" w:line="240" w:lineRule="auto"/>
        <w:rPr>
          <w:rFonts w:ascii="Times New Roman" w:eastAsia="Times New Roman" w:hAnsi="Times New Roman" w:cs="Times New Roman"/>
          <w:b/>
          <w:bCs/>
          <w:sz w:val="24"/>
          <w:szCs w:val="24"/>
        </w:rPr>
      </w:pPr>
    </w:p>
    <w:p w14:paraId="3A939499" w14:textId="77777777" w:rsidR="00832F98" w:rsidRPr="005107DF" w:rsidRDefault="00832F98" w:rsidP="007338F0">
      <w:pPr>
        <w:autoSpaceDE w:val="0"/>
        <w:autoSpaceDN w:val="0"/>
        <w:adjustRightInd w:val="0"/>
        <w:spacing w:before="120" w:after="0" w:line="240" w:lineRule="auto"/>
        <w:ind w:left="540" w:hanging="540"/>
        <w:rPr>
          <w:rFonts w:ascii="Times New Roman" w:eastAsia="Times New Roman" w:hAnsi="Times New Roman" w:cs="Times New Roman"/>
          <w:i/>
          <w:color w:val="000000"/>
          <w:sz w:val="24"/>
          <w:szCs w:val="24"/>
        </w:rPr>
      </w:pPr>
      <w:r w:rsidRPr="00452C1A">
        <w:rPr>
          <w:rFonts w:ascii="Times New Roman" w:hAnsi="Times New Roman"/>
          <w:b/>
          <w:sz w:val="24"/>
        </w:rPr>
        <w:t>7</w:t>
      </w:r>
      <w:r>
        <w:rPr>
          <w:rFonts w:ascii="Times New Roman" w:hAnsi="Times New Roman"/>
          <w:b/>
          <w:sz w:val="24"/>
        </w:rPr>
        <w:t>.</w:t>
      </w:r>
      <w:r>
        <w:tab/>
      </w:r>
      <w:r>
        <w:rPr>
          <w:rFonts w:ascii="Times New Roman" w:hAnsi="Times New Roman"/>
          <w:b/>
          <w:sz w:val="24"/>
        </w:rPr>
        <w:t xml:space="preserve">Durabilité </w:t>
      </w:r>
    </w:p>
    <w:p w14:paraId="4AB87EFC" w14:textId="77777777" w:rsidR="00832F98" w:rsidRPr="005107DF" w:rsidRDefault="00832F98" w:rsidP="002414D5">
      <w:pPr>
        <w:spacing w:before="120" w:after="120" w:line="240" w:lineRule="auto"/>
        <w:ind w:left="567"/>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Les résultats d’un projet de jumelage (des résultats par volet aux impacts) doivent être maintenus comme un atout permanent dans l’administration bénéficiaire même après la fin de la mise en œuvre du projet de jumelage. Cela présuppose, entre autres, la mise en place par l’administration bénéficiaire de mécanismes efficaces pour diffuser et consolider les résultats du projet. </w:t>
      </w:r>
    </w:p>
    <w:p w14:paraId="22EC5560" w14:textId="77777777" w:rsidR="00832F98" w:rsidRPr="005107DF" w:rsidRDefault="00832F98" w:rsidP="002414D5">
      <w:pPr>
        <w:spacing w:after="120" w:line="240" w:lineRule="auto"/>
        <w:ind w:left="567"/>
        <w:jc w:val="both"/>
        <w:rPr>
          <w:rFonts w:ascii="Times New Roman" w:eastAsia="Times New Roman" w:hAnsi="Times New Roman" w:cs="Times New Roman"/>
          <w:i/>
          <w:color w:val="000000"/>
          <w:sz w:val="24"/>
          <w:szCs w:val="24"/>
        </w:rPr>
      </w:pPr>
      <w:r>
        <w:rPr>
          <w:rFonts w:ascii="Times New Roman" w:hAnsi="Times New Roman"/>
          <w:i/>
          <w:color w:val="000000"/>
          <w:sz w:val="24"/>
        </w:rPr>
        <w:t>En ce qui concerne les projets de jumelage prévoyant un soutien à l’élaboration des politiques sectorielles (stratégies et plans d’action), l’élaboration de nouveaux actes législatifs ou l’introduction de modifications (surtout ayant trait à l’acquis de l’Union), le meilleur moyen de garantir la durabilité des résultats obligatoires/produits est de veiller à ce que les propositions d’action et les propositions législatives soient au moins appuyées par des analyses d’impact élémentaires (réglementaires, fiscales) et à ce que les acteurs internes et externes soient consultés à leur sujet (consultations interministérielles et publiques), comme l’exige la législation du pays bénéficiaire.</w:t>
      </w:r>
      <w:r>
        <w:rPr>
          <w:rFonts w:ascii="Times New Roman" w:hAnsi="Times New Roman"/>
          <w:sz w:val="24"/>
        </w:rPr>
        <w:t xml:space="preserve"> </w:t>
      </w:r>
      <w:r>
        <w:rPr>
          <w:rFonts w:ascii="Times New Roman" w:hAnsi="Times New Roman"/>
          <w:i/>
          <w:color w:val="000000"/>
          <w:sz w:val="24"/>
        </w:rPr>
        <w:t>Il convient de prévoir suffisamment de temps pour ces travaux préparatoires pendant le projet et d’éviter les procédures accélérées d’adoption de la législation, qui mettent en péril la mise en œuvre et l’application de la future législation.</w:t>
      </w:r>
    </w:p>
    <w:p w14:paraId="7BDC6D0A" w14:textId="18C274C3" w:rsidR="003E763F" w:rsidRPr="003E763F" w:rsidRDefault="00832F98" w:rsidP="002414D5">
      <w:pPr>
        <w:spacing w:before="240" w:after="120" w:line="240" w:lineRule="auto"/>
        <w:ind w:left="567"/>
        <w:jc w:val="both"/>
        <w:rPr>
          <w:rFonts w:ascii="Times New Roman" w:hAnsi="Times New Roman"/>
          <w:i/>
          <w:color w:val="000000"/>
          <w:sz w:val="24"/>
        </w:rPr>
      </w:pPr>
      <w:r>
        <w:rPr>
          <w:rFonts w:ascii="Times New Roman" w:hAnsi="Times New Roman"/>
          <w:i/>
          <w:color w:val="000000"/>
          <w:sz w:val="24"/>
        </w:rPr>
        <w:t xml:space="preserve">Compte tenu de la nécessité de pérenniser les résultats, le bénéficiaire doit expliquer comment il a prévu les ressources nécessaires à cette pérennisation dans sa planification budgétaire (planification opérationnelle à moyen terme ou méthode semblable).    </w:t>
      </w:r>
    </w:p>
    <w:p w14:paraId="4F3C530D" w14:textId="77777777" w:rsidR="00832F98" w:rsidRPr="005107DF" w:rsidRDefault="00832F98" w:rsidP="003E763F">
      <w:pPr>
        <w:autoSpaceDE w:val="0"/>
        <w:autoSpaceDN w:val="0"/>
        <w:adjustRightInd w:val="0"/>
        <w:spacing w:before="240" w:after="0" w:line="240" w:lineRule="auto"/>
        <w:ind w:left="540" w:hanging="540"/>
        <w:rPr>
          <w:rFonts w:ascii="Times New Roman" w:eastAsia="Times New Roman" w:hAnsi="Times New Roman" w:cs="Times New Roman"/>
          <w:bCs/>
          <w:i/>
          <w:sz w:val="24"/>
          <w:szCs w:val="24"/>
        </w:rPr>
      </w:pPr>
      <w:r w:rsidRPr="00452C1A">
        <w:rPr>
          <w:rFonts w:ascii="Times New Roman" w:hAnsi="Times New Roman"/>
          <w:b/>
          <w:sz w:val="24"/>
        </w:rPr>
        <w:t>8</w:t>
      </w:r>
      <w:r>
        <w:rPr>
          <w:rFonts w:ascii="Times New Roman" w:hAnsi="Times New Roman"/>
          <w:b/>
          <w:sz w:val="24"/>
        </w:rPr>
        <w:t>.</w:t>
      </w:r>
      <w:r>
        <w:tab/>
      </w:r>
      <w:r>
        <w:rPr>
          <w:rFonts w:ascii="Times New Roman" w:hAnsi="Times New Roman"/>
          <w:b/>
          <w:sz w:val="24"/>
        </w:rPr>
        <w:t>Questions transversales</w:t>
      </w:r>
      <w:r>
        <w:rPr>
          <w:rFonts w:ascii="Times New Roman" w:hAnsi="Times New Roman"/>
          <w:i/>
          <w:sz w:val="24"/>
        </w:rPr>
        <w:t xml:space="preserve"> (égalité des chances, environnement, climat, etc.)</w:t>
      </w:r>
    </w:p>
    <w:p w14:paraId="584AEE9E" w14:textId="77777777" w:rsidR="00832F98" w:rsidRPr="005107DF" w:rsidRDefault="00832F98" w:rsidP="002414D5">
      <w:pPr>
        <w:autoSpaceDE w:val="0"/>
        <w:autoSpaceDN w:val="0"/>
        <w:adjustRightInd w:val="0"/>
        <w:spacing w:before="120" w:line="240" w:lineRule="auto"/>
        <w:ind w:left="567"/>
        <w:jc w:val="both"/>
        <w:rPr>
          <w:rFonts w:ascii="Times New Roman" w:eastAsia="Times New Roman" w:hAnsi="Times New Roman" w:cs="Times New Roman"/>
          <w:bCs/>
          <w:sz w:val="24"/>
          <w:szCs w:val="24"/>
        </w:rPr>
      </w:pPr>
      <w:r>
        <w:rPr>
          <w:rFonts w:ascii="Times New Roman" w:hAnsi="Times New Roman"/>
          <w:sz w:val="24"/>
        </w:rPr>
        <w:t xml:space="preserve">Expliquez comment les objectifs du projet contribuent à la mise en œuvre de politiques de promotion de l’égalité hommes-femmes et des droits de l’homme et, à terme, à la promotion de l’égalité des chances, de l’environnement, des minorités, de la lutte contre le changement climatique, de la couverture régionale, etc. </w:t>
      </w:r>
    </w:p>
    <w:p w14:paraId="4DB0F585" w14:textId="77777777" w:rsidR="00832F98" w:rsidRPr="005107DF" w:rsidRDefault="00832F98" w:rsidP="003E763F">
      <w:pPr>
        <w:autoSpaceDE w:val="0"/>
        <w:autoSpaceDN w:val="0"/>
        <w:adjustRightInd w:val="0"/>
        <w:spacing w:before="120" w:line="240" w:lineRule="auto"/>
        <w:ind w:left="540" w:hanging="540"/>
        <w:rPr>
          <w:rFonts w:ascii="Times New Roman" w:eastAsia="Times New Roman" w:hAnsi="Times New Roman" w:cs="Times New Roman"/>
          <w:b/>
          <w:bCs/>
          <w:sz w:val="24"/>
          <w:szCs w:val="24"/>
        </w:rPr>
      </w:pPr>
      <w:r w:rsidRPr="00452C1A">
        <w:rPr>
          <w:rFonts w:ascii="Times New Roman" w:hAnsi="Times New Roman"/>
          <w:b/>
          <w:sz w:val="24"/>
        </w:rPr>
        <w:t>9</w:t>
      </w:r>
      <w:r>
        <w:rPr>
          <w:rFonts w:ascii="Times New Roman" w:hAnsi="Times New Roman"/>
          <w:b/>
          <w:sz w:val="24"/>
        </w:rPr>
        <w:t>.</w:t>
      </w:r>
      <w:r>
        <w:tab/>
      </w:r>
      <w:r>
        <w:rPr>
          <w:rFonts w:ascii="Times New Roman" w:hAnsi="Times New Roman"/>
          <w:b/>
          <w:sz w:val="24"/>
        </w:rPr>
        <w:t>Conditionnalité et échelonnement</w:t>
      </w:r>
    </w:p>
    <w:p w14:paraId="18C7CC28" w14:textId="77777777" w:rsidR="00832F98" w:rsidRPr="005107DF" w:rsidRDefault="00832F98" w:rsidP="002414D5">
      <w:pPr>
        <w:autoSpaceDE w:val="0"/>
        <w:autoSpaceDN w:val="0"/>
        <w:adjustRightInd w:val="0"/>
        <w:spacing w:before="120" w:after="0" w:line="240" w:lineRule="auto"/>
        <w:ind w:left="567"/>
        <w:jc w:val="both"/>
        <w:rPr>
          <w:rFonts w:ascii="Times New Roman" w:eastAsia="Times New Roman" w:hAnsi="Times New Roman" w:cs="Times New Roman"/>
          <w:bCs/>
          <w:sz w:val="24"/>
          <w:szCs w:val="24"/>
        </w:rPr>
      </w:pPr>
      <w:r>
        <w:rPr>
          <w:rFonts w:ascii="Times New Roman" w:hAnsi="Times New Roman"/>
          <w:sz w:val="24"/>
        </w:rPr>
        <w:t xml:space="preserve">En règle générale, les projets de jumelage NE doivent PAS être conçus comme étant dépendants des réalisations d’autres actions sans tenir compte de la nature de celles-ci (achat de fournitures spéciales, etc.) En l’absence des conditions externes au projet nécessaires à l’obtention des résultats de l’intervention, le projet doit-il être lancé? </w:t>
      </w:r>
    </w:p>
    <w:p w14:paraId="43EFD008" w14:textId="36D1044A" w:rsidR="00832F98" w:rsidRDefault="00832F98" w:rsidP="002414D5">
      <w:pPr>
        <w:autoSpaceDE w:val="0"/>
        <w:autoSpaceDN w:val="0"/>
        <w:adjustRightInd w:val="0"/>
        <w:spacing w:before="120" w:after="0" w:line="240" w:lineRule="auto"/>
        <w:ind w:left="567"/>
        <w:jc w:val="both"/>
        <w:rPr>
          <w:rFonts w:ascii="Times New Roman" w:hAnsi="Times New Roman"/>
          <w:sz w:val="24"/>
        </w:rPr>
      </w:pPr>
      <w:r>
        <w:rPr>
          <w:rFonts w:ascii="Times New Roman" w:hAnsi="Times New Roman"/>
          <w:sz w:val="24"/>
        </w:rPr>
        <w:t>Lors de la conception d’un projet de jumelage, il convient d’accorder une attention particulière aux actions/activités/événements prévus dans le cadre de l’outil TAIEX et d’autres initiatives de l’UE.</w:t>
      </w:r>
    </w:p>
    <w:p w14:paraId="0B9E5B96" w14:textId="77777777" w:rsidR="003E763F" w:rsidRPr="005107DF" w:rsidRDefault="003E763F" w:rsidP="007338F0">
      <w:pPr>
        <w:autoSpaceDE w:val="0"/>
        <w:autoSpaceDN w:val="0"/>
        <w:adjustRightInd w:val="0"/>
        <w:spacing w:before="120" w:after="0" w:line="240" w:lineRule="auto"/>
        <w:jc w:val="both"/>
        <w:rPr>
          <w:rFonts w:ascii="Times New Roman" w:eastAsia="Times New Roman" w:hAnsi="Times New Roman" w:cs="Times New Roman"/>
          <w:bCs/>
          <w:sz w:val="24"/>
          <w:szCs w:val="24"/>
        </w:rPr>
      </w:pPr>
    </w:p>
    <w:p w14:paraId="620C90E8" w14:textId="77777777" w:rsidR="00832F98" w:rsidRPr="005107DF" w:rsidRDefault="00832F98" w:rsidP="007338F0">
      <w:pPr>
        <w:autoSpaceDE w:val="0"/>
        <w:autoSpaceDN w:val="0"/>
        <w:adjustRightInd w:val="0"/>
        <w:spacing w:before="120" w:after="120" w:line="240" w:lineRule="auto"/>
        <w:jc w:val="both"/>
        <w:rPr>
          <w:rFonts w:ascii="Times New Roman" w:eastAsia="Times New Roman" w:hAnsi="Times New Roman" w:cs="Times New Roman"/>
          <w:b/>
          <w:bCs/>
          <w:sz w:val="24"/>
          <w:szCs w:val="24"/>
        </w:rPr>
      </w:pPr>
      <w:r w:rsidRPr="00452C1A">
        <w:rPr>
          <w:rFonts w:ascii="Times New Roman" w:hAnsi="Times New Roman"/>
          <w:b/>
          <w:sz w:val="24"/>
        </w:rPr>
        <w:lastRenderedPageBreak/>
        <w:t>10</w:t>
      </w:r>
      <w:r>
        <w:rPr>
          <w:rFonts w:ascii="Times New Roman" w:hAnsi="Times New Roman"/>
          <w:b/>
          <w:sz w:val="24"/>
        </w:rPr>
        <w:t>.</w:t>
      </w:r>
      <w:r>
        <w:tab/>
      </w:r>
      <w:r>
        <w:rPr>
          <w:rFonts w:ascii="Times New Roman" w:hAnsi="Times New Roman"/>
          <w:b/>
          <w:sz w:val="24"/>
        </w:rPr>
        <w:t>Indicateurs de performance</w:t>
      </w:r>
    </w:p>
    <w:p w14:paraId="171FF17F" w14:textId="77777777" w:rsidR="00832F98" w:rsidRPr="005107DF" w:rsidRDefault="00832F98" w:rsidP="002414D5">
      <w:pPr>
        <w:autoSpaceDE w:val="0"/>
        <w:autoSpaceDN w:val="0"/>
        <w:adjustRightInd w:val="0"/>
        <w:spacing w:before="120" w:after="120" w:line="240" w:lineRule="auto"/>
        <w:ind w:left="709"/>
        <w:jc w:val="both"/>
        <w:rPr>
          <w:rFonts w:ascii="Times New Roman" w:eastAsia="Times New Roman" w:hAnsi="Times New Roman" w:cs="Times New Roman"/>
          <w:b/>
          <w:bCs/>
          <w:sz w:val="24"/>
          <w:szCs w:val="24"/>
        </w:rPr>
      </w:pPr>
      <w:r>
        <w:rPr>
          <w:rFonts w:ascii="Times New Roman" w:hAnsi="Times New Roman"/>
          <w:sz w:val="24"/>
        </w:rPr>
        <w:t>Définition d’objectifs et d’indicateurs réalistes, vérifiables et spécifiques au projet, en complément du point </w:t>
      </w:r>
      <w:r w:rsidRPr="00452C1A">
        <w:rPr>
          <w:rFonts w:ascii="Times New Roman" w:hAnsi="Times New Roman"/>
          <w:sz w:val="24"/>
        </w:rPr>
        <w:t>9</w:t>
      </w:r>
      <w:r>
        <w:rPr>
          <w:rFonts w:ascii="Times New Roman" w:hAnsi="Times New Roman"/>
          <w:sz w:val="24"/>
        </w:rPr>
        <w:t>.</w:t>
      </w:r>
    </w:p>
    <w:p w14:paraId="3F80471D" w14:textId="77777777" w:rsidR="00832F98" w:rsidRPr="005107DF" w:rsidRDefault="00832F98" w:rsidP="007338F0">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52C1A">
        <w:rPr>
          <w:rFonts w:ascii="Times New Roman" w:hAnsi="Times New Roman"/>
          <w:b/>
          <w:sz w:val="24"/>
        </w:rPr>
        <w:t>11</w:t>
      </w:r>
      <w:r>
        <w:rPr>
          <w:rFonts w:ascii="Times New Roman" w:hAnsi="Times New Roman"/>
          <w:b/>
          <w:sz w:val="24"/>
        </w:rPr>
        <w:t xml:space="preserve">. </w:t>
      </w:r>
      <w:r>
        <w:tab/>
      </w:r>
      <w:r>
        <w:rPr>
          <w:rFonts w:ascii="Times New Roman" w:hAnsi="Times New Roman"/>
          <w:b/>
          <w:sz w:val="24"/>
        </w:rPr>
        <w:t>Infrastructures disponibles</w:t>
      </w:r>
    </w:p>
    <w:p w14:paraId="3735034B" w14:textId="77777777" w:rsidR="00832F98" w:rsidRPr="005107DF" w:rsidRDefault="00832F98" w:rsidP="002414D5">
      <w:pPr>
        <w:autoSpaceDE w:val="0"/>
        <w:autoSpaceDN w:val="0"/>
        <w:adjustRightInd w:val="0"/>
        <w:spacing w:after="0" w:line="240" w:lineRule="auto"/>
        <w:ind w:left="709"/>
        <w:jc w:val="both"/>
        <w:rPr>
          <w:rFonts w:ascii="Times New Roman" w:eastAsia="Times New Roman" w:hAnsi="Times New Roman" w:cs="Times New Roman"/>
          <w:bCs/>
          <w:sz w:val="24"/>
          <w:szCs w:val="24"/>
        </w:rPr>
      </w:pPr>
      <w:r>
        <w:rPr>
          <w:rFonts w:ascii="Times New Roman" w:hAnsi="Times New Roman"/>
          <w:sz w:val="24"/>
        </w:rPr>
        <w:t>Décrivez les infrastructures qui seront mises à disposition pour l’accueil des experts des États membres (notamment des salles de réunion, des espaces de bureaux, du matériel informatique et des logiciels, des dispositifs de sécurité) et les locaux disponibles pour les formations, séminaires et conférences.</w:t>
      </w:r>
    </w:p>
    <w:p w14:paraId="2AD5EE7F" w14:textId="623B141B" w:rsidR="00832F98" w:rsidRPr="005107DF" w:rsidRDefault="00832F98" w:rsidP="00A92DE1">
      <w:pPr>
        <w:autoSpaceDE w:val="0"/>
        <w:autoSpaceDN w:val="0"/>
        <w:adjustRightInd w:val="0"/>
        <w:spacing w:after="0" w:line="240" w:lineRule="auto"/>
        <w:jc w:val="both"/>
        <w:rPr>
          <w:rFonts w:ascii="Times New Roman" w:eastAsia="Times New Roman" w:hAnsi="Times New Roman" w:cs="Times New Roman"/>
          <w:bCs/>
          <w:sz w:val="24"/>
          <w:szCs w:val="24"/>
        </w:rPr>
      </w:pPr>
    </w:p>
    <w:p w14:paraId="6C2B4039" w14:textId="6F648464" w:rsidR="003E763F" w:rsidRDefault="003E763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14:paraId="7E37E357" w14:textId="77777777" w:rsidR="00832F98" w:rsidRPr="005107DF" w:rsidRDefault="00832F98" w:rsidP="00A92DE1">
      <w:pPr>
        <w:autoSpaceDE w:val="0"/>
        <w:autoSpaceDN w:val="0"/>
        <w:adjustRightInd w:val="0"/>
        <w:spacing w:after="0" w:line="240" w:lineRule="auto"/>
        <w:jc w:val="both"/>
        <w:rPr>
          <w:rFonts w:ascii="Times New Roman" w:eastAsia="Times New Roman" w:hAnsi="Times New Roman" w:cs="Times New Roman"/>
          <w:bCs/>
          <w:sz w:val="24"/>
          <w:szCs w:val="24"/>
        </w:rPr>
      </w:pPr>
    </w:p>
    <w:p w14:paraId="524BAC7D" w14:textId="77777777" w:rsidR="00832F98" w:rsidRPr="005107DF" w:rsidRDefault="00832F98" w:rsidP="00A92DE1">
      <w:pPr>
        <w:autoSpaceDE w:val="0"/>
        <w:autoSpaceDN w:val="0"/>
        <w:adjustRightInd w:val="0"/>
        <w:spacing w:before="120" w:after="0" w:line="240" w:lineRule="auto"/>
        <w:jc w:val="both"/>
        <w:rPr>
          <w:rFonts w:ascii="Times New Roman" w:eastAsia="Times New Roman" w:hAnsi="Times New Roman" w:cs="Times New Roman"/>
          <w:b/>
          <w:bCs/>
          <w:sz w:val="19"/>
          <w:szCs w:val="19"/>
        </w:rPr>
      </w:pPr>
      <w:r>
        <w:rPr>
          <w:rFonts w:ascii="Times New Roman" w:hAnsi="Times New Roman"/>
          <w:b/>
          <w:sz w:val="24"/>
        </w:rPr>
        <w:t>A</w:t>
      </w:r>
      <w:r>
        <w:rPr>
          <w:rFonts w:ascii="Times New Roman" w:hAnsi="Times New Roman"/>
          <w:b/>
          <w:sz w:val="19"/>
        </w:rPr>
        <w:t>NNEXES DE LA FICHE DE PROJET</w:t>
      </w:r>
    </w:p>
    <w:p w14:paraId="3C2512E6" w14:textId="77777777" w:rsidR="00832F98" w:rsidRPr="005107DF" w:rsidRDefault="00832F98" w:rsidP="00A92DE1">
      <w:pPr>
        <w:tabs>
          <w:tab w:val="left" w:pos="0"/>
        </w:tabs>
        <w:autoSpaceDE w:val="0"/>
        <w:autoSpaceDN w:val="0"/>
        <w:adjustRightInd w:val="0"/>
        <w:spacing w:before="120" w:after="0" w:line="240" w:lineRule="auto"/>
        <w:jc w:val="both"/>
        <w:rPr>
          <w:rFonts w:ascii="Times New Roman" w:eastAsia="Times New Roman" w:hAnsi="Times New Roman" w:cs="Times New Roman"/>
          <w:color w:val="FF0000"/>
          <w:sz w:val="24"/>
          <w:szCs w:val="24"/>
        </w:rPr>
      </w:pPr>
      <w:r w:rsidRPr="00452C1A">
        <w:rPr>
          <w:rFonts w:ascii="Times New Roman" w:hAnsi="Times New Roman"/>
          <w:sz w:val="24"/>
        </w:rPr>
        <w:t>1</w:t>
      </w:r>
      <w:r>
        <w:rPr>
          <w:rFonts w:ascii="Times New Roman" w:hAnsi="Times New Roman"/>
          <w:sz w:val="24"/>
        </w:rPr>
        <w:t xml:space="preserve">. </w:t>
      </w:r>
      <w:r>
        <w:tab/>
      </w:r>
      <w:r>
        <w:rPr>
          <w:rFonts w:ascii="Times New Roman" w:hAnsi="Times New Roman"/>
          <w:sz w:val="24"/>
        </w:rPr>
        <w:t>Matrice du cadre logique d’après l’annexe C</w:t>
      </w:r>
      <w:r w:rsidRPr="00452C1A">
        <w:rPr>
          <w:rFonts w:ascii="Times New Roman" w:hAnsi="Times New Roman"/>
          <w:sz w:val="24"/>
        </w:rPr>
        <w:t>1</w:t>
      </w:r>
      <w:r>
        <w:rPr>
          <w:rFonts w:ascii="Times New Roman" w:hAnsi="Times New Roman"/>
          <w:sz w:val="24"/>
        </w:rPr>
        <w:t>b (obligatoire)</w:t>
      </w:r>
    </w:p>
    <w:p w14:paraId="7552D313" w14:textId="77777777" w:rsidR="00832F98" w:rsidRPr="005107DF" w:rsidRDefault="00832F98"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rPr>
      </w:pPr>
      <w:r w:rsidRPr="00452C1A">
        <w:rPr>
          <w:rFonts w:ascii="Times New Roman" w:hAnsi="Times New Roman"/>
          <w:sz w:val="24"/>
        </w:rPr>
        <w:t>2</w:t>
      </w:r>
      <w:r>
        <w:rPr>
          <w:rFonts w:ascii="Times New Roman" w:hAnsi="Times New Roman"/>
          <w:sz w:val="24"/>
        </w:rPr>
        <w:t xml:space="preserve">. </w:t>
      </w:r>
      <w:r>
        <w:tab/>
      </w:r>
      <w:r>
        <w:rPr>
          <w:rFonts w:ascii="Times New Roman" w:hAnsi="Times New Roman"/>
          <w:sz w:val="24"/>
        </w:rPr>
        <w:t>Référence à des études de faisabilité/préfaisabilité. Pour tous les projets d’investissement, il est recommandé de joindre le résumé des évaluations économiques et financières et l’étude d’impact environnemental (facultatif)</w:t>
      </w:r>
    </w:p>
    <w:p w14:paraId="057871B9" w14:textId="77777777" w:rsidR="00832F98" w:rsidRPr="005107DF" w:rsidRDefault="00832F98"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 xml:space="preserve">. </w:t>
      </w:r>
      <w:r>
        <w:tab/>
      </w:r>
      <w:r>
        <w:rPr>
          <w:rFonts w:ascii="Times New Roman" w:hAnsi="Times New Roman"/>
          <w:sz w:val="24"/>
        </w:rPr>
        <w:t>Liste des lois et règlements applicables (facultatif)</w:t>
      </w:r>
    </w:p>
    <w:p w14:paraId="78AF7662" w14:textId="77777777" w:rsidR="00832F98" w:rsidRPr="005107DF" w:rsidRDefault="00832F98"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rPr>
      </w:pPr>
      <w:r w:rsidRPr="00452C1A">
        <w:rPr>
          <w:rFonts w:ascii="Times New Roman" w:hAnsi="Times New Roman"/>
          <w:sz w:val="24"/>
        </w:rPr>
        <w:t>4</w:t>
      </w:r>
      <w:r>
        <w:rPr>
          <w:rFonts w:ascii="Times New Roman" w:hAnsi="Times New Roman"/>
          <w:sz w:val="24"/>
        </w:rPr>
        <w:t xml:space="preserve">. </w:t>
      </w:r>
      <w:r>
        <w:tab/>
      </w:r>
      <w:r>
        <w:rPr>
          <w:rFonts w:ascii="Times New Roman" w:hAnsi="Times New Roman"/>
          <w:sz w:val="24"/>
        </w:rPr>
        <w:t>Référence aux plans et aux études stratégiques du gouvernement (plan de développement institutionnel, plans d’activités, études de secteur, etc.) (facultatif)</w:t>
      </w:r>
    </w:p>
    <w:p w14:paraId="7E5D85EF" w14:textId="77777777" w:rsidR="00832F98" w:rsidRPr="005107DF" w:rsidRDefault="00832F98"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5</w:t>
      </w:r>
      <w:r>
        <w:rPr>
          <w:rFonts w:ascii="Times New Roman" w:hAnsi="Times New Roman"/>
          <w:sz w:val="24"/>
        </w:rPr>
        <w:t xml:space="preserve">. </w:t>
      </w:r>
      <w:r>
        <w:tab/>
      </w:r>
      <w:r>
        <w:rPr>
          <w:rFonts w:ascii="Times New Roman" w:hAnsi="Times New Roman"/>
          <w:sz w:val="24"/>
        </w:rPr>
        <w:t>Cartographie des interventions connexes mises en œuvre par le gouvernement et/ou d’autres acteurs (le cas échéant)</w:t>
      </w:r>
    </w:p>
    <w:p w14:paraId="64E8173C" w14:textId="77777777" w:rsidR="00832F98" w:rsidRPr="005107DF" w:rsidRDefault="00832F98"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6</w:t>
      </w:r>
      <w:r>
        <w:rPr>
          <w:rFonts w:ascii="Times New Roman" w:hAnsi="Times New Roman"/>
          <w:sz w:val="24"/>
        </w:rPr>
        <w:t xml:space="preserve">. </w:t>
      </w:r>
      <w:r>
        <w:tab/>
      </w:r>
      <w:r>
        <w:rPr>
          <w:rFonts w:ascii="Times New Roman" w:hAnsi="Times New Roman"/>
          <w:sz w:val="24"/>
        </w:rPr>
        <w:t>Cadre existant de coordination des donateurs (le cas échéant)</w:t>
      </w:r>
    </w:p>
    <w:p w14:paraId="36D04AEA" w14:textId="77777777" w:rsidR="00832F98" w:rsidRPr="005107DF" w:rsidRDefault="00832F98"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7</w:t>
      </w:r>
      <w:r>
        <w:rPr>
          <w:rFonts w:ascii="Times New Roman" w:hAnsi="Times New Roman"/>
          <w:sz w:val="24"/>
        </w:rPr>
        <w:t xml:space="preserve">. </w:t>
      </w:r>
      <w:r>
        <w:tab/>
      </w:r>
      <w:r>
        <w:rPr>
          <w:rFonts w:ascii="Times New Roman" w:hAnsi="Times New Roman"/>
          <w:sz w:val="24"/>
        </w:rPr>
        <w:t>Cadre de suivi du projet/du secteur (le cas échéant)</w:t>
      </w:r>
    </w:p>
    <w:p w14:paraId="6FD6BEFC" w14:textId="77777777" w:rsidR="00832F98" w:rsidRPr="005107DF" w:rsidRDefault="00832F98"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rPr>
      </w:pPr>
      <w:r w:rsidRPr="00452C1A">
        <w:rPr>
          <w:rFonts w:ascii="Times New Roman" w:hAnsi="Times New Roman"/>
          <w:sz w:val="24"/>
        </w:rPr>
        <w:t>8</w:t>
      </w:r>
      <w:r>
        <w:rPr>
          <w:rFonts w:ascii="Times New Roman" w:hAnsi="Times New Roman"/>
          <w:sz w:val="24"/>
        </w:rPr>
        <w:t xml:space="preserve">. </w:t>
      </w:r>
      <w:r>
        <w:tab/>
      </w:r>
      <w:r>
        <w:rPr>
          <w:rFonts w:ascii="Times New Roman" w:hAnsi="Times New Roman"/>
          <w:sz w:val="24"/>
        </w:rPr>
        <w:t>Rapports d’évaluation sectorielle (le cas échéant) de toutes sortes, y compris les rapports d’autres organisations internationales (SIGMA, FMI, etc.) accessibles au public</w:t>
      </w:r>
    </w:p>
    <w:p w14:paraId="1C69AA6F" w14:textId="77777777" w:rsidR="00832F98" w:rsidRPr="005107DF" w:rsidRDefault="00832F98" w:rsidP="003D581C">
      <w:pPr>
        <w:tabs>
          <w:tab w:val="left" w:pos="0"/>
        </w:tabs>
        <w:autoSpaceDE w:val="0"/>
        <w:autoSpaceDN w:val="0"/>
        <w:adjustRightInd w:val="0"/>
        <w:spacing w:before="120" w:after="0" w:line="240" w:lineRule="auto"/>
        <w:ind w:left="720" w:hanging="720"/>
        <w:jc w:val="both"/>
        <w:rPr>
          <w:rFonts w:ascii="Times New Roman" w:hAnsi="Times New Roman" w:cs="Times New Roman"/>
          <w:sz w:val="24"/>
          <w:szCs w:val="24"/>
        </w:rPr>
      </w:pPr>
      <w:r w:rsidRPr="00452C1A">
        <w:rPr>
          <w:rFonts w:ascii="Times New Roman" w:hAnsi="Times New Roman"/>
          <w:sz w:val="24"/>
        </w:rPr>
        <w:t>9</w:t>
      </w:r>
      <w:r>
        <w:rPr>
          <w:rFonts w:ascii="Times New Roman" w:hAnsi="Times New Roman"/>
          <w:sz w:val="24"/>
        </w:rPr>
        <w:t xml:space="preserve">. </w:t>
      </w:r>
      <w:r>
        <w:tab/>
      </w:r>
      <w:r>
        <w:rPr>
          <w:rFonts w:ascii="Times New Roman" w:hAnsi="Times New Roman"/>
          <w:sz w:val="24"/>
        </w:rPr>
        <w:t>Conclusions/accords conclus entre l’UE et le bénéficiaire à la suite du dialogue politique présentant un intérêt pour le projet/secteur et accessibles au public</w:t>
      </w:r>
    </w:p>
    <w:p w14:paraId="1CBC128F" w14:textId="77777777" w:rsidR="00832F98" w:rsidRPr="005107DF" w:rsidRDefault="00832F98" w:rsidP="00A92DE1">
      <w:pPr>
        <w:pStyle w:val="BodyText"/>
        <w:rPr>
          <w:rFonts w:ascii="Times New Roman" w:hAnsi="Times New Roman"/>
          <w:sz w:val="24"/>
          <w:szCs w:val="24"/>
        </w:rPr>
      </w:pPr>
    </w:p>
    <w:p w14:paraId="7620AE32" w14:textId="77777777" w:rsidR="00832F98" w:rsidRPr="005107DF" w:rsidRDefault="00832F98">
      <w:pPr>
        <w:rPr>
          <w:rFonts w:ascii="Times New Roman" w:hAnsi="Times New Roman" w:cs="Times New Roman"/>
          <w:sz w:val="24"/>
          <w:szCs w:val="24"/>
        </w:rPr>
      </w:pPr>
      <w:r>
        <w:br w:type="page"/>
      </w:r>
    </w:p>
    <w:p w14:paraId="5EC7A17C" w14:textId="77777777" w:rsidR="00832F98" w:rsidRPr="005107DF" w:rsidRDefault="00832F98" w:rsidP="00C20B22">
      <w:pPr>
        <w:pStyle w:val="Heading2"/>
        <w:pBdr>
          <w:top w:val="single" w:sz="4" w:space="1" w:color="auto"/>
          <w:left w:val="single" w:sz="4" w:space="4" w:color="auto"/>
          <w:bottom w:val="single" w:sz="4" w:space="1" w:color="auto"/>
          <w:right w:val="single" w:sz="4" w:space="4" w:color="auto"/>
        </w:pBdr>
        <w:rPr>
          <w:sz w:val="32"/>
          <w:szCs w:val="32"/>
        </w:rPr>
      </w:pPr>
      <w:bookmarkStart w:id="1328" w:name="_Toc517434476"/>
      <w:bookmarkStart w:id="1329" w:name="_Toc2861043"/>
      <w:r>
        <w:rPr>
          <w:sz w:val="32"/>
        </w:rPr>
        <w:lastRenderedPageBreak/>
        <w:t>ANNEXE C</w:t>
      </w:r>
      <w:r w:rsidRPr="00452C1A">
        <w:rPr>
          <w:sz w:val="32"/>
        </w:rPr>
        <w:t>1</w:t>
      </w:r>
      <w:r>
        <w:rPr>
          <w:sz w:val="32"/>
        </w:rPr>
        <w:t>b: Niveaux d’une logique d’intervention - Jumelage léger</w:t>
      </w:r>
      <w:bookmarkEnd w:id="1328"/>
      <w:bookmarkEnd w:id="1329"/>
    </w:p>
    <w:p w14:paraId="2B8AEC7D" w14:textId="77777777" w:rsidR="00832F98" w:rsidRPr="005107DF" w:rsidRDefault="00832F98" w:rsidP="00C20B22">
      <w:pPr>
        <w:rPr>
          <w:rFonts w:ascii="Times New Roman" w:hAnsi="Times New Roman" w:cs="Times New Roman"/>
        </w:rPr>
      </w:pPr>
    </w:p>
    <w:p w14:paraId="0B9F341B" w14:textId="77777777" w:rsidR="00832F98" w:rsidRPr="005107DF" w:rsidRDefault="00832F98" w:rsidP="00C20B22">
      <w:pPr>
        <w:rPr>
          <w:rFonts w:ascii="Times New Roman" w:hAnsi="Times New Roman" w:cs="Times New Roman"/>
        </w:rPr>
        <w:sectPr w:rsidR="00832F98" w:rsidRPr="005107DF" w:rsidSect="0019382C">
          <w:footnotePr>
            <w:numRestart w:val="eachSect"/>
          </w:footnotePr>
          <w:pgSz w:w="11907" w:h="16840" w:code="9"/>
          <w:pgMar w:top="1418" w:right="1417" w:bottom="851" w:left="1418" w:header="567" w:footer="567" w:gutter="0"/>
          <w:cols w:space="720"/>
          <w:docGrid w:linePitch="326"/>
        </w:sectPr>
      </w:pPr>
      <w:r>
        <w:rPr>
          <w:rFonts w:ascii="Times New Roman" w:hAnsi="Times New Roman" w:cs="Times New Roman"/>
          <w:noProof/>
          <w:lang w:val="en-GB" w:eastAsia="en-GB" w:bidi="ar-SA"/>
        </w:rPr>
        <w:drawing>
          <wp:inline distT="0" distB="0" distL="0" distR="0" wp14:anchorId="1784CB77" wp14:editId="5C7E4A7A">
            <wp:extent cx="5844746" cy="7596606"/>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7505" cy="7600192"/>
                    </a:xfrm>
                    <a:prstGeom prst="rect">
                      <a:avLst/>
                    </a:prstGeom>
                    <a:noFill/>
                  </pic:spPr>
                </pic:pic>
              </a:graphicData>
            </a:graphic>
          </wp:inline>
        </w:drawing>
      </w:r>
    </w:p>
    <w:p w14:paraId="759EA83A" w14:textId="77777777" w:rsidR="00832F98" w:rsidRPr="005107DF" w:rsidRDefault="00832F98" w:rsidP="00C20B22">
      <w:pPr>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lastRenderedPageBreak/>
        <w:t xml:space="preserve">Cadre logique </w:t>
      </w:r>
    </w:p>
    <w:p w14:paraId="62A8B0A7" w14:textId="77777777" w:rsidR="00832F98" w:rsidRPr="005107DF" w:rsidRDefault="00832F98" w:rsidP="00C20B22">
      <w:pPr>
        <w:spacing w:after="0" w:line="240" w:lineRule="auto"/>
        <w:rPr>
          <w:rFonts w:ascii="Times New Roman" w:eastAsia="Times New Roman" w:hAnsi="Times New Roman" w:cs="Times New Roman"/>
          <w:b/>
          <w:color w:val="000000"/>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7"/>
        <w:gridCol w:w="1403"/>
        <w:gridCol w:w="1480"/>
        <w:gridCol w:w="1391"/>
        <w:gridCol w:w="1391"/>
        <w:gridCol w:w="1526"/>
      </w:tblGrid>
      <w:tr w:rsidR="00832F98" w:rsidRPr="005107DF" w14:paraId="326FE4CE" w14:textId="77777777" w:rsidTr="00933DE5">
        <w:tc>
          <w:tcPr>
            <w:tcW w:w="874" w:type="pct"/>
          </w:tcPr>
          <w:p w14:paraId="7C8DF2F8" w14:textId="77777777" w:rsidR="00832F98" w:rsidRPr="005107DF" w:rsidRDefault="00832F98" w:rsidP="00933DE5">
            <w:pPr>
              <w:spacing w:after="0" w:line="240" w:lineRule="auto"/>
              <w:jc w:val="center"/>
              <w:rPr>
                <w:rFonts w:ascii="Times New Roman" w:eastAsia="Times New Roman" w:hAnsi="Times New Roman" w:cs="Times New Roman"/>
                <w:color w:val="000000"/>
                <w:sz w:val="24"/>
                <w:szCs w:val="24"/>
              </w:rPr>
            </w:pPr>
          </w:p>
        </w:tc>
        <w:tc>
          <w:tcPr>
            <w:tcW w:w="781" w:type="pct"/>
            <w:shd w:val="pct10" w:color="auto" w:fill="FFFFFF"/>
            <w:vAlign w:val="center"/>
          </w:tcPr>
          <w:p w14:paraId="6CAF2168" w14:textId="77777777" w:rsidR="00832F98" w:rsidRPr="005107DF" w:rsidRDefault="00832F98" w:rsidP="00933DE5">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Description</w:t>
            </w:r>
          </w:p>
        </w:tc>
        <w:tc>
          <w:tcPr>
            <w:tcW w:w="873" w:type="pct"/>
            <w:shd w:val="pct10" w:color="auto" w:fill="FFFFFF"/>
            <w:vAlign w:val="center"/>
          </w:tcPr>
          <w:p w14:paraId="15A182CD" w14:textId="77777777" w:rsidR="00832F98" w:rsidRPr="005107DF" w:rsidRDefault="00832F98" w:rsidP="00933DE5">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Indicateurs (avec niveau de référence et données cibles pertinents)</w:t>
            </w:r>
          </w:p>
        </w:tc>
        <w:tc>
          <w:tcPr>
            <w:tcW w:w="800" w:type="pct"/>
            <w:shd w:val="pct10" w:color="auto" w:fill="FFFFFF"/>
            <w:vAlign w:val="center"/>
          </w:tcPr>
          <w:p w14:paraId="7023BB3A" w14:textId="77777777" w:rsidR="00832F98" w:rsidRPr="005107DF" w:rsidRDefault="00832F98" w:rsidP="00933DE5">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Sources de vérification</w:t>
            </w:r>
          </w:p>
        </w:tc>
        <w:tc>
          <w:tcPr>
            <w:tcW w:w="800" w:type="pct"/>
            <w:shd w:val="pct10" w:color="auto" w:fill="FFFFFF"/>
          </w:tcPr>
          <w:p w14:paraId="25D28839" w14:textId="77777777" w:rsidR="00832F98" w:rsidRPr="005107DF" w:rsidRDefault="00832F98" w:rsidP="00933DE5">
            <w:pPr>
              <w:spacing w:after="0" w:line="240" w:lineRule="auto"/>
              <w:jc w:val="center"/>
              <w:rPr>
                <w:rFonts w:ascii="Times New Roman" w:eastAsia="Times New Roman" w:hAnsi="Times New Roman" w:cs="Times New Roman"/>
                <w:b/>
                <w:color w:val="000000"/>
                <w:sz w:val="24"/>
                <w:szCs w:val="24"/>
              </w:rPr>
            </w:pPr>
          </w:p>
          <w:p w14:paraId="18C0B8C5" w14:textId="77777777" w:rsidR="00832F98" w:rsidRPr="005107DF" w:rsidRDefault="00832F98" w:rsidP="00933DE5">
            <w:pPr>
              <w:spacing w:after="0" w:line="240" w:lineRule="auto"/>
              <w:jc w:val="center"/>
              <w:rPr>
                <w:rFonts w:ascii="Times New Roman" w:eastAsia="Times New Roman" w:hAnsi="Times New Roman" w:cs="Times New Roman"/>
                <w:b/>
                <w:color w:val="000000"/>
                <w:sz w:val="24"/>
                <w:szCs w:val="24"/>
              </w:rPr>
            </w:pPr>
          </w:p>
          <w:p w14:paraId="347D0AAD" w14:textId="77777777" w:rsidR="00832F98" w:rsidRPr="005107DF" w:rsidRDefault="00832F98" w:rsidP="00933DE5">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Risques</w:t>
            </w:r>
          </w:p>
        </w:tc>
        <w:tc>
          <w:tcPr>
            <w:tcW w:w="873" w:type="pct"/>
            <w:tcBorders>
              <w:bottom w:val="single" w:sz="4" w:space="0" w:color="auto"/>
            </w:tcBorders>
            <w:shd w:val="pct10" w:color="auto" w:fill="FFFFFF"/>
            <w:vAlign w:val="center"/>
          </w:tcPr>
          <w:p w14:paraId="3C0F4FA9" w14:textId="77777777" w:rsidR="00832F98" w:rsidRPr="005107DF" w:rsidRDefault="00832F98" w:rsidP="00933DE5">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Hypothèses (facteurs externes au projet)</w:t>
            </w:r>
          </w:p>
        </w:tc>
      </w:tr>
      <w:tr w:rsidR="00832F98" w:rsidRPr="005107DF" w14:paraId="0BCA9088" w14:textId="77777777" w:rsidTr="00933DE5">
        <w:trPr>
          <w:cantSplit/>
          <w:trHeight w:val="1054"/>
        </w:trPr>
        <w:tc>
          <w:tcPr>
            <w:tcW w:w="874" w:type="pct"/>
            <w:vAlign w:val="center"/>
          </w:tcPr>
          <w:p w14:paraId="09A98795" w14:textId="77777777" w:rsidR="00832F98" w:rsidRPr="005107DF" w:rsidRDefault="00832F98" w:rsidP="00933DE5">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Objectif général</w:t>
            </w:r>
          </w:p>
        </w:tc>
        <w:tc>
          <w:tcPr>
            <w:tcW w:w="781" w:type="pct"/>
          </w:tcPr>
          <w:p w14:paraId="47C32350"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tc>
        <w:tc>
          <w:tcPr>
            <w:tcW w:w="873" w:type="pct"/>
          </w:tcPr>
          <w:p w14:paraId="242E9925"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p w14:paraId="2AB5D531"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tc>
        <w:tc>
          <w:tcPr>
            <w:tcW w:w="800" w:type="pct"/>
          </w:tcPr>
          <w:p w14:paraId="1CC08DD9"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p w14:paraId="220E7787"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 xml:space="preserve"> </w:t>
            </w:r>
          </w:p>
        </w:tc>
        <w:tc>
          <w:tcPr>
            <w:tcW w:w="800" w:type="pct"/>
            <w:shd w:val="clear" w:color="auto" w:fill="auto"/>
          </w:tcPr>
          <w:p w14:paraId="200C4AA4"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tc>
        <w:tc>
          <w:tcPr>
            <w:tcW w:w="873" w:type="pct"/>
            <w:shd w:val="clear" w:color="auto" w:fill="FFFFFF"/>
          </w:tcPr>
          <w:p w14:paraId="12982BD4" w14:textId="77777777" w:rsidR="00832F98" w:rsidRPr="005107DF" w:rsidRDefault="00832F98" w:rsidP="00933DE5">
            <w:pPr>
              <w:spacing w:after="0" w:line="240" w:lineRule="auto"/>
              <w:rPr>
                <w:rFonts w:ascii="Times New Roman" w:eastAsia="Times New Roman" w:hAnsi="Times New Roman" w:cs="Times New Roman"/>
                <w:color w:val="000000"/>
                <w:sz w:val="24"/>
                <w:szCs w:val="24"/>
              </w:rPr>
            </w:pPr>
          </w:p>
          <w:p w14:paraId="72D62AF8" w14:textId="77777777" w:rsidR="00832F98" w:rsidRPr="005107DF" w:rsidRDefault="00832F98" w:rsidP="00933DE5">
            <w:pPr>
              <w:spacing w:after="0" w:line="240" w:lineRule="auto"/>
              <w:rPr>
                <w:rFonts w:ascii="Times New Roman" w:eastAsia="Times New Roman" w:hAnsi="Times New Roman" w:cs="Times New Roman"/>
                <w:sz w:val="24"/>
                <w:szCs w:val="24"/>
              </w:rPr>
            </w:pPr>
          </w:p>
          <w:p w14:paraId="1D3B6CD3" w14:textId="77777777" w:rsidR="00832F98" w:rsidRPr="005107DF" w:rsidRDefault="00832F98" w:rsidP="00933DE5">
            <w:pPr>
              <w:spacing w:after="0" w:line="240" w:lineRule="auto"/>
              <w:jc w:val="center"/>
              <w:rPr>
                <w:rFonts w:ascii="Times New Roman" w:eastAsia="Times New Roman" w:hAnsi="Times New Roman" w:cs="Times New Roman"/>
                <w:sz w:val="24"/>
                <w:szCs w:val="24"/>
              </w:rPr>
            </w:pPr>
          </w:p>
        </w:tc>
      </w:tr>
      <w:tr w:rsidR="00832F98" w:rsidRPr="005107DF" w14:paraId="7E90A7C5" w14:textId="77777777" w:rsidTr="00933DE5">
        <w:trPr>
          <w:cantSplit/>
          <w:trHeight w:val="1126"/>
        </w:trPr>
        <w:tc>
          <w:tcPr>
            <w:tcW w:w="874" w:type="pct"/>
            <w:vAlign w:val="center"/>
          </w:tcPr>
          <w:p w14:paraId="75175585" w14:textId="77777777" w:rsidR="00832F98" w:rsidRPr="005107DF" w:rsidRDefault="00832F98" w:rsidP="00933DE5">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Objectif(s) spécifique(s) (du projet)</w:t>
            </w:r>
          </w:p>
        </w:tc>
        <w:tc>
          <w:tcPr>
            <w:tcW w:w="781" w:type="pct"/>
          </w:tcPr>
          <w:p w14:paraId="1B38BE4A"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tc>
        <w:tc>
          <w:tcPr>
            <w:tcW w:w="873" w:type="pct"/>
          </w:tcPr>
          <w:p w14:paraId="6AE8D0CE"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tc>
        <w:tc>
          <w:tcPr>
            <w:tcW w:w="800" w:type="pct"/>
          </w:tcPr>
          <w:p w14:paraId="009F6A52" w14:textId="77777777" w:rsidR="00832F98" w:rsidRPr="005107DF" w:rsidRDefault="00832F98" w:rsidP="00933DE5">
            <w:pPr>
              <w:spacing w:after="0" w:line="240" w:lineRule="auto"/>
              <w:rPr>
                <w:rFonts w:ascii="Times New Roman" w:eastAsia="Times New Roman" w:hAnsi="Times New Roman" w:cs="Times New Roman"/>
                <w:color w:val="000000"/>
                <w:sz w:val="24"/>
                <w:szCs w:val="24"/>
              </w:rPr>
            </w:pPr>
          </w:p>
        </w:tc>
        <w:tc>
          <w:tcPr>
            <w:tcW w:w="800" w:type="pct"/>
          </w:tcPr>
          <w:p w14:paraId="7EBE8C73"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tc>
        <w:tc>
          <w:tcPr>
            <w:tcW w:w="873" w:type="pct"/>
          </w:tcPr>
          <w:p w14:paraId="6F1F0E9D"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p w14:paraId="15808590"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tc>
      </w:tr>
      <w:tr w:rsidR="00832F98" w:rsidRPr="005107DF" w14:paraId="4EFEAA7C" w14:textId="77777777" w:rsidTr="00933DE5">
        <w:trPr>
          <w:cantSplit/>
          <w:trHeight w:val="1114"/>
        </w:trPr>
        <w:tc>
          <w:tcPr>
            <w:tcW w:w="874" w:type="pct"/>
            <w:vAlign w:val="center"/>
          </w:tcPr>
          <w:p w14:paraId="0E813531" w14:textId="77777777" w:rsidR="00832F98" w:rsidRPr="005107DF" w:rsidRDefault="00832F98" w:rsidP="00933DE5">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Résultats/produits obligatoires par volet</w:t>
            </w:r>
          </w:p>
        </w:tc>
        <w:tc>
          <w:tcPr>
            <w:tcW w:w="781" w:type="pct"/>
          </w:tcPr>
          <w:p w14:paraId="0DE25FC3"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tc>
        <w:tc>
          <w:tcPr>
            <w:tcW w:w="873" w:type="pct"/>
          </w:tcPr>
          <w:p w14:paraId="40806FD7" w14:textId="77777777" w:rsidR="00832F98" w:rsidRPr="005107DF" w:rsidRDefault="00832F98" w:rsidP="00933DE5">
            <w:pPr>
              <w:spacing w:after="0" w:line="240" w:lineRule="auto"/>
              <w:rPr>
                <w:rFonts w:ascii="Times New Roman" w:eastAsia="Times New Roman" w:hAnsi="Times New Roman" w:cs="Times New Roman"/>
                <w:color w:val="000000"/>
                <w:sz w:val="24"/>
                <w:szCs w:val="24"/>
              </w:rPr>
            </w:pPr>
          </w:p>
        </w:tc>
        <w:tc>
          <w:tcPr>
            <w:tcW w:w="800" w:type="pct"/>
          </w:tcPr>
          <w:p w14:paraId="1A4F6732" w14:textId="77777777" w:rsidR="00832F98" w:rsidRPr="005107DF" w:rsidRDefault="00832F98" w:rsidP="00933DE5">
            <w:pPr>
              <w:spacing w:after="0" w:line="240" w:lineRule="auto"/>
              <w:rPr>
                <w:rFonts w:ascii="Times New Roman" w:eastAsia="Times New Roman" w:hAnsi="Times New Roman" w:cs="Times New Roman"/>
                <w:color w:val="000000"/>
                <w:sz w:val="24"/>
                <w:szCs w:val="24"/>
              </w:rPr>
            </w:pPr>
          </w:p>
        </w:tc>
        <w:tc>
          <w:tcPr>
            <w:tcW w:w="800" w:type="pct"/>
          </w:tcPr>
          <w:p w14:paraId="7336A5B4" w14:textId="77777777" w:rsidR="00832F98" w:rsidRPr="005107DF" w:rsidRDefault="00832F98" w:rsidP="00933DE5">
            <w:pPr>
              <w:spacing w:after="0" w:line="240" w:lineRule="auto"/>
              <w:rPr>
                <w:rFonts w:ascii="Times New Roman" w:eastAsia="Times New Roman" w:hAnsi="Times New Roman" w:cs="Times New Roman"/>
                <w:color w:val="000000"/>
                <w:sz w:val="24"/>
                <w:szCs w:val="24"/>
              </w:rPr>
            </w:pPr>
          </w:p>
        </w:tc>
        <w:tc>
          <w:tcPr>
            <w:tcW w:w="873" w:type="pct"/>
          </w:tcPr>
          <w:p w14:paraId="127FE19B" w14:textId="77777777" w:rsidR="00832F98" w:rsidRPr="005107DF" w:rsidRDefault="00832F98" w:rsidP="00933DE5">
            <w:pPr>
              <w:spacing w:after="0" w:line="240" w:lineRule="auto"/>
              <w:rPr>
                <w:rFonts w:ascii="Times New Roman" w:eastAsia="Times New Roman" w:hAnsi="Times New Roman" w:cs="Times New Roman"/>
                <w:color w:val="000000"/>
                <w:sz w:val="24"/>
                <w:szCs w:val="24"/>
              </w:rPr>
            </w:pPr>
          </w:p>
        </w:tc>
      </w:tr>
      <w:tr w:rsidR="00832F98" w:rsidRPr="005107DF" w14:paraId="430FED18" w14:textId="77777777" w:rsidTr="00933DE5">
        <w:trPr>
          <w:cantSplit/>
          <w:trHeight w:val="1114"/>
        </w:trPr>
        <w:tc>
          <w:tcPr>
            <w:tcW w:w="874" w:type="pct"/>
            <w:vAlign w:val="center"/>
          </w:tcPr>
          <w:p w14:paraId="1ADF3336" w14:textId="77777777" w:rsidR="00832F98" w:rsidRPr="005107DF" w:rsidDel="00CA0EDA" w:rsidRDefault="00832F98" w:rsidP="00933DE5">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Activités</w:t>
            </w:r>
          </w:p>
        </w:tc>
        <w:tc>
          <w:tcPr>
            <w:tcW w:w="781" w:type="pct"/>
          </w:tcPr>
          <w:p w14:paraId="7FBC6220"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tc>
        <w:tc>
          <w:tcPr>
            <w:tcW w:w="873" w:type="pct"/>
          </w:tcPr>
          <w:p w14:paraId="790D58B6" w14:textId="77777777" w:rsidR="00832F98" w:rsidRPr="005107DF" w:rsidRDefault="00832F98" w:rsidP="00933DE5">
            <w:pPr>
              <w:spacing w:after="0" w:line="240" w:lineRule="auto"/>
              <w:rPr>
                <w:rFonts w:ascii="Times New Roman" w:eastAsia="Times New Roman" w:hAnsi="Times New Roman" w:cs="Times New Roman"/>
                <w:color w:val="000000"/>
                <w:sz w:val="24"/>
                <w:szCs w:val="24"/>
              </w:rPr>
            </w:pPr>
          </w:p>
        </w:tc>
        <w:tc>
          <w:tcPr>
            <w:tcW w:w="800" w:type="pct"/>
          </w:tcPr>
          <w:p w14:paraId="10113E53" w14:textId="77777777" w:rsidR="00832F98" w:rsidRPr="005107DF" w:rsidRDefault="00832F98" w:rsidP="00933DE5">
            <w:pPr>
              <w:spacing w:after="0" w:line="240" w:lineRule="auto"/>
              <w:rPr>
                <w:rFonts w:ascii="Times New Roman" w:eastAsia="Times New Roman" w:hAnsi="Times New Roman" w:cs="Times New Roman"/>
                <w:color w:val="000000"/>
                <w:sz w:val="24"/>
                <w:szCs w:val="24"/>
              </w:rPr>
            </w:pPr>
          </w:p>
        </w:tc>
        <w:tc>
          <w:tcPr>
            <w:tcW w:w="800" w:type="pct"/>
          </w:tcPr>
          <w:p w14:paraId="0090A18A" w14:textId="77777777" w:rsidR="00832F98" w:rsidRPr="005107DF" w:rsidRDefault="00832F98" w:rsidP="00933DE5">
            <w:pPr>
              <w:spacing w:after="0" w:line="240" w:lineRule="auto"/>
              <w:rPr>
                <w:rFonts w:ascii="Times New Roman" w:eastAsia="Times New Roman" w:hAnsi="Times New Roman" w:cs="Times New Roman"/>
                <w:color w:val="000000"/>
                <w:sz w:val="24"/>
                <w:szCs w:val="24"/>
              </w:rPr>
            </w:pPr>
          </w:p>
        </w:tc>
        <w:tc>
          <w:tcPr>
            <w:tcW w:w="873" w:type="pct"/>
          </w:tcPr>
          <w:p w14:paraId="4791E521" w14:textId="77777777" w:rsidR="00832F98" w:rsidRPr="005107DF" w:rsidRDefault="00832F98" w:rsidP="00933DE5">
            <w:pPr>
              <w:spacing w:after="0" w:line="240" w:lineRule="auto"/>
              <w:rPr>
                <w:rFonts w:ascii="Times New Roman" w:eastAsia="Times New Roman" w:hAnsi="Times New Roman" w:cs="Times New Roman"/>
                <w:color w:val="000000"/>
                <w:sz w:val="24"/>
                <w:szCs w:val="24"/>
              </w:rPr>
            </w:pPr>
          </w:p>
        </w:tc>
      </w:tr>
    </w:tbl>
    <w:p w14:paraId="5507894F"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p>
    <w:p w14:paraId="1D2B8281"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OBJECTIF GÉNÉRAL: indiquer l’objectif stratégique général qui dépasse le cadre immédiat du projet, mais auquel celui-ci peut contribuer. L’objectif général devrait être en rapport avec la réforme sectorielle générale dans le pays bénéficiaire, comme convenu dans le cadre de la définition de la coopération avec l’UE.</w:t>
      </w:r>
    </w:p>
    <w:p w14:paraId="293A4A6F"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p>
    <w:p w14:paraId="3C464750"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Il s’agit des changements qu’apporteront les interventions de tous les acteurs et parties prenantes du projet au niveau du contexte politique, social, économique et environnemental mondial. Ces changements nécessitent la participation de tierces parties qui n’étaient pas des bénéficiaires directs de l’intervention. Ils sont donc indirectement influencés par l’intervention de l’UE.</w:t>
      </w:r>
    </w:p>
    <w:p w14:paraId="6F2A8A5F"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p>
    <w:p w14:paraId="4E0B5533"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OBJECTIF(S) spécifique(s) DU PROJET: définir le ou les objectifs spécifiques qui seront atteints grâce à la mise en œuvre du projet de jumelage. Il s’agit des effets du projet sur les domaines politiques, sociaux, économiques et environnementaux ciblés par l’intervention de l’UE ainsi que des modifications des comportements des bénéficiaires de l’intervention de l’UE. </w:t>
      </w:r>
    </w:p>
    <w:p w14:paraId="23D05494"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p>
    <w:p w14:paraId="0A497D72" w14:textId="77777777" w:rsidR="00832F98" w:rsidRPr="005107DF" w:rsidRDefault="00832F98" w:rsidP="00C20B22">
      <w:pPr>
        <w:spacing w:after="0" w:line="240" w:lineRule="auto"/>
        <w:jc w:val="both"/>
        <w:rPr>
          <w:rFonts w:ascii="Times New Roman" w:eastAsia="Times New Roman" w:hAnsi="Times New Roman" w:cs="Times New Roman"/>
          <w:bCs/>
          <w:i/>
          <w:sz w:val="20"/>
          <w:szCs w:val="20"/>
        </w:rPr>
      </w:pPr>
      <w:r>
        <w:rPr>
          <w:rFonts w:ascii="Times New Roman" w:hAnsi="Times New Roman"/>
          <w:i/>
          <w:color w:val="000000"/>
          <w:sz w:val="24"/>
        </w:rPr>
        <w:t>RÉSULTATS/PRODUITS OBLIGATOIRES: décrire chaque résultat que le projet doit atteindre, comme décrit dans la fiche de jumelage. Chaque résultat/produit obligatoire doit correspondre à un «volet du projet». Veuillez utiliser une ligne par volet.</w:t>
      </w:r>
      <w:r>
        <w:rPr>
          <w:rFonts w:ascii="Times New Roman" w:hAnsi="Times New Roman"/>
          <w:i/>
          <w:sz w:val="20"/>
        </w:rPr>
        <w:t xml:space="preserve"> </w:t>
      </w:r>
    </w:p>
    <w:p w14:paraId="405E436C"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p>
    <w:p w14:paraId="7B4D6B3C"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INDICATEURS: (avec niveau de référence et données cibles pertinents): donner une indication de la manière dont la réalisation de chaque volet des résultats obligatoires [sous-résultats par volet, résultats (objectifs spécifiques) et impact (objectif général)] sera mesurée. Veiller à ce que les indicateurs définissent les éléments suivants, le cas échéant: </w:t>
      </w:r>
      <w:r w:rsidRPr="00452C1A">
        <w:rPr>
          <w:rFonts w:ascii="Times New Roman" w:hAnsi="Times New Roman"/>
          <w:i/>
          <w:color w:val="000000"/>
          <w:sz w:val="24"/>
        </w:rPr>
        <w:t>1</w:t>
      </w:r>
      <w:r>
        <w:rPr>
          <w:rFonts w:ascii="Times New Roman" w:hAnsi="Times New Roman"/>
          <w:i/>
          <w:color w:val="000000"/>
          <w:sz w:val="24"/>
        </w:rPr>
        <w:t xml:space="preserve">. Valeur de la mesure (quantité ou qualité); </w:t>
      </w:r>
      <w:r w:rsidRPr="00452C1A">
        <w:rPr>
          <w:rFonts w:ascii="Times New Roman" w:hAnsi="Times New Roman"/>
          <w:i/>
          <w:color w:val="000000"/>
          <w:sz w:val="24"/>
        </w:rPr>
        <w:t>2</w:t>
      </w:r>
      <w:r>
        <w:rPr>
          <w:rFonts w:ascii="Times New Roman" w:hAnsi="Times New Roman"/>
          <w:i/>
          <w:color w:val="000000"/>
          <w:sz w:val="24"/>
        </w:rPr>
        <w:t xml:space="preserve">. Niveau de référence et cible (valeurs et délais); </w:t>
      </w:r>
      <w:r w:rsidRPr="00452C1A">
        <w:rPr>
          <w:rFonts w:ascii="Times New Roman" w:hAnsi="Times New Roman"/>
          <w:i/>
          <w:color w:val="000000"/>
          <w:sz w:val="24"/>
        </w:rPr>
        <w:t>3</w:t>
      </w:r>
      <w:r>
        <w:rPr>
          <w:rFonts w:ascii="Times New Roman" w:hAnsi="Times New Roman"/>
          <w:i/>
          <w:color w:val="000000"/>
          <w:sz w:val="24"/>
        </w:rPr>
        <w:t xml:space="preserve">. Acteurs responsables de la collecte des données et de l’établissement des rapports; </w:t>
      </w:r>
      <w:r w:rsidRPr="00452C1A">
        <w:rPr>
          <w:rFonts w:ascii="Times New Roman" w:hAnsi="Times New Roman"/>
          <w:i/>
          <w:color w:val="000000"/>
          <w:sz w:val="24"/>
        </w:rPr>
        <w:t>4</w:t>
      </w:r>
      <w:r>
        <w:rPr>
          <w:rFonts w:ascii="Times New Roman" w:hAnsi="Times New Roman"/>
          <w:i/>
          <w:color w:val="000000"/>
          <w:sz w:val="24"/>
        </w:rPr>
        <w:t xml:space="preserve">. Groupe cible; </w:t>
      </w:r>
      <w:r w:rsidRPr="00452C1A">
        <w:rPr>
          <w:rFonts w:ascii="Times New Roman" w:hAnsi="Times New Roman"/>
          <w:i/>
          <w:color w:val="000000"/>
          <w:sz w:val="24"/>
        </w:rPr>
        <w:t>5</w:t>
      </w:r>
      <w:r>
        <w:rPr>
          <w:rFonts w:ascii="Times New Roman" w:hAnsi="Times New Roman"/>
          <w:i/>
          <w:color w:val="000000"/>
          <w:sz w:val="24"/>
        </w:rPr>
        <w:t xml:space="preserve">. Délais pour l’établissement des rapports; </w:t>
      </w:r>
      <w:r w:rsidRPr="00452C1A">
        <w:rPr>
          <w:rFonts w:ascii="Times New Roman" w:hAnsi="Times New Roman"/>
          <w:i/>
          <w:color w:val="000000"/>
          <w:sz w:val="24"/>
        </w:rPr>
        <w:t>6</w:t>
      </w:r>
      <w:r>
        <w:rPr>
          <w:rFonts w:ascii="Times New Roman" w:hAnsi="Times New Roman"/>
          <w:i/>
          <w:color w:val="000000"/>
          <w:sz w:val="24"/>
        </w:rPr>
        <w:t xml:space="preserve">. Lieu. Le niveau de référence et les données </w:t>
      </w:r>
      <w:r>
        <w:rPr>
          <w:rFonts w:ascii="Times New Roman" w:hAnsi="Times New Roman"/>
          <w:i/>
          <w:color w:val="000000"/>
          <w:sz w:val="24"/>
        </w:rPr>
        <w:lastRenderedPageBreak/>
        <w:t>cibles, comme indiqués dans la fiche de jumelage, seront indiqués entre crochets à côté de chaque indicateur.</w:t>
      </w:r>
    </w:p>
    <w:p w14:paraId="6417D74E"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p>
    <w:p w14:paraId="01ABA494"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SOURCES DE VÉRIFICATION: pour chaque volet, préciser les sources d’information permettant de prouver que les cibles ont bien été atteintes: par exemple, des rapports indépendants, des enquêtes, le Journal officiel, des rapports de la Commission, etc.</w:t>
      </w:r>
    </w:p>
    <w:p w14:paraId="30D5820E"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p>
    <w:p w14:paraId="09EB2716"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RISQUES: mentionner les facteurs externes susceptibles d’entraver la bonne mise en œuvre du projet, y compris tout événement échappant au contrôle des principaux acteurs.</w:t>
      </w:r>
    </w:p>
    <w:p w14:paraId="1D4732DD"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p>
    <w:p w14:paraId="4F7700C8" w14:textId="77777777" w:rsidR="00832F98" w:rsidRPr="005107DF" w:rsidRDefault="00832F98" w:rsidP="0019382C">
      <w:pPr>
        <w:spacing w:after="0" w:line="240" w:lineRule="auto"/>
        <w:jc w:val="both"/>
        <w:rPr>
          <w:rFonts w:ascii="Times New Roman" w:eastAsia="Times New Roman" w:hAnsi="Times New Roman" w:cs="Times New Roman"/>
          <w:sz w:val="24"/>
          <w:szCs w:val="24"/>
        </w:rPr>
      </w:pPr>
      <w:r>
        <w:rPr>
          <w:rFonts w:ascii="Times New Roman" w:hAnsi="Times New Roman"/>
          <w:i/>
          <w:color w:val="000000"/>
          <w:sz w:val="24"/>
        </w:rPr>
        <w:t>HYPOTHÈSES: préciser les conditions externes et/ou les initiatives de tierces parties susceptibles d’influencer la mise en œuvre du projet au point que seule leur réussite peut garantir le succès du projet. Il s’agit des conditions nécessaires et positives qui permettent d’établir un lien de causalité avéré entre les différents niveaux de résultats.</w:t>
      </w:r>
    </w:p>
    <w:p w14:paraId="2365D0D9" w14:textId="77777777" w:rsidR="00832F98" w:rsidRPr="005107DF" w:rsidRDefault="00832F98" w:rsidP="00C20B22">
      <w:pPr>
        <w:spacing w:after="0" w:line="240" w:lineRule="auto"/>
        <w:rPr>
          <w:rFonts w:ascii="Times New Roman" w:eastAsia="Times New Roman" w:hAnsi="Times New Roman" w:cs="Times New Roman"/>
          <w:sz w:val="24"/>
          <w:szCs w:val="24"/>
        </w:rPr>
      </w:pPr>
    </w:p>
    <w:p w14:paraId="1409E6A8" w14:textId="77777777" w:rsidR="00832F98" w:rsidRPr="005107DF" w:rsidRDefault="00832F98" w:rsidP="007338F0">
      <w:pPr>
        <w:jc w:val="center"/>
        <w:rPr>
          <w:rFonts w:ascii="Times New Roman" w:hAnsi="Times New Roman" w:cs="Times New Roman"/>
          <w:b/>
          <w:color w:val="1F497D"/>
          <w:sz w:val="56"/>
          <w:szCs w:val="56"/>
        </w:rPr>
      </w:pPr>
      <w:bookmarkStart w:id="1330" w:name="_Toc476063494"/>
      <w:bookmarkStart w:id="1331" w:name="_Toc476067976"/>
    </w:p>
    <w:p w14:paraId="5AE27BFE" w14:textId="77777777" w:rsidR="00832F98" w:rsidRPr="005107DF" w:rsidRDefault="00832F98" w:rsidP="007338F0">
      <w:pPr>
        <w:jc w:val="center"/>
        <w:rPr>
          <w:rFonts w:ascii="Times New Roman" w:hAnsi="Times New Roman" w:cs="Times New Roman"/>
          <w:b/>
          <w:color w:val="1F497D"/>
          <w:sz w:val="56"/>
          <w:szCs w:val="56"/>
        </w:rPr>
      </w:pPr>
    </w:p>
    <w:p w14:paraId="3DBBAB9F" w14:textId="77777777" w:rsidR="00832F98" w:rsidRPr="005107DF" w:rsidRDefault="00832F98" w:rsidP="007338F0">
      <w:pPr>
        <w:jc w:val="center"/>
        <w:rPr>
          <w:rFonts w:ascii="Times New Roman" w:hAnsi="Times New Roman" w:cs="Times New Roman"/>
          <w:b/>
          <w:color w:val="1F497D"/>
          <w:sz w:val="56"/>
          <w:szCs w:val="56"/>
        </w:rPr>
      </w:pPr>
    </w:p>
    <w:p w14:paraId="63B3BF43" w14:textId="77777777" w:rsidR="00832F98" w:rsidRPr="005107DF" w:rsidRDefault="00832F98" w:rsidP="007338F0">
      <w:pPr>
        <w:jc w:val="center"/>
        <w:rPr>
          <w:rFonts w:ascii="Times New Roman" w:hAnsi="Times New Roman" w:cs="Times New Roman"/>
          <w:b/>
          <w:color w:val="1F497D"/>
          <w:sz w:val="56"/>
          <w:szCs w:val="56"/>
        </w:rPr>
      </w:pPr>
    </w:p>
    <w:p w14:paraId="01BD58A4" w14:textId="77777777" w:rsidR="00832F98" w:rsidRPr="005107DF" w:rsidRDefault="00832F98" w:rsidP="007338F0">
      <w:pPr>
        <w:jc w:val="center"/>
        <w:rPr>
          <w:rFonts w:ascii="Times New Roman" w:hAnsi="Times New Roman" w:cs="Times New Roman"/>
          <w:b/>
          <w:color w:val="1F497D"/>
          <w:sz w:val="56"/>
          <w:szCs w:val="56"/>
        </w:rPr>
      </w:pPr>
    </w:p>
    <w:p w14:paraId="57FE4340" w14:textId="77777777" w:rsidR="00832F98" w:rsidRPr="005107DF" w:rsidRDefault="00832F98" w:rsidP="007338F0">
      <w:pPr>
        <w:jc w:val="center"/>
        <w:rPr>
          <w:rFonts w:ascii="Times New Roman" w:hAnsi="Times New Roman" w:cs="Times New Roman"/>
          <w:b/>
          <w:color w:val="1F497D"/>
          <w:sz w:val="56"/>
          <w:szCs w:val="56"/>
        </w:rPr>
      </w:pPr>
    </w:p>
    <w:p w14:paraId="5066C684" w14:textId="77777777" w:rsidR="00832F98" w:rsidRPr="005107DF" w:rsidRDefault="00832F98" w:rsidP="007338F0">
      <w:pPr>
        <w:jc w:val="center"/>
        <w:rPr>
          <w:rFonts w:ascii="Times New Roman" w:hAnsi="Times New Roman" w:cs="Times New Roman"/>
          <w:b/>
          <w:color w:val="1F497D"/>
          <w:sz w:val="56"/>
          <w:szCs w:val="56"/>
        </w:rPr>
      </w:pPr>
    </w:p>
    <w:p w14:paraId="11DAA5C0" w14:textId="77777777" w:rsidR="00832F98" w:rsidRPr="005107DF" w:rsidRDefault="00832F98" w:rsidP="007338F0">
      <w:pPr>
        <w:jc w:val="center"/>
        <w:rPr>
          <w:rFonts w:ascii="Times New Roman" w:hAnsi="Times New Roman" w:cs="Times New Roman"/>
          <w:b/>
          <w:color w:val="1F497D"/>
          <w:sz w:val="56"/>
          <w:szCs w:val="56"/>
        </w:rPr>
      </w:pPr>
    </w:p>
    <w:p w14:paraId="0C156A87" w14:textId="77777777" w:rsidR="00832F98" w:rsidRPr="005107DF" w:rsidRDefault="00832F98" w:rsidP="007338F0">
      <w:pPr>
        <w:jc w:val="center"/>
        <w:rPr>
          <w:rFonts w:ascii="Times New Roman" w:hAnsi="Times New Roman" w:cs="Times New Roman"/>
          <w:b/>
          <w:color w:val="1F497D"/>
          <w:sz w:val="56"/>
          <w:szCs w:val="56"/>
        </w:rPr>
      </w:pPr>
    </w:p>
    <w:p w14:paraId="2CA4843A" w14:textId="77777777" w:rsidR="00832F98" w:rsidRPr="005107DF" w:rsidRDefault="00832F98" w:rsidP="007338F0">
      <w:pPr>
        <w:jc w:val="center"/>
        <w:rPr>
          <w:rFonts w:ascii="Times New Roman" w:hAnsi="Times New Roman" w:cs="Times New Roman"/>
          <w:b/>
          <w:color w:val="1F497D"/>
          <w:sz w:val="56"/>
          <w:szCs w:val="56"/>
        </w:rPr>
      </w:pPr>
    </w:p>
    <w:p w14:paraId="3E716DFA" w14:textId="77777777" w:rsidR="00832F98" w:rsidRPr="005107DF" w:rsidRDefault="00832F98" w:rsidP="007338F0">
      <w:pPr>
        <w:jc w:val="center"/>
        <w:rPr>
          <w:rFonts w:ascii="Times New Roman" w:hAnsi="Times New Roman" w:cs="Times New Roman"/>
          <w:b/>
          <w:color w:val="1F497D"/>
          <w:sz w:val="56"/>
          <w:szCs w:val="56"/>
        </w:rPr>
      </w:pPr>
    </w:p>
    <w:p w14:paraId="2094DF8C" w14:textId="77777777" w:rsidR="00832F98" w:rsidRPr="005107DF" w:rsidRDefault="00832F98" w:rsidP="007338F0">
      <w:pPr>
        <w:jc w:val="center"/>
        <w:rPr>
          <w:rFonts w:ascii="Times New Roman" w:hAnsi="Times New Roman" w:cs="Times New Roman"/>
          <w:b/>
          <w:color w:val="1F497D"/>
          <w:sz w:val="56"/>
          <w:szCs w:val="56"/>
        </w:rPr>
      </w:pPr>
      <w:r>
        <w:rPr>
          <w:rFonts w:ascii="Times New Roman" w:hAnsi="Times New Roman" w:cs="Times New Roman"/>
          <w:noProof/>
          <w:lang w:val="en-GB" w:eastAsia="en-GB" w:bidi="ar-SA"/>
        </w:rPr>
        <w:lastRenderedPageBreak/>
        <w:drawing>
          <wp:inline distT="0" distB="0" distL="0" distR="0" wp14:anchorId="73FC17A3" wp14:editId="2923C8F2">
            <wp:extent cx="2105025" cy="1457325"/>
            <wp:effectExtent l="0" t="0" r="9525" b="9525"/>
            <wp:docPr id="28" name="Picture 28"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E_Vertical_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330"/>
      <w:bookmarkEnd w:id="1331"/>
    </w:p>
    <w:p w14:paraId="0A50BB87" w14:textId="77777777" w:rsidR="00832F98" w:rsidRPr="005107DF" w:rsidRDefault="00832F98" w:rsidP="00EE710C">
      <w:pPr>
        <w:spacing w:after="0" w:line="240" w:lineRule="auto"/>
        <w:rPr>
          <w:rFonts w:ascii="Times New Roman" w:eastAsia="Times New Roman" w:hAnsi="Times New Roman" w:cs="Times New Roman"/>
          <w:b/>
          <w:bCs/>
          <w:color w:val="1F497D"/>
          <w:sz w:val="36"/>
          <w:szCs w:val="36"/>
        </w:rPr>
      </w:pPr>
      <w:r>
        <w:rPr>
          <w:rFonts w:ascii="Times New Roman" w:eastAsia="Times New Roman" w:hAnsi="Times New Roman" w:cs="Times New Roman"/>
          <w:noProof/>
          <w:sz w:val="24"/>
          <w:szCs w:val="24"/>
          <w:lang w:val="en-GB" w:eastAsia="en-GB" w:bidi="ar-SA"/>
        </w:rPr>
        <w:drawing>
          <wp:anchor distT="0" distB="0" distL="114300" distR="114300" simplePos="0" relativeHeight="251668480" behindDoc="1" locked="0" layoutInCell="1" allowOverlap="1" wp14:anchorId="5CE0A1C9" wp14:editId="30AB8CDD">
            <wp:simplePos x="0" y="0"/>
            <wp:positionH relativeFrom="margin">
              <wp:posOffset>-889000</wp:posOffset>
            </wp:positionH>
            <wp:positionV relativeFrom="margin">
              <wp:posOffset>749300</wp:posOffset>
            </wp:positionV>
            <wp:extent cx="7345045" cy="7423785"/>
            <wp:effectExtent l="0" t="0" r="8255" b="5715"/>
            <wp:wrapNone/>
            <wp:docPr id="29" name="Picture 29"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832F98" w:rsidRPr="005107DF" w14:paraId="49E1E525" w14:textId="77777777" w:rsidTr="007338F0">
        <w:tc>
          <w:tcPr>
            <w:tcW w:w="9175" w:type="dxa"/>
            <w:shd w:val="clear" w:color="auto" w:fill="auto"/>
          </w:tcPr>
          <w:p w14:paraId="5636F053" w14:textId="77777777" w:rsidR="00832F98" w:rsidRPr="005107DF" w:rsidRDefault="00832F98" w:rsidP="00EE710C">
            <w:pPr>
              <w:spacing w:after="0" w:line="240" w:lineRule="auto"/>
              <w:rPr>
                <w:rFonts w:ascii="Times New Roman" w:eastAsia="Times New Roman" w:hAnsi="Times New Roman" w:cs="Times New Roman"/>
                <w:sz w:val="24"/>
                <w:szCs w:val="24"/>
              </w:rPr>
            </w:pPr>
          </w:p>
          <w:p w14:paraId="14AE8888" w14:textId="77777777" w:rsidR="00832F98" w:rsidRPr="005107DF" w:rsidRDefault="00832F98" w:rsidP="00EE710C">
            <w:pPr>
              <w:spacing w:after="0" w:line="240" w:lineRule="auto"/>
              <w:rPr>
                <w:rFonts w:ascii="Times New Roman" w:eastAsia="Times New Roman" w:hAnsi="Times New Roman" w:cs="Times New Roman"/>
                <w:sz w:val="24"/>
                <w:szCs w:val="24"/>
              </w:rPr>
            </w:pPr>
          </w:p>
          <w:p w14:paraId="06B87DDC" w14:textId="77777777" w:rsidR="00832F98" w:rsidRPr="005107DF" w:rsidRDefault="00832F98" w:rsidP="007338F0">
            <w:pPr>
              <w:pStyle w:val="Heading2"/>
              <w:jc w:val="center"/>
              <w:rPr>
                <w:rFonts w:eastAsia="Times New Roman"/>
                <w:bCs/>
                <w:szCs w:val="36"/>
              </w:rPr>
            </w:pPr>
            <w:bookmarkStart w:id="1332" w:name="_Toc476063495"/>
            <w:bookmarkStart w:id="1333" w:name="_Toc476067977"/>
            <w:bookmarkStart w:id="1334" w:name="_Toc517434477"/>
            <w:bookmarkStart w:id="1335" w:name="_Toc2861044"/>
            <w:r>
              <w:rPr>
                <w:sz w:val="32"/>
              </w:rPr>
              <w:t>ANNEXE C</w:t>
            </w:r>
            <w:r w:rsidRPr="00452C1A">
              <w:rPr>
                <w:sz w:val="32"/>
              </w:rPr>
              <w:t>2</w:t>
            </w:r>
            <w:r>
              <w:rPr>
                <w:sz w:val="32"/>
              </w:rPr>
              <w:t>: Proposition de jumelage</w:t>
            </w:r>
            <w:bookmarkStart w:id="1336" w:name="_Toc476063497"/>
            <w:bookmarkStart w:id="1337" w:name="_Toc476067979"/>
            <w:bookmarkEnd w:id="1332"/>
            <w:bookmarkEnd w:id="1333"/>
            <w:bookmarkEnd w:id="1334"/>
            <w:bookmarkEnd w:id="1335"/>
          </w:p>
          <w:p w14:paraId="6EC11A17" w14:textId="77777777" w:rsidR="00832F98" w:rsidRPr="005107DF" w:rsidRDefault="00832F98" w:rsidP="007338F0">
            <w:pPr>
              <w:jc w:val="center"/>
              <w:rPr>
                <w:rFonts w:ascii="Times New Roman" w:hAnsi="Times New Roman" w:cs="Times New Roman"/>
                <w:sz w:val="24"/>
                <w:szCs w:val="24"/>
              </w:rPr>
            </w:pPr>
            <w:r>
              <w:rPr>
                <w:rFonts w:ascii="Times New Roman" w:hAnsi="Times New Roman"/>
                <w:sz w:val="24"/>
              </w:rPr>
              <w:t>entre</w:t>
            </w:r>
            <w:bookmarkEnd w:id="1336"/>
            <w:bookmarkEnd w:id="1337"/>
          </w:p>
          <w:p w14:paraId="0112D4E7" w14:textId="77777777" w:rsidR="00832F98" w:rsidRPr="005107DF" w:rsidRDefault="00832F98" w:rsidP="007338F0">
            <w:pPr>
              <w:jc w:val="center"/>
              <w:rPr>
                <w:rFonts w:ascii="Times New Roman" w:hAnsi="Times New Roman" w:cs="Times New Roman"/>
                <w:i/>
                <w:sz w:val="24"/>
                <w:szCs w:val="24"/>
                <w:u w:val="dotted"/>
              </w:rPr>
            </w:pPr>
            <w:bookmarkStart w:id="1338" w:name="_Toc476063498"/>
            <w:bookmarkStart w:id="1339" w:name="_Toc476067980"/>
            <w:r>
              <w:rPr>
                <w:rFonts w:ascii="Times New Roman" w:hAnsi="Times New Roman"/>
                <w:i/>
                <w:sz w:val="24"/>
                <w:u w:val="dotted"/>
              </w:rPr>
              <w:t>l’État membre X, (l’État membre Y, en cas de consortium)</w:t>
            </w:r>
            <w:bookmarkEnd w:id="1338"/>
            <w:bookmarkEnd w:id="1339"/>
          </w:p>
          <w:p w14:paraId="4A7E4ECD" w14:textId="77777777" w:rsidR="00832F98" w:rsidRPr="005107DF" w:rsidRDefault="00832F98" w:rsidP="007338F0">
            <w:pPr>
              <w:jc w:val="center"/>
              <w:rPr>
                <w:rFonts w:ascii="Times New Roman" w:hAnsi="Times New Roman" w:cs="Times New Roman"/>
                <w:i/>
                <w:sz w:val="24"/>
                <w:szCs w:val="24"/>
                <w:u w:val="dotted"/>
              </w:rPr>
            </w:pPr>
            <w:bookmarkStart w:id="1340" w:name="_Toc476063499"/>
            <w:bookmarkStart w:id="1341" w:name="_Toc476067981"/>
            <w:r>
              <w:rPr>
                <w:rFonts w:ascii="Times New Roman" w:hAnsi="Times New Roman"/>
                <w:i/>
                <w:sz w:val="24"/>
                <w:u w:val="dotted"/>
              </w:rPr>
              <w:t>et</w:t>
            </w:r>
            <w:bookmarkEnd w:id="1340"/>
            <w:bookmarkEnd w:id="1341"/>
          </w:p>
          <w:p w14:paraId="6AA1E0BE" w14:textId="77777777" w:rsidR="00832F98" w:rsidRPr="005107DF" w:rsidRDefault="00832F98" w:rsidP="007338F0">
            <w:pPr>
              <w:jc w:val="center"/>
              <w:rPr>
                <w:rFonts w:ascii="Times New Roman" w:hAnsi="Times New Roman" w:cs="Times New Roman"/>
                <w:i/>
                <w:sz w:val="24"/>
                <w:szCs w:val="24"/>
                <w:u w:val="dotted"/>
              </w:rPr>
            </w:pPr>
            <w:bookmarkStart w:id="1342" w:name="_Toc476063500"/>
            <w:bookmarkStart w:id="1343" w:name="_Toc476067982"/>
            <w:r>
              <w:rPr>
                <w:rFonts w:ascii="Times New Roman" w:hAnsi="Times New Roman"/>
                <w:i/>
                <w:sz w:val="24"/>
                <w:u w:val="dotted"/>
              </w:rPr>
              <w:t>l’administration bénéficiaire du pays bénéficiaire Z</w:t>
            </w:r>
            <w:bookmarkEnd w:id="1342"/>
            <w:bookmarkEnd w:id="1343"/>
          </w:p>
          <w:p w14:paraId="5F37CF42" w14:textId="77777777" w:rsidR="00832F98" w:rsidRPr="005107DF" w:rsidRDefault="00832F98" w:rsidP="007338F0">
            <w:pPr>
              <w:jc w:val="center"/>
              <w:rPr>
                <w:rFonts w:ascii="Times New Roman" w:hAnsi="Times New Roman" w:cs="Times New Roman"/>
                <w:b/>
                <w:sz w:val="24"/>
                <w:szCs w:val="24"/>
              </w:rPr>
            </w:pPr>
          </w:p>
          <w:p w14:paraId="7B1708F0" w14:textId="77777777" w:rsidR="00832F98" w:rsidRPr="005107DF" w:rsidRDefault="00832F98" w:rsidP="007338F0">
            <w:pPr>
              <w:jc w:val="center"/>
              <w:rPr>
                <w:rFonts w:ascii="Times New Roman" w:hAnsi="Times New Roman" w:cs="Times New Roman"/>
                <w:sz w:val="28"/>
                <w:szCs w:val="28"/>
              </w:rPr>
            </w:pPr>
            <w:bookmarkStart w:id="1344" w:name="_Toc476063501"/>
            <w:bookmarkStart w:id="1345" w:name="_Toc476067983"/>
            <w:r>
              <w:rPr>
                <w:rFonts w:ascii="Times New Roman" w:hAnsi="Times New Roman"/>
                <w:b/>
                <w:sz w:val="28"/>
              </w:rPr>
              <w:t>Intitulé du projet</w:t>
            </w:r>
            <w:r>
              <w:rPr>
                <w:rFonts w:ascii="Times New Roman" w:hAnsi="Times New Roman"/>
                <w:sz w:val="28"/>
              </w:rPr>
              <w:t>:</w:t>
            </w:r>
            <w:bookmarkEnd w:id="1344"/>
            <w:bookmarkEnd w:id="1345"/>
          </w:p>
          <w:p w14:paraId="3DBEE9F5" w14:textId="77777777" w:rsidR="00832F98" w:rsidRPr="005107DF" w:rsidRDefault="00832F98" w:rsidP="007338F0">
            <w:pPr>
              <w:jc w:val="center"/>
              <w:rPr>
                <w:rFonts w:ascii="Times New Roman" w:hAnsi="Times New Roman" w:cs="Times New Roman"/>
                <w:sz w:val="28"/>
                <w:szCs w:val="28"/>
              </w:rPr>
            </w:pPr>
            <w:bookmarkStart w:id="1346" w:name="_Toc476063502"/>
            <w:bookmarkStart w:id="1347" w:name="_Toc476067984"/>
            <w:r>
              <w:t>Numéro de référence du jumelage:</w:t>
            </w:r>
            <w:r>
              <w:rPr>
                <w:rFonts w:ascii="Times New Roman" w:hAnsi="Times New Roman"/>
                <w:sz w:val="28"/>
              </w:rPr>
              <w:t xml:space="preserve"> </w:t>
            </w:r>
            <w:r>
              <w:rPr>
                <w:rFonts w:ascii="Times New Roman" w:hAnsi="Times New Roman"/>
                <w:i/>
                <w:sz w:val="28"/>
                <w:u w:val="dotted"/>
              </w:rPr>
              <w:t xml:space="preserve">le numéro de référence du jumelage est présenté au format </w:t>
            </w:r>
            <w:r w:rsidRPr="003E763F">
              <w:rPr>
                <w:rFonts w:ascii="Times New Roman" w:hAnsi="Times New Roman"/>
                <w:i/>
                <w:sz w:val="28"/>
                <w:highlight w:val="yellow"/>
                <w:u w:val="dotted"/>
              </w:rPr>
              <w:t>«MN 14 IPA TR 01 16» ou «AZ 13 ENI JH 02 15»</w:t>
            </w:r>
            <w:bookmarkEnd w:id="1346"/>
            <w:bookmarkEnd w:id="1347"/>
          </w:p>
          <w:p w14:paraId="60221EC3" w14:textId="77777777" w:rsidR="00832F98" w:rsidRPr="005107DF" w:rsidRDefault="00832F98" w:rsidP="007338F0">
            <w:pPr>
              <w:jc w:val="center"/>
              <w:rPr>
                <w:rFonts w:ascii="Times New Roman" w:hAnsi="Times New Roman" w:cs="Times New Roman"/>
                <w:sz w:val="28"/>
                <w:szCs w:val="28"/>
              </w:rPr>
            </w:pPr>
            <w:bookmarkStart w:id="1348" w:name="_Toc476063503"/>
            <w:bookmarkStart w:id="1349" w:name="_Toc476067985"/>
            <w:r>
              <w:rPr>
                <w:rFonts w:ascii="Times New Roman" w:hAnsi="Times New Roman"/>
                <w:b/>
                <w:sz w:val="28"/>
              </w:rPr>
              <w:t>Référence de l’avis de publication</w:t>
            </w:r>
            <w:r>
              <w:rPr>
                <w:rFonts w:ascii="Times New Roman" w:hAnsi="Times New Roman"/>
                <w:sz w:val="28"/>
              </w:rPr>
              <w:t>:</w:t>
            </w:r>
            <w:bookmarkEnd w:id="1348"/>
            <w:bookmarkEnd w:id="1349"/>
          </w:p>
          <w:p w14:paraId="180318FA" w14:textId="77777777" w:rsidR="00832F98" w:rsidRPr="005107DF" w:rsidRDefault="00832F98" w:rsidP="00EE710C">
            <w:pPr>
              <w:spacing w:after="0" w:line="240" w:lineRule="auto"/>
              <w:rPr>
                <w:rFonts w:ascii="Times New Roman" w:eastAsia="Times New Roman" w:hAnsi="Times New Roman" w:cs="Times New Roman"/>
                <w:sz w:val="24"/>
                <w:szCs w:val="24"/>
              </w:rPr>
            </w:pPr>
          </w:p>
        </w:tc>
      </w:tr>
    </w:tbl>
    <w:p w14:paraId="7A208A5D" w14:textId="77777777" w:rsidR="00832F98" w:rsidRPr="005107DF" w:rsidRDefault="00832F98" w:rsidP="00EE710C">
      <w:pPr>
        <w:spacing w:after="0" w:line="240" w:lineRule="auto"/>
        <w:rPr>
          <w:rFonts w:ascii="Times New Roman" w:eastAsia="Times New Roman" w:hAnsi="Times New Roman" w:cs="Times New Roman"/>
          <w:sz w:val="24"/>
          <w:szCs w:val="24"/>
        </w:rPr>
      </w:pPr>
    </w:p>
    <w:p w14:paraId="4D690E64" w14:textId="77777777" w:rsidR="00832F98" w:rsidRPr="005107DF" w:rsidRDefault="00832F98" w:rsidP="00EE710C">
      <w:pPr>
        <w:spacing w:after="0" w:line="240" w:lineRule="auto"/>
        <w:rPr>
          <w:rFonts w:ascii="Times New Roman" w:eastAsia="Times New Roman" w:hAnsi="Times New Roman" w:cs="Times New Roman"/>
          <w:sz w:val="24"/>
          <w:szCs w:val="24"/>
        </w:rPr>
      </w:pPr>
    </w:p>
    <w:p w14:paraId="5259EEDD" w14:textId="77777777" w:rsidR="00832F98" w:rsidRPr="005107DF" w:rsidRDefault="00832F98" w:rsidP="00EE710C">
      <w:pPr>
        <w:spacing w:after="0" w:line="240" w:lineRule="auto"/>
        <w:rPr>
          <w:rFonts w:ascii="Times New Roman" w:eastAsia="Times New Roman" w:hAnsi="Times New Roman" w:cs="Times New Roman"/>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832F98" w:rsidRPr="005107DF" w14:paraId="549CB7BD" w14:textId="77777777" w:rsidTr="007338F0">
        <w:tc>
          <w:tcPr>
            <w:tcW w:w="9214" w:type="dxa"/>
            <w:shd w:val="clear" w:color="auto" w:fill="auto"/>
          </w:tcPr>
          <w:p w14:paraId="5F2D7AA3" w14:textId="77777777" w:rsidR="00832F98" w:rsidRPr="005107DF" w:rsidRDefault="00832F98" w:rsidP="00EE710C">
            <w:pPr>
              <w:spacing w:before="200" w:line="240" w:lineRule="auto"/>
              <w:jc w:val="center"/>
              <w:rPr>
                <w:rFonts w:ascii="Times New Roman" w:eastAsia="Times New Roman" w:hAnsi="Times New Roman" w:cs="Times New Roman"/>
                <w:b/>
                <w:bCs/>
                <w:sz w:val="32"/>
                <w:szCs w:val="32"/>
              </w:rPr>
            </w:pPr>
            <w:r>
              <w:rPr>
                <w:rFonts w:ascii="Times New Roman" w:hAnsi="Times New Roman"/>
                <w:b/>
                <w:sz w:val="32"/>
              </w:rPr>
              <w:t>Projet financé par l’Union européenne</w:t>
            </w:r>
          </w:p>
          <w:p w14:paraId="6EC69DB2" w14:textId="77777777" w:rsidR="00832F98" w:rsidRPr="005107DF" w:rsidRDefault="00832F98" w:rsidP="00B82475">
            <w:pPr>
              <w:spacing w:line="240" w:lineRule="auto"/>
              <w:jc w:val="center"/>
              <w:rPr>
                <w:rFonts w:ascii="Times New Roman" w:eastAsia="Times New Roman" w:hAnsi="Times New Roman" w:cs="Times New Roman"/>
                <w:b/>
                <w:bCs/>
                <w:sz w:val="36"/>
                <w:szCs w:val="36"/>
              </w:rPr>
            </w:pPr>
            <w:r>
              <w:rPr>
                <w:rFonts w:ascii="Times New Roman" w:hAnsi="Times New Roman"/>
                <w:b/>
                <w:i/>
                <w:sz w:val="32"/>
              </w:rPr>
              <w:t>OUTIL DE JUMELAGE</w:t>
            </w:r>
          </w:p>
        </w:tc>
      </w:tr>
    </w:tbl>
    <w:p w14:paraId="1B41B417" w14:textId="77777777" w:rsidR="00832F98" w:rsidRPr="005107DF" w:rsidRDefault="00832F98"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rPr>
      </w:pPr>
    </w:p>
    <w:p w14:paraId="42A69572" w14:textId="77777777" w:rsidR="00832F98" w:rsidRPr="005107DF" w:rsidRDefault="00832F98" w:rsidP="004946B7">
      <w:pPr>
        <w:jc w:val="both"/>
        <w:rPr>
          <w:rFonts w:ascii="Times New Roman" w:hAnsi="Times New Roman" w:cs="Times New Roman"/>
          <w:i/>
          <w:sz w:val="24"/>
          <w:szCs w:val="24"/>
        </w:rPr>
      </w:pPr>
      <w:r>
        <w:rPr>
          <w:rFonts w:ascii="Times New Roman" w:hAnsi="Times New Roman"/>
          <w:i/>
          <w:sz w:val="24"/>
        </w:rPr>
        <w:t xml:space="preserve">(Il est recommandé que la proposition complète ne dépasse pas </w:t>
      </w:r>
      <w:r w:rsidRPr="00452C1A">
        <w:rPr>
          <w:rFonts w:ascii="Times New Roman" w:hAnsi="Times New Roman"/>
          <w:i/>
          <w:sz w:val="24"/>
        </w:rPr>
        <w:t>10</w:t>
      </w:r>
      <w:r>
        <w:rPr>
          <w:rFonts w:ascii="Times New Roman" w:hAnsi="Times New Roman"/>
          <w:i/>
          <w:sz w:val="24"/>
        </w:rPr>
        <w:t> pages, annexes non comprises)</w:t>
      </w:r>
    </w:p>
    <w:p w14:paraId="0BC00E02" w14:textId="77777777" w:rsidR="00832F98" w:rsidRPr="005107DF" w:rsidRDefault="00832F98" w:rsidP="007338F0">
      <w:pPr>
        <w:rPr>
          <w:rFonts w:ascii="Times New Roman" w:hAnsi="Times New Roman" w:cs="Times New Roman"/>
          <w:b/>
          <w:sz w:val="24"/>
          <w:szCs w:val="24"/>
        </w:rPr>
      </w:pPr>
      <w:r>
        <w:br w:type="page"/>
      </w:r>
      <w:bookmarkStart w:id="1350" w:name="_Toc476063504"/>
      <w:bookmarkStart w:id="1351" w:name="_Toc476067986"/>
      <w:r w:rsidRPr="00452C1A">
        <w:rPr>
          <w:rFonts w:ascii="Times New Roman" w:hAnsi="Times New Roman"/>
          <w:b/>
          <w:sz w:val="24"/>
        </w:rPr>
        <w:lastRenderedPageBreak/>
        <w:t>1</w:t>
      </w:r>
      <w:r>
        <w:rPr>
          <w:rFonts w:ascii="Times New Roman" w:hAnsi="Times New Roman"/>
          <w:b/>
          <w:sz w:val="24"/>
        </w:rPr>
        <w:t>. Informations de base</w:t>
      </w:r>
      <w:bookmarkEnd w:id="1350"/>
      <w:bookmarkEnd w:id="1351"/>
    </w:p>
    <w:p w14:paraId="61E6232A" w14:textId="77777777" w:rsidR="00832F98" w:rsidRPr="005107DF" w:rsidRDefault="00832F98" w:rsidP="007338F0">
      <w:pPr>
        <w:spacing w:after="120"/>
        <w:rPr>
          <w:rFonts w:ascii="Times New Roman" w:hAnsi="Times New Roman" w:cs="Times New Roman"/>
          <w:sz w:val="24"/>
          <w:szCs w:val="24"/>
        </w:rPr>
      </w:pPr>
      <w:bookmarkStart w:id="1352" w:name="_Toc476063505"/>
      <w:bookmarkStart w:id="1353" w:name="_Toc476067987"/>
      <w:r>
        <w:rPr>
          <w:rFonts w:ascii="Times New Roman" w:hAnsi="Times New Roman"/>
          <w:sz w:val="24"/>
        </w:rPr>
        <w:t>État membre principal:</w:t>
      </w:r>
      <w:bookmarkEnd w:id="1352"/>
      <w:bookmarkEnd w:id="1353"/>
    </w:p>
    <w:p w14:paraId="54DFE430" w14:textId="77777777" w:rsidR="00832F98" w:rsidRPr="005107DF" w:rsidRDefault="00832F98" w:rsidP="007338F0">
      <w:pPr>
        <w:spacing w:after="120"/>
        <w:rPr>
          <w:rFonts w:ascii="Times New Roman" w:hAnsi="Times New Roman" w:cs="Times New Roman"/>
          <w:i/>
          <w:color w:val="000000"/>
          <w:sz w:val="24"/>
          <w:szCs w:val="24"/>
        </w:rPr>
      </w:pPr>
      <w:r>
        <w:rPr>
          <w:rFonts w:ascii="Times New Roman" w:hAnsi="Times New Roman"/>
          <w:sz w:val="24"/>
        </w:rPr>
        <w:t xml:space="preserve">Organisme de l’État membre: </w:t>
      </w:r>
      <w:r>
        <w:rPr>
          <w:rFonts w:ascii="Times New Roman" w:hAnsi="Times New Roman"/>
          <w:i/>
          <w:sz w:val="24"/>
          <w:u w:val="dotted"/>
        </w:rPr>
        <w:t xml:space="preserve">l’institution responsable de la mise en œuvre et de la gestion financière du projet. </w:t>
      </w:r>
      <w:r>
        <w:rPr>
          <w:rFonts w:ascii="Times New Roman" w:hAnsi="Times New Roman"/>
          <w:i/>
          <w:color w:val="000000"/>
          <w:sz w:val="24"/>
          <w:u w:val="dotted"/>
        </w:rPr>
        <w:t>Veuillez indiquer ses coordonnées.</w:t>
      </w:r>
    </w:p>
    <w:p w14:paraId="2C41EECA" w14:textId="77777777" w:rsidR="00832F98" w:rsidRPr="005107DF" w:rsidRDefault="00832F98" w:rsidP="007338F0">
      <w:pPr>
        <w:spacing w:after="120"/>
        <w:rPr>
          <w:rFonts w:ascii="Times New Roman" w:hAnsi="Times New Roman" w:cs="Times New Roman"/>
          <w:sz w:val="24"/>
          <w:szCs w:val="24"/>
        </w:rPr>
      </w:pPr>
      <w:r>
        <w:rPr>
          <w:rFonts w:ascii="Times New Roman" w:hAnsi="Times New Roman"/>
          <w:sz w:val="24"/>
        </w:rPr>
        <w:t xml:space="preserve">État(s) membre(s) junior(s) (le cas échéant): </w:t>
      </w:r>
    </w:p>
    <w:p w14:paraId="78727DB1" w14:textId="77777777" w:rsidR="00832F98" w:rsidRPr="005107DF" w:rsidRDefault="00832F98" w:rsidP="007338F0">
      <w:pPr>
        <w:spacing w:after="120"/>
        <w:rPr>
          <w:rFonts w:ascii="Times New Roman" w:hAnsi="Times New Roman" w:cs="Times New Roman"/>
          <w:sz w:val="24"/>
          <w:szCs w:val="24"/>
        </w:rPr>
      </w:pPr>
      <w:bookmarkStart w:id="1354" w:name="_Toc476063506"/>
      <w:bookmarkStart w:id="1355" w:name="_Toc476067988"/>
      <w:r>
        <w:rPr>
          <w:rFonts w:ascii="Times New Roman" w:hAnsi="Times New Roman"/>
          <w:sz w:val="24"/>
        </w:rPr>
        <w:t xml:space="preserve">Organisme(s) de l’État membre (le cas échéant): </w:t>
      </w:r>
      <w:r>
        <w:rPr>
          <w:rFonts w:ascii="Times New Roman" w:hAnsi="Times New Roman"/>
          <w:i/>
          <w:sz w:val="24"/>
          <w:u w:val="dotted"/>
        </w:rPr>
        <w:t>voir supra.</w:t>
      </w:r>
      <w:bookmarkEnd w:id="1354"/>
      <w:bookmarkEnd w:id="1355"/>
    </w:p>
    <w:p w14:paraId="5B4CE5FC" w14:textId="77777777" w:rsidR="00832F98" w:rsidRPr="005107DF" w:rsidRDefault="00832F98" w:rsidP="007338F0">
      <w:pPr>
        <w:spacing w:after="120"/>
        <w:rPr>
          <w:rFonts w:ascii="Times New Roman" w:hAnsi="Times New Roman" w:cs="Times New Roman"/>
          <w:color w:val="000000"/>
          <w:sz w:val="24"/>
          <w:szCs w:val="24"/>
        </w:rPr>
      </w:pPr>
      <w:r>
        <w:rPr>
          <w:rFonts w:ascii="Times New Roman" w:hAnsi="Times New Roman"/>
          <w:sz w:val="24"/>
        </w:rPr>
        <w:t>Administration bénéficiaire:</w:t>
      </w:r>
      <w:r>
        <w:rPr>
          <w:rFonts w:ascii="Times New Roman" w:hAnsi="Times New Roman"/>
          <w:color w:val="000000"/>
          <w:sz w:val="24"/>
        </w:rPr>
        <w:t xml:space="preserve"> </w:t>
      </w:r>
    </w:p>
    <w:p w14:paraId="301FE9F6" w14:textId="77777777" w:rsidR="00832F98" w:rsidRPr="005107DF" w:rsidRDefault="00832F98" w:rsidP="007338F0">
      <w:pPr>
        <w:spacing w:after="120"/>
        <w:rPr>
          <w:rFonts w:ascii="Times New Roman" w:hAnsi="Times New Roman" w:cs="Times New Roman"/>
          <w:color w:val="000000"/>
          <w:sz w:val="24"/>
          <w:szCs w:val="24"/>
        </w:rPr>
      </w:pPr>
      <w:r>
        <w:rPr>
          <w:rFonts w:ascii="Times New Roman" w:hAnsi="Times New Roman"/>
          <w:sz w:val="24"/>
        </w:rPr>
        <w:t>Secteur de jumelage:</w:t>
      </w:r>
      <w:r>
        <w:rPr>
          <w:rFonts w:ascii="Times New Roman" w:hAnsi="Times New Roman"/>
          <w:color w:val="000000"/>
          <w:sz w:val="24"/>
        </w:rPr>
        <w:t xml:space="preserve"> </w:t>
      </w:r>
      <w:r>
        <w:rPr>
          <w:rFonts w:ascii="Times New Roman" w:hAnsi="Times New Roman"/>
          <w:i/>
          <w:color w:val="000000"/>
          <w:sz w:val="24"/>
        </w:rPr>
        <w:t>exemple: justice et affaires intérieures</w:t>
      </w:r>
    </w:p>
    <w:p w14:paraId="535F4E0B" w14:textId="77777777" w:rsidR="00832F98" w:rsidRPr="005107DF" w:rsidRDefault="00832F98" w:rsidP="007338F0">
      <w:pPr>
        <w:spacing w:after="120"/>
        <w:rPr>
          <w:rFonts w:ascii="Times New Roman" w:hAnsi="Times New Roman" w:cs="Times New Roman"/>
          <w:sz w:val="24"/>
          <w:szCs w:val="24"/>
        </w:rPr>
      </w:pPr>
      <w:r>
        <w:rPr>
          <w:rFonts w:ascii="Times New Roman" w:hAnsi="Times New Roman"/>
          <w:sz w:val="24"/>
        </w:rPr>
        <w:t>Budget financé par l’UE (montant maximal de la subvention):</w:t>
      </w:r>
    </w:p>
    <w:p w14:paraId="0A41E75F" w14:textId="77777777" w:rsidR="00832F98" w:rsidRPr="005107DF" w:rsidRDefault="00832F98" w:rsidP="007338F0">
      <w:pPr>
        <w:spacing w:after="120"/>
        <w:rPr>
          <w:rFonts w:ascii="Times New Roman" w:hAnsi="Times New Roman" w:cs="Times New Roman"/>
          <w:color w:val="000000"/>
          <w:sz w:val="24"/>
          <w:szCs w:val="24"/>
        </w:rPr>
      </w:pPr>
      <w:r>
        <w:rPr>
          <w:rFonts w:ascii="Times New Roman" w:hAnsi="Times New Roman"/>
          <w:sz w:val="24"/>
        </w:rPr>
        <w:t>Période d’exécution (mois):</w:t>
      </w:r>
    </w:p>
    <w:p w14:paraId="1D55E627" w14:textId="77777777" w:rsidR="00832F98" w:rsidRPr="005107DF" w:rsidRDefault="00832F98" w:rsidP="007338F0">
      <w:pPr>
        <w:spacing w:after="120"/>
        <w:rPr>
          <w:rFonts w:ascii="Times New Roman" w:hAnsi="Times New Roman" w:cs="Times New Roman"/>
          <w:color w:val="000000"/>
          <w:sz w:val="24"/>
          <w:szCs w:val="24"/>
        </w:rPr>
      </w:pPr>
      <w:r>
        <w:rPr>
          <w:rFonts w:ascii="Times New Roman" w:hAnsi="Times New Roman"/>
          <w:color w:val="000000"/>
          <w:sz w:val="24"/>
        </w:rPr>
        <w:t xml:space="preserve">Chef de projet (CP) proposé: </w:t>
      </w:r>
      <w:r>
        <w:rPr>
          <w:rFonts w:ascii="Times New Roman" w:hAnsi="Times New Roman"/>
          <w:i/>
          <w:color w:val="000000"/>
          <w:sz w:val="24"/>
          <w:u w:val="dotted"/>
        </w:rPr>
        <w:t>État membre, nom complet et poste, institution</w:t>
      </w:r>
      <w:r>
        <w:rPr>
          <w:rFonts w:ascii="Times New Roman" w:hAnsi="Times New Roman"/>
          <w:color w:val="000000"/>
          <w:sz w:val="24"/>
        </w:rPr>
        <w:t xml:space="preserve"> </w:t>
      </w:r>
    </w:p>
    <w:p w14:paraId="036B3A51" w14:textId="77777777" w:rsidR="00832F98" w:rsidRPr="005107DF" w:rsidRDefault="00832F98" w:rsidP="007338F0">
      <w:pPr>
        <w:spacing w:after="120"/>
        <w:rPr>
          <w:rFonts w:ascii="Times New Roman" w:eastAsia="Calibri" w:hAnsi="Times New Roman" w:cs="Times New Roman"/>
          <w:b/>
          <w:bCs/>
          <w:sz w:val="24"/>
          <w:szCs w:val="24"/>
        </w:rPr>
      </w:pPr>
      <w:r>
        <w:rPr>
          <w:rFonts w:ascii="Times New Roman" w:hAnsi="Times New Roman"/>
          <w:color w:val="000000"/>
          <w:sz w:val="24"/>
        </w:rPr>
        <w:t>Chef(s) de projet junior(s) (le cas échéant):</w:t>
      </w:r>
      <w:r>
        <w:rPr>
          <w:rFonts w:ascii="Times New Roman" w:hAnsi="Times New Roman"/>
          <w:b/>
          <w:sz w:val="24"/>
        </w:rPr>
        <w:t xml:space="preserve"> </w:t>
      </w:r>
      <w:r>
        <w:rPr>
          <w:rFonts w:ascii="Times New Roman" w:hAnsi="Times New Roman"/>
          <w:i/>
          <w:color w:val="000000"/>
          <w:sz w:val="24"/>
          <w:u w:val="dotted"/>
        </w:rPr>
        <w:t>État membre,</w:t>
      </w:r>
      <w:r>
        <w:rPr>
          <w:rFonts w:ascii="Times New Roman" w:hAnsi="Times New Roman"/>
          <w:b/>
          <w:i/>
          <w:sz w:val="24"/>
          <w:u w:val="dotted"/>
        </w:rPr>
        <w:t xml:space="preserve"> </w:t>
      </w:r>
      <w:r>
        <w:rPr>
          <w:rFonts w:ascii="Times New Roman" w:hAnsi="Times New Roman"/>
          <w:i/>
          <w:color w:val="000000"/>
          <w:sz w:val="24"/>
          <w:u w:val="dotted"/>
        </w:rPr>
        <w:t>nom complet et poste, institution</w:t>
      </w:r>
    </w:p>
    <w:p w14:paraId="43A8E83A" w14:textId="77777777" w:rsidR="00832F98" w:rsidRPr="005107DF" w:rsidRDefault="00832F98" w:rsidP="007338F0">
      <w:pPr>
        <w:spacing w:after="120"/>
        <w:rPr>
          <w:rFonts w:ascii="Times New Roman" w:hAnsi="Times New Roman" w:cs="Times New Roman"/>
          <w:i/>
          <w:color w:val="000000"/>
          <w:sz w:val="24"/>
          <w:szCs w:val="24"/>
        </w:rPr>
      </w:pPr>
      <w:r>
        <w:rPr>
          <w:rFonts w:ascii="Times New Roman" w:hAnsi="Times New Roman"/>
          <w:sz w:val="24"/>
        </w:rPr>
        <w:t>Conseiller résident de jumelage (CRJ) proposé:</w:t>
      </w:r>
      <w:r>
        <w:rPr>
          <w:rFonts w:ascii="Times New Roman" w:hAnsi="Times New Roman"/>
          <w:i/>
          <w:sz w:val="24"/>
        </w:rPr>
        <w:t xml:space="preserve"> </w:t>
      </w:r>
      <w:r>
        <w:rPr>
          <w:rFonts w:ascii="Times New Roman" w:hAnsi="Times New Roman"/>
          <w:i/>
          <w:sz w:val="24"/>
          <w:u w:val="dotted"/>
        </w:rPr>
        <w:t>nom complet et poste, institution</w:t>
      </w:r>
      <w:r>
        <w:tab/>
      </w:r>
    </w:p>
    <w:p w14:paraId="41E1D8C1" w14:textId="77777777" w:rsidR="00832F98" w:rsidRPr="005107DF" w:rsidRDefault="00832F98" w:rsidP="007338F0">
      <w:pPr>
        <w:spacing w:after="120"/>
        <w:rPr>
          <w:rFonts w:ascii="Times New Roman" w:hAnsi="Times New Roman" w:cs="Times New Roman"/>
          <w:color w:val="000000"/>
          <w:sz w:val="24"/>
          <w:szCs w:val="24"/>
        </w:rPr>
      </w:pPr>
      <w:r>
        <w:rPr>
          <w:rFonts w:ascii="Times New Roman" w:hAnsi="Times New Roman"/>
          <w:color w:val="000000"/>
          <w:sz w:val="24"/>
        </w:rPr>
        <w:t xml:space="preserve">Responsable(s) volet(s) proposé(s): </w:t>
      </w:r>
      <w:r>
        <w:rPr>
          <w:rFonts w:ascii="Times New Roman" w:hAnsi="Times New Roman"/>
          <w:i/>
          <w:color w:val="000000"/>
          <w:sz w:val="24"/>
          <w:u w:val="dotted"/>
        </w:rPr>
        <w:t>nom complet et poste, institution</w:t>
      </w:r>
      <w:r>
        <w:rPr>
          <w:rFonts w:ascii="Times New Roman" w:hAnsi="Times New Roman"/>
          <w:color w:val="000000"/>
          <w:sz w:val="24"/>
          <w:u w:val="dotted"/>
        </w:rPr>
        <w:t xml:space="preserve"> </w:t>
      </w:r>
    </w:p>
    <w:p w14:paraId="10453C3B" w14:textId="77777777" w:rsidR="00832F98" w:rsidRPr="005107DF" w:rsidRDefault="00832F98" w:rsidP="007338F0">
      <w:pPr>
        <w:spacing w:after="120"/>
        <w:rPr>
          <w:rFonts w:ascii="Times New Roman" w:hAnsi="Times New Roman" w:cs="Times New Roman"/>
          <w:b/>
          <w:sz w:val="24"/>
          <w:szCs w:val="24"/>
        </w:rPr>
      </w:pPr>
    </w:p>
    <w:p w14:paraId="4B246E49" w14:textId="77777777" w:rsidR="00832F98" w:rsidRPr="005107DF" w:rsidRDefault="00832F98" w:rsidP="007338F0">
      <w:pPr>
        <w:rPr>
          <w:rFonts w:ascii="Times New Roman" w:eastAsia="Times New Roman" w:hAnsi="Times New Roman" w:cs="Times New Roman"/>
          <w:color w:val="000000"/>
          <w:sz w:val="24"/>
          <w:szCs w:val="24"/>
        </w:rPr>
      </w:pPr>
      <w:r w:rsidRPr="00452C1A">
        <w:rPr>
          <w:rFonts w:ascii="Times New Roman" w:hAnsi="Times New Roman"/>
          <w:b/>
          <w:sz w:val="24"/>
        </w:rPr>
        <w:t>2</w:t>
      </w:r>
      <w:r>
        <w:rPr>
          <w:rFonts w:ascii="Times New Roman" w:hAnsi="Times New Roman"/>
          <w:b/>
          <w:sz w:val="24"/>
        </w:rPr>
        <w:t>. Compréhension du projet</w:t>
      </w:r>
    </w:p>
    <w:p w14:paraId="4FA7D1F7" w14:textId="77777777" w:rsidR="00832F98" w:rsidRPr="005107DF" w:rsidRDefault="00832F98" w:rsidP="00EE710C">
      <w:pPr>
        <w:spacing w:before="120"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Présentez une analyse du projet et de ses besoins.</w:t>
      </w:r>
    </w:p>
    <w:p w14:paraId="742EDCB3" w14:textId="77777777" w:rsidR="00832F98" w:rsidRPr="005107DF" w:rsidRDefault="00832F98" w:rsidP="00EE710C">
      <w:pPr>
        <w:spacing w:before="120"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Expliquez brièvement comment vous envisagez ce projet dans le cadre d’un processus (de réforme) plus vaste et présentez vos plans relatifs à la coordination et à la coopération avec les autres acteurs du secteur.</w:t>
      </w:r>
    </w:p>
    <w:p w14:paraId="44D5B56A" w14:textId="77777777" w:rsidR="00832F98" w:rsidRPr="005107DF" w:rsidRDefault="00832F98" w:rsidP="00EE710C">
      <w:pPr>
        <w:numPr>
          <w:ilvl w:val="12"/>
          <w:numId w:val="0"/>
        </w:numPr>
        <w:spacing w:before="120" w:after="0" w:line="240" w:lineRule="auto"/>
        <w:rPr>
          <w:rFonts w:ascii="Times New Roman" w:eastAsia="Times New Roman" w:hAnsi="Times New Roman" w:cs="Times New Roman"/>
          <w:b/>
          <w:color w:val="000000"/>
          <w:sz w:val="24"/>
          <w:szCs w:val="24"/>
        </w:rPr>
      </w:pPr>
    </w:p>
    <w:p w14:paraId="559D7D0C" w14:textId="77777777" w:rsidR="00832F98" w:rsidRPr="005107DF" w:rsidRDefault="00832F98" w:rsidP="00EE710C">
      <w:pPr>
        <w:numPr>
          <w:ilvl w:val="12"/>
          <w:numId w:val="0"/>
        </w:numPr>
        <w:spacing w:before="120" w:after="0" w:line="240" w:lineRule="auto"/>
        <w:rPr>
          <w:rFonts w:ascii="Times New Roman" w:eastAsia="Times New Roman" w:hAnsi="Times New Roman" w:cs="Times New Roman"/>
          <w:color w:val="000000"/>
          <w:sz w:val="24"/>
          <w:szCs w:val="24"/>
        </w:rPr>
      </w:pPr>
      <w:r w:rsidRPr="00452C1A">
        <w:rPr>
          <w:rFonts w:ascii="Times New Roman" w:hAnsi="Times New Roman"/>
          <w:b/>
          <w:color w:val="000000"/>
          <w:sz w:val="24"/>
        </w:rPr>
        <w:t>3</w:t>
      </w:r>
      <w:r>
        <w:rPr>
          <w:rFonts w:ascii="Times New Roman" w:hAnsi="Times New Roman"/>
          <w:b/>
          <w:color w:val="000000"/>
          <w:sz w:val="24"/>
        </w:rPr>
        <w:t>. Structures/cadre institutionnel offerts par le(s) État(s) membre(s)</w:t>
      </w:r>
    </w:p>
    <w:p w14:paraId="15D31186" w14:textId="77777777" w:rsidR="00832F98" w:rsidRPr="005107DF" w:rsidRDefault="00832F98" w:rsidP="00EE710C">
      <w:pPr>
        <w:spacing w:after="120" w:line="240" w:lineRule="auto"/>
        <w:rPr>
          <w:rFonts w:ascii="Times New Roman" w:eastAsia="Times New Roman" w:hAnsi="Times New Roman" w:cs="Times New Roman"/>
          <w:b/>
          <w:sz w:val="24"/>
          <w:szCs w:val="24"/>
        </w:rPr>
      </w:pPr>
    </w:p>
    <w:p w14:paraId="5D540530" w14:textId="77777777" w:rsidR="00832F98" w:rsidRPr="005107DF" w:rsidRDefault="00832F98" w:rsidP="00EE710C">
      <w:pPr>
        <w:spacing w:after="120" w:line="240" w:lineRule="auto"/>
        <w:rPr>
          <w:rFonts w:ascii="Times New Roman" w:eastAsia="Times New Roman" w:hAnsi="Times New Roman" w:cs="Times New Roman"/>
          <w:sz w:val="24"/>
          <w:szCs w:val="24"/>
        </w:rPr>
      </w:pPr>
      <w:r>
        <w:rPr>
          <w:rFonts w:ascii="Times New Roman" w:hAnsi="Times New Roman"/>
          <w:sz w:val="24"/>
        </w:rPr>
        <w:t xml:space="preserve">Expliquez en détail les structures mises en place dans les États membres pour le secteur et la région concernés, indiquez les capacités (y compris les profils du personnel) de ces structures et précisez la ou les parties des structures qui seraient utilisées. </w:t>
      </w:r>
    </w:p>
    <w:p w14:paraId="7B57F586" w14:textId="77777777" w:rsidR="00832F98" w:rsidRPr="005107DF" w:rsidRDefault="00832F98" w:rsidP="00EE710C">
      <w:pPr>
        <w:spacing w:after="120" w:line="240" w:lineRule="auto"/>
        <w:rPr>
          <w:rFonts w:ascii="Times New Roman" w:eastAsia="Times New Roman" w:hAnsi="Times New Roman" w:cs="Times New Roman"/>
          <w:sz w:val="24"/>
          <w:szCs w:val="24"/>
        </w:rPr>
      </w:pPr>
      <w:r>
        <w:rPr>
          <w:rFonts w:ascii="Times New Roman" w:hAnsi="Times New Roman"/>
          <w:sz w:val="24"/>
        </w:rPr>
        <w:t>Expliquez la manière dont vous prévoyez de relier ces structures à celles qui existent dans le pays bénéficiaire et qui se concentrera sur quoi.</w:t>
      </w:r>
    </w:p>
    <w:p w14:paraId="787315E1" w14:textId="77777777" w:rsidR="00832F98" w:rsidRPr="005107DF" w:rsidRDefault="00832F98" w:rsidP="00EE710C">
      <w:pPr>
        <w:spacing w:before="120" w:after="0" w:line="240" w:lineRule="auto"/>
        <w:rPr>
          <w:rFonts w:ascii="Times New Roman" w:eastAsia="Times New Roman" w:hAnsi="Times New Roman" w:cs="Times New Roman"/>
          <w:b/>
          <w:sz w:val="24"/>
          <w:szCs w:val="24"/>
        </w:rPr>
      </w:pPr>
    </w:p>
    <w:p w14:paraId="721B50D8" w14:textId="77777777" w:rsidR="00832F98" w:rsidRPr="005107DF" w:rsidRDefault="00832F98" w:rsidP="00EE710C">
      <w:pPr>
        <w:spacing w:before="120" w:after="0" w:line="240" w:lineRule="auto"/>
        <w:rPr>
          <w:rFonts w:ascii="Times New Roman" w:eastAsia="Times New Roman" w:hAnsi="Times New Roman" w:cs="Times New Roman"/>
          <w:b/>
          <w:sz w:val="24"/>
          <w:szCs w:val="24"/>
        </w:rPr>
      </w:pPr>
      <w:r w:rsidRPr="00452C1A">
        <w:rPr>
          <w:rFonts w:ascii="Times New Roman" w:hAnsi="Times New Roman"/>
          <w:b/>
          <w:sz w:val="24"/>
        </w:rPr>
        <w:t>4</w:t>
      </w:r>
      <w:r>
        <w:rPr>
          <w:rFonts w:ascii="Times New Roman" w:hAnsi="Times New Roman"/>
          <w:b/>
          <w:sz w:val="24"/>
        </w:rPr>
        <w:t>. Volets et résultats par volet</w:t>
      </w:r>
    </w:p>
    <w:p w14:paraId="1CF97544" w14:textId="77777777" w:rsidR="00832F98" w:rsidRPr="005107DF" w:rsidRDefault="00832F98" w:rsidP="00EE710C">
      <w:pPr>
        <w:numPr>
          <w:ilvl w:val="12"/>
          <w:numId w:val="0"/>
        </w:numPr>
        <w:spacing w:before="120"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Expliquez la manière dont vous comprenez les différents volets et les résultats. </w:t>
      </w:r>
    </w:p>
    <w:p w14:paraId="291482DA" w14:textId="77777777" w:rsidR="00832F98" w:rsidRPr="005107DF" w:rsidRDefault="00832F98" w:rsidP="00EE710C">
      <w:pPr>
        <w:spacing w:before="120" w:after="0" w:line="240" w:lineRule="auto"/>
        <w:rPr>
          <w:rFonts w:ascii="Times New Roman" w:eastAsia="Times New Roman" w:hAnsi="Times New Roman" w:cs="Times New Roman"/>
          <w:b/>
          <w:sz w:val="24"/>
          <w:szCs w:val="24"/>
        </w:rPr>
      </w:pPr>
    </w:p>
    <w:p w14:paraId="12ECB42C" w14:textId="77777777" w:rsidR="00832F98" w:rsidRPr="005107DF" w:rsidRDefault="00832F98" w:rsidP="00EE710C">
      <w:pPr>
        <w:spacing w:before="120" w:after="0" w:line="240" w:lineRule="auto"/>
        <w:rPr>
          <w:rFonts w:ascii="Times New Roman" w:eastAsia="Times New Roman" w:hAnsi="Times New Roman" w:cs="Times New Roman"/>
          <w:b/>
          <w:sz w:val="24"/>
          <w:szCs w:val="24"/>
        </w:rPr>
      </w:pPr>
      <w:r w:rsidRPr="00452C1A">
        <w:rPr>
          <w:rFonts w:ascii="Times New Roman" w:hAnsi="Times New Roman"/>
          <w:b/>
          <w:sz w:val="24"/>
        </w:rPr>
        <w:t>5</w:t>
      </w:r>
      <w:r>
        <w:rPr>
          <w:rFonts w:ascii="Times New Roman" w:hAnsi="Times New Roman"/>
          <w:b/>
          <w:sz w:val="24"/>
        </w:rPr>
        <w:t>. Méthodologie proposée</w:t>
      </w:r>
    </w:p>
    <w:p w14:paraId="1DC8C0B2" w14:textId="77777777" w:rsidR="00832F98" w:rsidRPr="005107DF" w:rsidRDefault="00832F98" w:rsidP="00EE710C">
      <w:pPr>
        <w:spacing w:after="0" w:line="240" w:lineRule="auto"/>
        <w:jc w:val="both"/>
        <w:rPr>
          <w:rFonts w:ascii="Times New Roman" w:eastAsia="Times New Roman" w:hAnsi="Times New Roman" w:cs="Times New Roman"/>
          <w:color w:val="000000"/>
          <w:sz w:val="24"/>
          <w:szCs w:val="24"/>
        </w:rPr>
      </w:pPr>
    </w:p>
    <w:p w14:paraId="399535CB" w14:textId="77777777" w:rsidR="00832F98" w:rsidRPr="005107DF" w:rsidRDefault="00832F98" w:rsidP="00EE710C">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Présentez brièvement la stratégie et la méthodologie que vous prévoyez d’adopter, ainsi qu’un calendrier indicatif comportant des objectifs définis pour chaque résultat obligatoire/produit.</w:t>
      </w:r>
    </w:p>
    <w:p w14:paraId="2C3D9160" w14:textId="77777777" w:rsidR="00832F98" w:rsidRPr="005107DF" w:rsidRDefault="00832F98" w:rsidP="00EE710C">
      <w:pPr>
        <w:numPr>
          <w:ilvl w:val="12"/>
          <w:numId w:val="0"/>
        </w:numPr>
        <w:spacing w:before="120"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Décrivez la méthodologie et l’approche que l’État membre juge les plus appropriées pour atteindre tous les résultats obligatoires/produits et mettre en œuvre le projet de manière durable.</w:t>
      </w:r>
    </w:p>
    <w:p w14:paraId="50FEE78A" w14:textId="77777777" w:rsidR="00832F98" w:rsidRDefault="00832F98" w:rsidP="00EE710C">
      <w:pPr>
        <w:numPr>
          <w:ilvl w:val="12"/>
          <w:numId w:val="0"/>
        </w:numPr>
        <w:spacing w:after="0" w:line="240" w:lineRule="auto"/>
        <w:rPr>
          <w:rFonts w:ascii="Times New Roman" w:eastAsia="Times New Roman" w:hAnsi="Times New Roman" w:cs="Times New Roman"/>
          <w:color w:val="000000"/>
          <w:sz w:val="24"/>
          <w:szCs w:val="24"/>
        </w:rPr>
      </w:pPr>
    </w:p>
    <w:p w14:paraId="5E0586E7" w14:textId="77777777" w:rsidR="00832F98" w:rsidRPr="005107DF" w:rsidRDefault="00832F98" w:rsidP="00EE710C">
      <w:pPr>
        <w:numPr>
          <w:ilvl w:val="12"/>
          <w:numId w:val="0"/>
        </w:numPr>
        <w:spacing w:after="0" w:line="240" w:lineRule="auto"/>
        <w:rPr>
          <w:rFonts w:ascii="Times New Roman" w:eastAsia="Times New Roman" w:hAnsi="Times New Roman" w:cs="Times New Roman"/>
          <w:color w:val="000000"/>
          <w:sz w:val="24"/>
          <w:szCs w:val="24"/>
        </w:rPr>
      </w:pPr>
    </w:p>
    <w:p w14:paraId="151529BB" w14:textId="77777777" w:rsidR="00832F98" w:rsidRPr="005107DF" w:rsidRDefault="00832F98" w:rsidP="00EE710C">
      <w:pPr>
        <w:spacing w:before="120" w:after="0" w:line="240" w:lineRule="auto"/>
        <w:rPr>
          <w:rFonts w:ascii="Times New Roman" w:eastAsia="Times New Roman" w:hAnsi="Times New Roman" w:cs="Times New Roman"/>
          <w:b/>
          <w:sz w:val="24"/>
          <w:szCs w:val="24"/>
        </w:rPr>
      </w:pPr>
      <w:r w:rsidRPr="00452C1A">
        <w:rPr>
          <w:rFonts w:ascii="Times New Roman" w:hAnsi="Times New Roman"/>
          <w:b/>
          <w:sz w:val="24"/>
        </w:rPr>
        <w:t>6</w:t>
      </w:r>
      <w:r>
        <w:rPr>
          <w:rFonts w:ascii="Times New Roman" w:hAnsi="Times New Roman"/>
          <w:b/>
          <w:sz w:val="24"/>
        </w:rPr>
        <w:t>. Activités proposées pour chaque volet</w:t>
      </w:r>
    </w:p>
    <w:p w14:paraId="67EEAE4B" w14:textId="77777777" w:rsidR="00832F98" w:rsidRPr="005107DF" w:rsidRDefault="00832F98" w:rsidP="00EE710C">
      <w:pPr>
        <w:numPr>
          <w:ilvl w:val="12"/>
          <w:numId w:val="0"/>
        </w:numPr>
        <w:spacing w:before="120"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Illustrez la méthodologie décrite ci-dessus, indiquez, pour chaque volet, les aspects importants à prendre en considération pour atteindre les résultats obligatoires/produits du projet ainsi que pour garantir la mise en œuvre durable de celui-ci, sans détailler toutes les activités, mais en mentionnant éventuellement certaines activités essentielles.</w:t>
      </w:r>
    </w:p>
    <w:p w14:paraId="4AA15866" w14:textId="77777777" w:rsidR="00832F98" w:rsidRPr="005107DF" w:rsidRDefault="00832F98" w:rsidP="00EE710C">
      <w:pPr>
        <w:numPr>
          <w:ilvl w:val="12"/>
          <w:numId w:val="0"/>
        </w:numPr>
        <w:spacing w:before="120"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Tenez compte des besoins recensés pour les programmes des voyages d’étude, le programme de formation, etc. - et indiquez si possible les ressources que devra fournir l’administration bénéficiaire pour garantir la mise en œuvre efficace et en temps voulu du projet. </w:t>
      </w:r>
    </w:p>
    <w:p w14:paraId="2AC92323" w14:textId="77777777" w:rsidR="00832F98" w:rsidRPr="005107DF" w:rsidRDefault="00832F98" w:rsidP="00EE710C">
      <w:pPr>
        <w:numPr>
          <w:ilvl w:val="12"/>
          <w:numId w:val="0"/>
        </w:numPr>
        <w:spacing w:after="0" w:line="240" w:lineRule="auto"/>
        <w:jc w:val="both"/>
        <w:rPr>
          <w:rFonts w:ascii="Times New Roman" w:eastAsia="Times New Roman" w:hAnsi="Times New Roman" w:cs="Times New Roman"/>
          <w:i/>
          <w:color w:val="000000"/>
          <w:sz w:val="24"/>
          <w:szCs w:val="24"/>
        </w:rPr>
      </w:pPr>
    </w:p>
    <w:p w14:paraId="0155C6A4" w14:textId="77777777" w:rsidR="00832F98" w:rsidRPr="005107DF" w:rsidRDefault="00832F98" w:rsidP="007338F0">
      <w:pPr>
        <w:spacing w:before="120" w:after="0" w:line="240" w:lineRule="auto"/>
        <w:rPr>
          <w:rFonts w:ascii="Times New Roman" w:eastAsia="Times New Roman" w:hAnsi="Times New Roman" w:cs="Times New Roman"/>
          <w:b/>
          <w:sz w:val="24"/>
          <w:szCs w:val="24"/>
        </w:rPr>
      </w:pPr>
      <w:bookmarkStart w:id="1356" w:name="_Toc476063507"/>
      <w:bookmarkStart w:id="1357" w:name="_Toc476067989"/>
      <w:r w:rsidRPr="00452C1A">
        <w:rPr>
          <w:rFonts w:ascii="Times New Roman" w:hAnsi="Times New Roman"/>
          <w:b/>
          <w:sz w:val="24"/>
        </w:rPr>
        <w:t>7</w:t>
      </w:r>
      <w:r>
        <w:rPr>
          <w:rFonts w:ascii="Times New Roman" w:hAnsi="Times New Roman"/>
          <w:b/>
          <w:sz w:val="24"/>
        </w:rPr>
        <w:t>. Avantage comparatif de la proposition</w:t>
      </w:r>
      <w:bookmarkEnd w:id="1356"/>
      <w:bookmarkEnd w:id="1357"/>
    </w:p>
    <w:p w14:paraId="52B23BA6" w14:textId="77777777" w:rsidR="00832F98" w:rsidRPr="005107DF" w:rsidRDefault="00832F98" w:rsidP="00EE710C">
      <w:pPr>
        <w:numPr>
          <w:ilvl w:val="12"/>
          <w:numId w:val="0"/>
        </w:numPr>
        <w:spacing w:before="120"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Citez des exemples des idées conceptuelles ou concrètes qui ajoutent une valeur particulière à la proposition, p.ex. «Des groupes de travail seront créés pour chaque volet sous la direction des homologues des responsables de volets. Les activités prévues seront mises en œuvre par des experts de différents États membres qui travailleront en équipe avec le personnel de l’administration bénéficiaire».</w:t>
      </w:r>
    </w:p>
    <w:p w14:paraId="1AA72062" w14:textId="77777777" w:rsidR="00832F98" w:rsidRPr="005107DF" w:rsidRDefault="00832F98" w:rsidP="00EE710C">
      <w:pPr>
        <w:numPr>
          <w:ilvl w:val="12"/>
          <w:numId w:val="0"/>
        </w:numPr>
        <w:spacing w:after="0" w:line="240" w:lineRule="auto"/>
        <w:rPr>
          <w:rFonts w:ascii="Times New Roman" w:eastAsia="Times New Roman" w:hAnsi="Times New Roman" w:cs="Times New Roman"/>
          <w:color w:val="000000"/>
          <w:sz w:val="24"/>
          <w:szCs w:val="24"/>
        </w:rPr>
      </w:pPr>
    </w:p>
    <w:p w14:paraId="1891FCB6" w14:textId="77777777" w:rsidR="00832F98" w:rsidRPr="005107DF" w:rsidRDefault="00832F98" w:rsidP="007338F0">
      <w:pPr>
        <w:spacing w:before="120" w:after="0" w:line="240" w:lineRule="auto"/>
        <w:rPr>
          <w:rFonts w:ascii="Times New Roman" w:eastAsia="Times New Roman" w:hAnsi="Times New Roman" w:cs="Times New Roman"/>
          <w:b/>
          <w:sz w:val="24"/>
          <w:szCs w:val="24"/>
        </w:rPr>
      </w:pPr>
      <w:bookmarkStart w:id="1358" w:name="_Toc476063510"/>
      <w:bookmarkStart w:id="1359" w:name="_Toc476067992"/>
      <w:r w:rsidRPr="00452C1A">
        <w:rPr>
          <w:rFonts w:ascii="Times New Roman" w:hAnsi="Times New Roman"/>
          <w:b/>
          <w:sz w:val="24"/>
        </w:rPr>
        <w:t>8</w:t>
      </w:r>
      <w:r>
        <w:rPr>
          <w:rFonts w:ascii="Times New Roman" w:hAnsi="Times New Roman"/>
          <w:b/>
          <w:sz w:val="24"/>
        </w:rPr>
        <w:t>. Analyse des risques</w:t>
      </w:r>
      <w:bookmarkEnd w:id="1358"/>
      <w:bookmarkEnd w:id="1359"/>
    </w:p>
    <w:p w14:paraId="339892EE" w14:textId="77777777" w:rsidR="00832F98" w:rsidRPr="005107DF" w:rsidRDefault="00832F98" w:rsidP="007338F0">
      <w:pPr>
        <w:jc w:val="both"/>
        <w:rPr>
          <w:rFonts w:ascii="Times New Roman" w:hAnsi="Times New Roman" w:cs="Times New Roman"/>
          <w:sz w:val="24"/>
          <w:szCs w:val="24"/>
        </w:rPr>
      </w:pPr>
      <w:r>
        <w:rPr>
          <w:rFonts w:ascii="Times New Roman" w:hAnsi="Times New Roman"/>
          <w:sz w:val="24"/>
        </w:rPr>
        <w:t xml:space="preserve">Présentez les risques liés à la mise en œuvre du projet qu’il est possible de détecter à l’avance, vos idées sur la façon de les maîtriser/atténuer, leur incidence s’ils devaient se concrétiser - sur la base des hypothèses et compte tenu des exigences relatives aux ressources (et/ou actions complémentaires) figurant dans la proposition.   </w:t>
      </w:r>
    </w:p>
    <w:p w14:paraId="7F4992DE" w14:textId="77777777" w:rsidR="00832F98" w:rsidRPr="005107DF" w:rsidRDefault="00832F98" w:rsidP="00EE710C">
      <w:pPr>
        <w:numPr>
          <w:ilvl w:val="12"/>
          <w:numId w:val="0"/>
        </w:numPr>
        <w:spacing w:after="0" w:line="240" w:lineRule="auto"/>
        <w:rPr>
          <w:rFonts w:ascii="Times New Roman" w:eastAsia="Times New Roman" w:hAnsi="Times New Roman" w:cs="Times New Roman"/>
          <w:color w:val="000000"/>
          <w:sz w:val="24"/>
          <w:szCs w:val="24"/>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5"/>
        <w:gridCol w:w="2383"/>
        <w:gridCol w:w="942"/>
        <w:gridCol w:w="2674"/>
        <w:gridCol w:w="1810"/>
      </w:tblGrid>
      <w:tr w:rsidR="00832F98" w:rsidRPr="005107DF" w14:paraId="0236FE6E" w14:textId="77777777" w:rsidTr="00EE710C">
        <w:trPr>
          <w:trHeight w:val="288"/>
        </w:trPr>
        <w:tc>
          <w:tcPr>
            <w:tcW w:w="1584" w:type="dxa"/>
          </w:tcPr>
          <w:p w14:paraId="449449C1"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r>
              <w:rPr>
                <w:rFonts w:ascii="Times New Roman" w:hAnsi="Times New Roman"/>
                <w:color w:val="000000"/>
                <w:sz w:val="24"/>
              </w:rPr>
              <w:t>Risque</w:t>
            </w:r>
          </w:p>
        </w:tc>
        <w:tc>
          <w:tcPr>
            <w:tcW w:w="2693" w:type="dxa"/>
          </w:tcPr>
          <w:p w14:paraId="07DE5BBD"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r>
              <w:rPr>
                <w:rFonts w:ascii="Times New Roman" w:hAnsi="Times New Roman"/>
                <w:color w:val="000000"/>
                <w:sz w:val="24"/>
              </w:rPr>
              <w:t>Probabilité de concrétisation</w:t>
            </w:r>
          </w:p>
        </w:tc>
        <w:tc>
          <w:tcPr>
            <w:tcW w:w="992" w:type="dxa"/>
          </w:tcPr>
          <w:p w14:paraId="78722757"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r>
              <w:rPr>
                <w:rFonts w:ascii="Times New Roman" w:hAnsi="Times New Roman"/>
                <w:color w:val="000000"/>
                <w:sz w:val="24"/>
              </w:rPr>
              <w:t>Effets</w:t>
            </w:r>
          </w:p>
        </w:tc>
        <w:tc>
          <w:tcPr>
            <w:tcW w:w="2693" w:type="dxa"/>
          </w:tcPr>
          <w:p w14:paraId="4E5C31F6"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r>
              <w:rPr>
                <w:rFonts w:ascii="Times New Roman" w:hAnsi="Times New Roman"/>
                <w:color w:val="000000"/>
                <w:sz w:val="24"/>
              </w:rPr>
              <w:t>Mesures correctives/d’atténuation</w:t>
            </w:r>
          </w:p>
        </w:tc>
        <w:tc>
          <w:tcPr>
            <w:tcW w:w="1985" w:type="dxa"/>
          </w:tcPr>
          <w:p w14:paraId="41F57FDC"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r>
              <w:rPr>
                <w:rFonts w:ascii="Times New Roman" w:hAnsi="Times New Roman"/>
                <w:color w:val="000000"/>
                <w:sz w:val="24"/>
              </w:rPr>
              <w:t>Hypothèses</w:t>
            </w:r>
          </w:p>
        </w:tc>
      </w:tr>
      <w:tr w:rsidR="00832F98" w:rsidRPr="005107DF" w14:paraId="11576177" w14:textId="77777777" w:rsidTr="00EE710C">
        <w:trPr>
          <w:trHeight w:val="325"/>
        </w:trPr>
        <w:tc>
          <w:tcPr>
            <w:tcW w:w="1584" w:type="dxa"/>
          </w:tcPr>
          <w:p w14:paraId="12CB7DD5"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2693" w:type="dxa"/>
          </w:tcPr>
          <w:p w14:paraId="23A70CE1"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992" w:type="dxa"/>
          </w:tcPr>
          <w:p w14:paraId="5AA5DC91"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2693" w:type="dxa"/>
          </w:tcPr>
          <w:p w14:paraId="280B95CC"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1985" w:type="dxa"/>
          </w:tcPr>
          <w:p w14:paraId="5F7E74E5"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r>
      <w:tr w:rsidR="00832F98" w:rsidRPr="005107DF" w14:paraId="5F35B9F4" w14:textId="77777777" w:rsidTr="00EE710C">
        <w:trPr>
          <w:trHeight w:val="409"/>
        </w:trPr>
        <w:tc>
          <w:tcPr>
            <w:tcW w:w="1584" w:type="dxa"/>
          </w:tcPr>
          <w:p w14:paraId="6042D7C3"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2693" w:type="dxa"/>
          </w:tcPr>
          <w:p w14:paraId="7F5C4341"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992" w:type="dxa"/>
          </w:tcPr>
          <w:p w14:paraId="118D18A4"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2693" w:type="dxa"/>
          </w:tcPr>
          <w:p w14:paraId="6CF70126"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1985" w:type="dxa"/>
          </w:tcPr>
          <w:p w14:paraId="5AF40A23"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r>
    </w:tbl>
    <w:p w14:paraId="2B2BAC4B" w14:textId="77777777" w:rsidR="00832F98" w:rsidRPr="005107DF" w:rsidRDefault="00832F98" w:rsidP="00EE710C">
      <w:pPr>
        <w:numPr>
          <w:ilvl w:val="12"/>
          <w:numId w:val="0"/>
        </w:numPr>
        <w:spacing w:before="120" w:after="0" w:line="240" w:lineRule="auto"/>
        <w:jc w:val="both"/>
        <w:outlineLvl w:val="0"/>
        <w:rPr>
          <w:rFonts w:ascii="Times New Roman" w:eastAsia="Times New Roman" w:hAnsi="Times New Roman" w:cs="Times New Roman"/>
          <w:b/>
          <w:color w:val="000000"/>
          <w:sz w:val="24"/>
          <w:szCs w:val="24"/>
        </w:rPr>
      </w:pPr>
    </w:p>
    <w:p w14:paraId="457D8D3E" w14:textId="77777777" w:rsidR="00832F98" w:rsidRPr="005107DF" w:rsidRDefault="00832F98" w:rsidP="007338F0">
      <w:pPr>
        <w:spacing w:before="120" w:after="0" w:line="240" w:lineRule="auto"/>
        <w:rPr>
          <w:rFonts w:ascii="Times New Roman" w:eastAsia="Times New Roman" w:hAnsi="Times New Roman" w:cs="Times New Roman"/>
          <w:b/>
          <w:sz w:val="24"/>
          <w:szCs w:val="24"/>
        </w:rPr>
      </w:pPr>
      <w:bookmarkStart w:id="1360" w:name="_Toc476063511"/>
      <w:bookmarkStart w:id="1361" w:name="_Toc476067993"/>
      <w:r w:rsidRPr="00452C1A">
        <w:rPr>
          <w:rFonts w:ascii="Times New Roman" w:hAnsi="Times New Roman"/>
          <w:b/>
          <w:sz w:val="24"/>
        </w:rPr>
        <w:t>9</w:t>
      </w:r>
      <w:r>
        <w:rPr>
          <w:rFonts w:ascii="Times New Roman" w:hAnsi="Times New Roman"/>
          <w:b/>
          <w:sz w:val="24"/>
        </w:rPr>
        <w:t>. Valeur ajoutée du ou des États membres juniors (le cas échéant)</w:t>
      </w:r>
      <w:bookmarkEnd w:id="1360"/>
      <w:bookmarkEnd w:id="1361"/>
    </w:p>
    <w:p w14:paraId="7CA04EC0" w14:textId="77777777" w:rsidR="00832F98" w:rsidRPr="005107DF" w:rsidRDefault="00832F98" w:rsidP="007338F0">
      <w:pPr>
        <w:spacing w:before="120"/>
        <w:rPr>
          <w:rFonts w:ascii="Times New Roman" w:eastAsia="Times New Roman" w:hAnsi="Times New Roman" w:cs="Times New Roman"/>
          <w:b/>
          <w:color w:val="000000"/>
          <w:sz w:val="24"/>
          <w:szCs w:val="24"/>
        </w:rPr>
      </w:pPr>
      <w:bookmarkStart w:id="1362" w:name="_Toc476063512"/>
      <w:bookmarkStart w:id="1363" w:name="_Toc476067994"/>
      <w:r>
        <w:rPr>
          <w:rFonts w:ascii="Times New Roman" w:hAnsi="Times New Roman"/>
          <w:i/>
          <w:sz w:val="24"/>
        </w:rPr>
        <w:t>Indiquez également le nom et le poste du chef de projet junior (CPJ)</w:t>
      </w:r>
      <w:bookmarkEnd w:id="1362"/>
      <w:bookmarkEnd w:id="1363"/>
    </w:p>
    <w:p w14:paraId="2CFA03AD" w14:textId="77777777" w:rsidR="00832F98" w:rsidRPr="005107DF" w:rsidRDefault="00832F98" w:rsidP="007338F0">
      <w:pPr>
        <w:spacing w:before="120" w:after="0" w:line="240" w:lineRule="auto"/>
        <w:rPr>
          <w:rFonts w:ascii="Times New Roman" w:eastAsia="Times New Roman" w:hAnsi="Times New Roman" w:cs="Times New Roman"/>
          <w:b/>
          <w:sz w:val="24"/>
          <w:szCs w:val="24"/>
        </w:rPr>
      </w:pPr>
      <w:bookmarkStart w:id="1364" w:name="_Toc476063513"/>
      <w:bookmarkStart w:id="1365" w:name="_Toc476067995"/>
      <w:r w:rsidRPr="00452C1A">
        <w:rPr>
          <w:rFonts w:ascii="Times New Roman" w:hAnsi="Times New Roman"/>
          <w:b/>
          <w:sz w:val="24"/>
        </w:rPr>
        <w:t>10</w:t>
      </w:r>
      <w:r>
        <w:rPr>
          <w:rFonts w:ascii="Times New Roman" w:hAnsi="Times New Roman"/>
          <w:b/>
          <w:sz w:val="24"/>
        </w:rPr>
        <w:t>. Responsables de volets</w:t>
      </w:r>
      <w:bookmarkEnd w:id="1364"/>
      <w:bookmarkEnd w:id="1365"/>
      <w:r>
        <w:rPr>
          <w:rFonts w:ascii="Times New Roman" w:hAnsi="Times New Roman"/>
          <w:b/>
          <w:sz w:val="24"/>
        </w:rPr>
        <w:t xml:space="preserve"> </w:t>
      </w:r>
    </w:p>
    <w:p w14:paraId="0E6BDB4B" w14:textId="77777777" w:rsidR="00832F98" w:rsidRPr="005107DF" w:rsidRDefault="00832F98" w:rsidP="007338F0">
      <w:pPr>
        <w:spacing w:before="120"/>
        <w:rPr>
          <w:rFonts w:ascii="Times New Roman" w:eastAsia="Times New Roman" w:hAnsi="Times New Roman" w:cs="Times New Roman"/>
          <w:b/>
          <w:color w:val="000000"/>
          <w:sz w:val="24"/>
          <w:szCs w:val="24"/>
        </w:rPr>
      </w:pPr>
      <w:bookmarkStart w:id="1366" w:name="_Toc476063514"/>
      <w:bookmarkStart w:id="1367" w:name="_Toc476067996"/>
      <w:r>
        <w:rPr>
          <w:rFonts w:ascii="Times New Roman" w:hAnsi="Times New Roman"/>
          <w:i/>
          <w:sz w:val="24"/>
        </w:rPr>
        <w:t>Indiquez les noms, postes et profils (expérience, éducation, etc.) de l’équipe d’experts proposée.</w:t>
      </w:r>
      <w:bookmarkEnd w:id="1366"/>
      <w:bookmarkEnd w:id="1367"/>
    </w:p>
    <w:p w14:paraId="5AC87EBF" w14:textId="77777777" w:rsidR="00832F98" w:rsidRPr="005107DF" w:rsidRDefault="00832F98" w:rsidP="007338F0">
      <w:pPr>
        <w:spacing w:before="120" w:after="0" w:line="240" w:lineRule="auto"/>
        <w:rPr>
          <w:rFonts w:ascii="Times New Roman" w:eastAsia="Times New Roman" w:hAnsi="Times New Roman" w:cs="Times New Roman"/>
          <w:b/>
          <w:sz w:val="24"/>
          <w:szCs w:val="24"/>
        </w:rPr>
      </w:pPr>
      <w:bookmarkStart w:id="1368" w:name="_Toc476063515"/>
      <w:bookmarkStart w:id="1369" w:name="_Toc476067997"/>
      <w:r w:rsidRPr="00452C1A">
        <w:rPr>
          <w:rFonts w:ascii="Times New Roman" w:hAnsi="Times New Roman"/>
          <w:b/>
          <w:sz w:val="24"/>
        </w:rPr>
        <w:t>11</w:t>
      </w:r>
      <w:r>
        <w:rPr>
          <w:rFonts w:ascii="Times New Roman" w:hAnsi="Times New Roman"/>
          <w:b/>
          <w:sz w:val="24"/>
        </w:rPr>
        <w:t>. Autres experts à court terme</w:t>
      </w:r>
      <w:bookmarkEnd w:id="1368"/>
      <w:bookmarkEnd w:id="1369"/>
    </w:p>
    <w:p w14:paraId="58B34F8F" w14:textId="77777777" w:rsidR="00832F98" w:rsidRPr="005107DF" w:rsidRDefault="00832F98" w:rsidP="007338F0">
      <w:pPr>
        <w:spacing w:before="120"/>
        <w:rPr>
          <w:rFonts w:ascii="Times New Roman" w:eastAsia="Times New Roman" w:hAnsi="Times New Roman" w:cs="Times New Roman"/>
          <w:color w:val="000000"/>
          <w:sz w:val="24"/>
          <w:szCs w:val="24"/>
        </w:rPr>
      </w:pPr>
      <w:bookmarkStart w:id="1370" w:name="_Toc476063516"/>
      <w:bookmarkStart w:id="1371" w:name="_Toc476067998"/>
      <w:r>
        <w:rPr>
          <w:rFonts w:ascii="Times New Roman" w:hAnsi="Times New Roman"/>
          <w:i/>
          <w:sz w:val="24"/>
        </w:rPr>
        <w:t xml:space="preserve">Fournir un aperçu - et non les CV - des profils (expérience, éducation) disponibles au sein de l’administration pour mettre en œuvre les activités nécessaires à l’obtention de chaque résultat obligatoire/produit. </w:t>
      </w:r>
      <w:bookmarkEnd w:id="1370"/>
      <w:bookmarkEnd w:id="1371"/>
    </w:p>
    <w:p w14:paraId="7200098C" w14:textId="77777777" w:rsidR="00832F98" w:rsidRPr="005107DF" w:rsidRDefault="00832F98" w:rsidP="007338F0">
      <w:pPr>
        <w:spacing w:before="120" w:after="0" w:line="240" w:lineRule="auto"/>
        <w:rPr>
          <w:rFonts w:ascii="Times New Roman" w:eastAsia="Times New Roman" w:hAnsi="Times New Roman" w:cs="Times New Roman"/>
          <w:b/>
          <w:sz w:val="24"/>
          <w:szCs w:val="24"/>
        </w:rPr>
      </w:pPr>
      <w:bookmarkStart w:id="1372" w:name="_Toc476063517"/>
      <w:bookmarkStart w:id="1373" w:name="_Toc476067999"/>
      <w:r w:rsidRPr="00452C1A">
        <w:rPr>
          <w:rFonts w:ascii="Times New Roman" w:hAnsi="Times New Roman"/>
          <w:b/>
          <w:sz w:val="24"/>
        </w:rPr>
        <w:t>12</w:t>
      </w:r>
      <w:r>
        <w:rPr>
          <w:rFonts w:ascii="Times New Roman" w:hAnsi="Times New Roman"/>
          <w:b/>
          <w:sz w:val="24"/>
        </w:rPr>
        <w:t>. Budget indicatif</w:t>
      </w:r>
      <w:bookmarkEnd w:id="1372"/>
      <w:bookmarkEnd w:id="1373"/>
    </w:p>
    <w:p w14:paraId="32C4BC15" w14:textId="3DE07F0F" w:rsidR="004946B7" w:rsidRPr="004946B7" w:rsidRDefault="00832F98" w:rsidP="007338F0">
      <w:pPr>
        <w:spacing w:before="120"/>
        <w:jc w:val="both"/>
        <w:rPr>
          <w:rFonts w:ascii="Times New Roman" w:hAnsi="Times New Roman"/>
          <w:sz w:val="24"/>
        </w:rPr>
      </w:pPr>
      <w:bookmarkStart w:id="1374" w:name="_Toc476063518"/>
      <w:bookmarkStart w:id="1375" w:name="_Toc476068000"/>
      <w:r>
        <w:rPr>
          <w:rFonts w:ascii="Times New Roman" w:hAnsi="Times New Roman"/>
          <w:sz w:val="24"/>
        </w:rPr>
        <w:t>Expliquez comment votre proposition se traduit sur le plan budgétaire - en ventilant les coûts sur la base des trois rubriques budgétaires comme indiqué à l’annexe A</w:t>
      </w:r>
      <w:r w:rsidRPr="00452C1A">
        <w:rPr>
          <w:rFonts w:ascii="Times New Roman" w:hAnsi="Times New Roman"/>
          <w:sz w:val="24"/>
        </w:rPr>
        <w:t>3</w:t>
      </w:r>
      <w:bookmarkEnd w:id="1374"/>
      <w:bookmarkEnd w:id="1375"/>
      <w:r>
        <w:rPr>
          <w:rFonts w:ascii="Times New Roman" w:hAnsi="Times New Roman"/>
          <w:sz w:val="24"/>
        </w:rPr>
        <w:t>.</w:t>
      </w:r>
    </w:p>
    <w:p w14:paraId="1419B80B" w14:textId="77777777" w:rsidR="004946B7" w:rsidRDefault="004946B7" w:rsidP="007338F0">
      <w:pPr>
        <w:spacing w:before="120" w:after="0" w:line="240" w:lineRule="auto"/>
        <w:rPr>
          <w:rFonts w:ascii="Times New Roman" w:hAnsi="Times New Roman"/>
          <w:b/>
          <w:sz w:val="24"/>
        </w:rPr>
      </w:pPr>
    </w:p>
    <w:p w14:paraId="365A014A" w14:textId="77777777" w:rsidR="004946B7" w:rsidRDefault="004946B7" w:rsidP="007338F0">
      <w:pPr>
        <w:spacing w:before="120" w:after="0" w:line="240" w:lineRule="auto"/>
        <w:rPr>
          <w:rFonts w:ascii="Times New Roman" w:hAnsi="Times New Roman"/>
          <w:b/>
          <w:sz w:val="24"/>
        </w:rPr>
      </w:pPr>
    </w:p>
    <w:p w14:paraId="3EDD1403" w14:textId="3F298181" w:rsidR="00832F98" w:rsidRPr="005107DF" w:rsidRDefault="00832F98" w:rsidP="007338F0">
      <w:pPr>
        <w:spacing w:before="120" w:after="0" w:line="240" w:lineRule="auto"/>
        <w:rPr>
          <w:rFonts w:ascii="Times New Roman" w:eastAsia="Times New Roman" w:hAnsi="Times New Roman" w:cs="Times New Roman"/>
          <w:b/>
          <w:sz w:val="24"/>
          <w:szCs w:val="24"/>
        </w:rPr>
      </w:pPr>
      <w:r w:rsidRPr="00452C1A">
        <w:rPr>
          <w:rFonts w:ascii="Times New Roman" w:hAnsi="Times New Roman"/>
          <w:b/>
          <w:sz w:val="24"/>
        </w:rPr>
        <w:lastRenderedPageBreak/>
        <w:t>13</w:t>
      </w:r>
      <w:r>
        <w:rPr>
          <w:rFonts w:ascii="Times New Roman" w:hAnsi="Times New Roman"/>
          <w:b/>
          <w:sz w:val="24"/>
        </w:rPr>
        <w:t>. Plans de communication et de visibilité</w:t>
      </w:r>
    </w:p>
    <w:p w14:paraId="4255895C" w14:textId="77777777" w:rsidR="00832F98" w:rsidRPr="005107DF" w:rsidRDefault="00832F98" w:rsidP="007338F0">
      <w:pPr>
        <w:spacing w:before="120"/>
        <w:jc w:val="both"/>
        <w:rPr>
          <w:rFonts w:ascii="Times New Roman" w:eastAsia="Times New Roman" w:hAnsi="Times New Roman" w:cs="Times New Roman"/>
          <w:b/>
          <w:color w:val="FF0000"/>
          <w:sz w:val="24"/>
          <w:szCs w:val="24"/>
        </w:rPr>
      </w:pPr>
      <w:r>
        <w:rPr>
          <w:rFonts w:ascii="Times New Roman" w:hAnsi="Times New Roman"/>
          <w:sz w:val="24"/>
        </w:rPr>
        <w:t xml:space="preserve">Présentez les idées et les concepts que vous prévoyez pour les activités de communication et de visibilité, ainsi que leur portée prévue. </w:t>
      </w:r>
    </w:p>
    <w:p w14:paraId="66837931" w14:textId="77777777" w:rsidR="00832F98" w:rsidRPr="005107DF" w:rsidRDefault="00832F98" w:rsidP="007338F0">
      <w:pPr>
        <w:spacing w:before="120" w:after="0" w:line="240" w:lineRule="auto"/>
        <w:rPr>
          <w:rFonts w:ascii="Times New Roman" w:eastAsia="Times New Roman" w:hAnsi="Times New Roman" w:cs="Times New Roman"/>
          <w:i/>
          <w:color w:val="000000"/>
          <w:sz w:val="24"/>
          <w:szCs w:val="24"/>
        </w:rPr>
      </w:pPr>
      <w:r w:rsidRPr="00452C1A">
        <w:rPr>
          <w:rFonts w:ascii="Times New Roman" w:hAnsi="Times New Roman"/>
          <w:b/>
          <w:sz w:val="24"/>
        </w:rPr>
        <w:t>14</w:t>
      </w:r>
      <w:r>
        <w:rPr>
          <w:rFonts w:ascii="Times New Roman" w:hAnsi="Times New Roman"/>
          <w:b/>
          <w:sz w:val="24"/>
        </w:rPr>
        <w:t xml:space="preserve">. Durabilité </w:t>
      </w:r>
    </w:p>
    <w:p w14:paraId="5CCD46C8" w14:textId="77777777" w:rsidR="00832F98" w:rsidRPr="005107DF" w:rsidRDefault="00832F98" w:rsidP="007338F0">
      <w:pPr>
        <w:spacing w:before="120" w:line="240" w:lineRule="auto"/>
        <w:jc w:val="both"/>
        <w:rPr>
          <w:rFonts w:ascii="Times New Roman" w:hAnsi="Times New Roman" w:cs="Times New Roman"/>
          <w:sz w:val="24"/>
          <w:szCs w:val="24"/>
        </w:rPr>
      </w:pPr>
      <w:r>
        <w:rPr>
          <w:rFonts w:ascii="Times New Roman" w:hAnsi="Times New Roman"/>
          <w:sz w:val="24"/>
        </w:rPr>
        <w:t xml:space="preserve">Les résultats d’un projet de jumelage (des résultats par volet aux impacts) doivent être maintenus comme un atout permanent dans l’administration bénéficiaire même après la fin de la mise en œuvre du projet de jumelage. Cela présuppose, entre autres, la mise en place par l’administration bénéficiaire de mécanismes efficaces pour diffuser et consolider les résultats du projet. </w:t>
      </w:r>
    </w:p>
    <w:p w14:paraId="4A215BC5" w14:textId="77777777" w:rsidR="00832F98" w:rsidRPr="005107DF" w:rsidRDefault="00832F98" w:rsidP="007338F0">
      <w:pPr>
        <w:spacing w:line="240" w:lineRule="auto"/>
        <w:jc w:val="both"/>
        <w:rPr>
          <w:rFonts w:ascii="Times New Roman" w:hAnsi="Times New Roman" w:cs="Times New Roman"/>
          <w:sz w:val="24"/>
          <w:szCs w:val="24"/>
        </w:rPr>
      </w:pPr>
      <w:r>
        <w:rPr>
          <w:rFonts w:ascii="Times New Roman" w:hAnsi="Times New Roman"/>
          <w:sz w:val="24"/>
        </w:rPr>
        <w:t>En ce qui concerne les projets de jumelage prévoyant un soutien à l’élaboration des politiques sectorielles (stratégies et plans d’action), l’élaboration de nouveaux actes législatifs ou l’introduction de modifications (surtout ayant trait à l’acquis), le meilleur moyen de garantir la durabilité des résultats obligatoires/produits est de veiller à ce que les propositions d’action et les propositions législatives soient au moins appuyées par des analyses d’impact élémentaires (réglementaires, fiscales) et à ce que les acteurs internes et externes soient consultés à leur sujet (consultations interministérielles et publiques), comme l’exige la législation du pays bénéficiaire. Il convient de prévoir suffisamment de temps pour ces travaux préparatoires pendant le projet et d’éviter les procédures accélérées d’adoption de la législation, qui mettent en péril la mise en œuvre et l’application de la future législation.</w:t>
      </w:r>
    </w:p>
    <w:p w14:paraId="7CCA6ABB" w14:textId="77777777" w:rsidR="00832F98" w:rsidRPr="005107DF" w:rsidRDefault="00832F98" w:rsidP="007338F0">
      <w:pPr>
        <w:spacing w:line="240" w:lineRule="auto"/>
        <w:jc w:val="both"/>
        <w:rPr>
          <w:rFonts w:ascii="Times New Roman" w:hAnsi="Times New Roman" w:cs="Times New Roman"/>
          <w:sz w:val="24"/>
          <w:szCs w:val="24"/>
        </w:rPr>
      </w:pPr>
      <w:r>
        <w:rPr>
          <w:rFonts w:ascii="Times New Roman" w:hAnsi="Times New Roman"/>
          <w:sz w:val="24"/>
        </w:rPr>
        <w:t xml:space="preserve">Compte tenu de la nécessité de pérenniser les résultats, le bénéficiaire devrait expliquer comment il a prévu les ressources nécessaires à cette pérennisation dans sa planification budgétaire (planification opérationnelle à moyen terme ou méthode semblable).    </w:t>
      </w:r>
    </w:p>
    <w:p w14:paraId="7C6D83C9" w14:textId="77777777" w:rsidR="00832F98" w:rsidRPr="005107DF" w:rsidRDefault="00832F98" w:rsidP="007338F0">
      <w:pPr>
        <w:autoSpaceDE w:val="0"/>
        <w:autoSpaceDN w:val="0"/>
        <w:adjustRightInd w:val="0"/>
        <w:spacing w:before="120" w:after="0" w:line="240" w:lineRule="auto"/>
        <w:ind w:left="540" w:hanging="540"/>
        <w:rPr>
          <w:rFonts w:ascii="Times New Roman" w:eastAsia="Times New Roman" w:hAnsi="Times New Roman" w:cs="Times New Roman"/>
          <w:bCs/>
          <w:sz w:val="24"/>
          <w:szCs w:val="24"/>
        </w:rPr>
      </w:pPr>
      <w:r w:rsidRPr="00452C1A">
        <w:rPr>
          <w:rFonts w:ascii="Times New Roman" w:hAnsi="Times New Roman"/>
          <w:b/>
          <w:sz w:val="24"/>
        </w:rPr>
        <w:t>15</w:t>
      </w:r>
      <w:r>
        <w:rPr>
          <w:rFonts w:ascii="Times New Roman" w:hAnsi="Times New Roman"/>
          <w:b/>
          <w:sz w:val="24"/>
        </w:rPr>
        <w:t>. Questions transversales (égalité des chances, environnement, climat, etc.)</w:t>
      </w:r>
    </w:p>
    <w:p w14:paraId="1065BFF7" w14:textId="77777777" w:rsidR="00832F98" w:rsidRPr="005107DF" w:rsidRDefault="00832F98" w:rsidP="007338F0">
      <w:pPr>
        <w:spacing w:before="120" w:line="240" w:lineRule="auto"/>
        <w:jc w:val="both"/>
        <w:rPr>
          <w:rFonts w:ascii="Times New Roman" w:hAnsi="Times New Roman" w:cs="Times New Roman"/>
          <w:sz w:val="24"/>
          <w:szCs w:val="24"/>
        </w:rPr>
      </w:pPr>
      <w:r>
        <w:rPr>
          <w:rFonts w:ascii="Times New Roman" w:hAnsi="Times New Roman"/>
          <w:sz w:val="24"/>
        </w:rPr>
        <w:t xml:space="preserve">Analysez comment les objectifs du projet contribuent à la mise en œuvre de politiques de promotion de l’égalité hommes-femmes et des droits de l’homme et, à terme, à la promotion de l’égalité des chances, de l’environnement, des minorités, de la lutte contre le changement climatique, de la couverture régionale, etc. </w:t>
      </w:r>
    </w:p>
    <w:p w14:paraId="2A8229A5" w14:textId="77777777" w:rsidR="00832F98" w:rsidRPr="005107DF" w:rsidRDefault="00832F98" w:rsidP="00EE710C">
      <w:pPr>
        <w:autoSpaceDE w:val="0"/>
        <w:autoSpaceDN w:val="0"/>
        <w:adjustRightInd w:val="0"/>
        <w:spacing w:before="120" w:after="0" w:line="240" w:lineRule="auto"/>
        <w:ind w:left="540" w:hanging="540"/>
        <w:rPr>
          <w:rFonts w:ascii="Times New Roman" w:eastAsia="Times New Roman" w:hAnsi="Times New Roman" w:cs="Times New Roman"/>
          <w:b/>
          <w:sz w:val="24"/>
          <w:szCs w:val="24"/>
        </w:rPr>
      </w:pPr>
      <w:r w:rsidRPr="00452C1A">
        <w:rPr>
          <w:rFonts w:ascii="Times New Roman" w:hAnsi="Times New Roman"/>
          <w:b/>
          <w:sz w:val="24"/>
        </w:rPr>
        <w:t>16</w:t>
      </w:r>
      <w:r>
        <w:rPr>
          <w:rFonts w:ascii="Times New Roman" w:hAnsi="Times New Roman"/>
          <w:b/>
          <w:sz w:val="24"/>
        </w:rPr>
        <w:t>. Début de la mise en œuvre</w:t>
      </w:r>
    </w:p>
    <w:p w14:paraId="5E845A48" w14:textId="77777777" w:rsidR="00832F98" w:rsidRPr="005107DF" w:rsidRDefault="00832F98" w:rsidP="007338F0">
      <w:pPr>
        <w:spacing w:before="120" w:line="240" w:lineRule="auto"/>
        <w:jc w:val="both"/>
        <w:rPr>
          <w:rFonts w:ascii="Times New Roman" w:hAnsi="Times New Roman" w:cs="Times New Roman"/>
          <w:sz w:val="24"/>
          <w:szCs w:val="24"/>
        </w:rPr>
      </w:pPr>
      <w:bookmarkStart w:id="1376" w:name="_Toc476063519"/>
      <w:bookmarkStart w:id="1377" w:name="_Toc476068001"/>
      <w:r>
        <w:rPr>
          <w:rFonts w:ascii="Times New Roman" w:hAnsi="Times New Roman"/>
          <w:sz w:val="24"/>
        </w:rPr>
        <w:t>Indiquez la date à laquelle le CRJ proposé sera disponible pour débuter sa mission.</w:t>
      </w:r>
      <w:bookmarkEnd w:id="1376"/>
      <w:bookmarkEnd w:id="1377"/>
    </w:p>
    <w:p w14:paraId="168876F7" w14:textId="77777777" w:rsidR="00832F98" w:rsidRPr="005107DF" w:rsidRDefault="00832F98" w:rsidP="007338F0">
      <w:pPr>
        <w:autoSpaceDE w:val="0"/>
        <w:autoSpaceDN w:val="0"/>
        <w:adjustRightInd w:val="0"/>
        <w:spacing w:before="120" w:after="0" w:line="240" w:lineRule="auto"/>
        <w:ind w:left="540" w:hanging="540"/>
        <w:rPr>
          <w:rFonts w:ascii="Times New Roman" w:eastAsia="Times New Roman" w:hAnsi="Times New Roman" w:cs="Times New Roman"/>
          <w:b/>
          <w:sz w:val="24"/>
          <w:szCs w:val="24"/>
        </w:rPr>
      </w:pPr>
      <w:r w:rsidRPr="00452C1A">
        <w:rPr>
          <w:rFonts w:ascii="Times New Roman" w:hAnsi="Times New Roman"/>
          <w:b/>
          <w:sz w:val="24"/>
        </w:rPr>
        <w:t>17</w:t>
      </w:r>
      <w:r>
        <w:rPr>
          <w:rFonts w:ascii="Times New Roman" w:hAnsi="Times New Roman"/>
          <w:b/>
          <w:sz w:val="24"/>
        </w:rPr>
        <w:t>. Phase de lancement</w:t>
      </w:r>
    </w:p>
    <w:p w14:paraId="0C48B069" w14:textId="77777777" w:rsidR="00832F98" w:rsidRDefault="00832F98" w:rsidP="007338F0">
      <w:pPr>
        <w:spacing w:before="120" w:line="240" w:lineRule="auto"/>
        <w:jc w:val="both"/>
        <w:rPr>
          <w:rFonts w:ascii="Times New Roman" w:hAnsi="Times New Roman" w:cs="Times New Roman"/>
          <w:sz w:val="24"/>
          <w:szCs w:val="24"/>
        </w:rPr>
      </w:pPr>
      <w:r>
        <w:rPr>
          <w:rFonts w:ascii="Times New Roman" w:hAnsi="Times New Roman"/>
          <w:sz w:val="24"/>
        </w:rPr>
        <w:t>Décrivez la manière dont vous prévoyez d’élaborer le plan de travail initial, en y associant le ou les chefs de projet et/ou les responsables de volets et/ou le reste du personnel d’appui, ainsi que vos intentions au sujet de la participation du ou des CP à l’élaboration des futurs plans de travail et à la mise en œuvre du plan de communication et de visibilité.</w:t>
      </w:r>
    </w:p>
    <w:p w14:paraId="5BA454FB" w14:textId="77777777" w:rsidR="00832F98" w:rsidRDefault="00832F98" w:rsidP="007338F0">
      <w:pPr>
        <w:spacing w:before="120" w:line="240" w:lineRule="auto"/>
        <w:jc w:val="both"/>
        <w:rPr>
          <w:rFonts w:ascii="Times New Roman" w:hAnsi="Times New Roman" w:cs="Times New Roman"/>
          <w:sz w:val="24"/>
          <w:szCs w:val="24"/>
        </w:rPr>
      </w:pPr>
    </w:p>
    <w:p w14:paraId="4A5CFACC" w14:textId="77777777" w:rsidR="00832F98" w:rsidRDefault="00832F98" w:rsidP="007338F0">
      <w:pPr>
        <w:spacing w:before="120" w:line="240" w:lineRule="auto"/>
        <w:jc w:val="both"/>
        <w:rPr>
          <w:rFonts w:ascii="Times New Roman" w:hAnsi="Times New Roman" w:cs="Times New Roman"/>
          <w:sz w:val="24"/>
          <w:szCs w:val="24"/>
        </w:rPr>
      </w:pPr>
    </w:p>
    <w:p w14:paraId="6C0E473D" w14:textId="77777777" w:rsidR="00832F98" w:rsidRDefault="00832F98" w:rsidP="007338F0">
      <w:pPr>
        <w:spacing w:before="120" w:line="240" w:lineRule="auto"/>
        <w:jc w:val="both"/>
        <w:rPr>
          <w:rFonts w:ascii="Times New Roman" w:hAnsi="Times New Roman" w:cs="Times New Roman"/>
          <w:sz w:val="24"/>
          <w:szCs w:val="24"/>
        </w:rPr>
      </w:pPr>
    </w:p>
    <w:p w14:paraId="7ACFD4E9" w14:textId="77777777" w:rsidR="00832F98" w:rsidRDefault="00832F98" w:rsidP="007338F0">
      <w:pPr>
        <w:spacing w:before="120" w:line="240" w:lineRule="auto"/>
        <w:jc w:val="both"/>
        <w:rPr>
          <w:rFonts w:ascii="Times New Roman" w:hAnsi="Times New Roman" w:cs="Times New Roman"/>
          <w:sz w:val="24"/>
          <w:szCs w:val="24"/>
        </w:rPr>
      </w:pPr>
    </w:p>
    <w:p w14:paraId="1227E243" w14:textId="77777777" w:rsidR="00832F98" w:rsidRDefault="00832F98" w:rsidP="007338F0">
      <w:pPr>
        <w:spacing w:before="120" w:line="240" w:lineRule="auto"/>
        <w:jc w:val="both"/>
        <w:rPr>
          <w:rFonts w:ascii="Times New Roman" w:hAnsi="Times New Roman" w:cs="Times New Roman"/>
          <w:sz w:val="24"/>
          <w:szCs w:val="24"/>
        </w:rPr>
      </w:pPr>
    </w:p>
    <w:p w14:paraId="1F1FE24F" w14:textId="77777777" w:rsidR="00832F98" w:rsidRDefault="00832F98" w:rsidP="007338F0">
      <w:pPr>
        <w:spacing w:before="120" w:line="240" w:lineRule="auto"/>
        <w:jc w:val="both"/>
        <w:rPr>
          <w:rFonts w:ascii="Times New Roman" w:hAnsi="Times New Roman" w:cs="Times New Roman"/>
          <w:sz w:val="24"/>
          <w:szCs w:val="24"/>
        </w:rPr>
      </w:pPr>
    </w:p>
    <w:p w14:paraId="2539AC7E" w14:textId="77777777" w:rsidR="00832F98" w:rsidRDefault="00832F98" w:rsidP="007338F0">
      <w:pPr>
        <w:spacing w:before="120" w:line="240" w:lineRule="auto"/>
        <w:jc w:val="both"/>
        <w:rPr>
          <w:rFonts w:ascii="Times New Roman" w:hAnsi="Times New Roman" w:cs="Times New Roman"/>
          <w:sz w:val="24"/>
          <w:szCs w:val="24"/>
        </w:rPr>
      </w:pPr>
    </w:p>
    <w:p w14:paraId="309B35AA" w14:textId="77777777" w:rsidR="00832F98" w:rsidRPr="005107DF" w:rsidRDefault="00832F98" w:rsidP="007338F0">
      <w:pPr>
        <w:spacing w:before="120" w:line="240" w:lineRule="auto"/>
        <w:jc w:val="both"/>
        <w:rPr>
          <w:rFonts w:ascii="Times New Roman" w:hAnsi="Times New Roman" w:cs="Times New Roman"/>
          <w:sz w:val="24"/>
          <w:szCs w:val="24"/>
        </w:rPr>
      </w:pPr>
    </w:p>
    <w:p w14:paraId="4D669712" w14:textId="77777777" w:rsidR="00832F98" w:rsidRPr="005107DF" w:rsidRDefault="00832F98" w:rsidP="007338F0">
      <w:pPr>
        <w:rPr>
          <w:rFonts w:ascii="Times New Roman" w:hAnsi="Times New Roman" w:cs="Times New Roman"/>
          <w:sz w:val="24"/>
          <w:szCs w:val="24"/>
        </w:rPr>
      </w:pPr>
      <w:r>
        <w:rPr>
          <w:rFonts w:ascii="Times New Roman" w:hAnsi="Times New Roman"/>
          <w:sz w:val="24"/>
        </w:rPr>
        <w:lastRenderedPageBreak/>
        <w:t xml:space="preserve">ANNEXES DE LA PROPOSITION </w:t>
      </w:r>
    </w:p>
    <w:p w14:paraId="73BE5EFC" w14:textId="77777777" w:rsidR="00832F98" w:rsidRPr="005107DF" w:rsidRDefault="00832F98" w:rsidP="00D177B1">
      <w:pPr>
        <w:rPr>
          <w:rFonts w:ascii="Times New Roman" w:eastAsia="Times New Roman" w:hAnsi="Times New Roman" w:cs="Times New Roman"/>
          <w:sz w:val="24"/>
          <w:szCs w:val="24"/>
        </w:rPr>
      </w:pPr>
      <w:bookmarkStart w:id="1378" w:name="_Toc476063520"/>
      <w:bookmarkStart w:id="1379" w:name="_Toc476068002"/>
      <w:r w:rsidRPr="00452C1A">
        <w:rPr>
          <w:rFonts w:ascii="Times New Roman" w:hAnsi="Times New Roman"/>
          <w:sz w:val="24"/>
        </w:rPr>
        <w:t>1</w:t>
      </w:r>
      <w:r>
        <w:rPr>
          <w:rFonts w:ascii="Times New Roman" w:hAnsi="Times New Roman"/>
          <w:sz w:val="24"/>
        </w:rPr>
        <w:t>. Calendrier indicatif de mise en œuvre (sur la base du calendrier indicatif inclus dans la fiche de jumelage).</w:t>
      </w:r>
    </w:p>
    <w:p w14:paraId="694ED464" w14:textId="77777777" w:rsidR="00832F98" w:rsidRPr="005107DF" w:rsidRDefault="00832F98" w:rsidP="00D177B1">
      <w:pPr>
        <w:spacing w:after="0" w:line="240" w:lineRule="auto"/>
        <w:rPr>
          <w:rFonts w:ascii="Times New Roman" w:eastAsia="Times New Roman" w:hAnsi="Times New Roman" w:cs="Times New Roman"/>
          <w:i/>
          <w:sz w:val="24"/>
          <w:szCs w:val="24"/>
        </w:rPr>
      </w:pPr>
      <w:r w:rsidRPr="00452C1A">
        <w:rPr>
          <w:rFonts w:ascii="Times New Roman" w:hAnsi="Times New Roman"/>
          <w:sz w:val="24"/>
        </w:rPr>
        <w:t>2</w:t>
      </w:r>
      <w:r>
        <w:rPr>
          <w:rFonts w:ascii="Times New Roman" w:hAnsi="Times New Roman"/>
          <w:sz w:val="24"/>
        </w:rPr>
        <w:t>. CV des CP, CRJ et responsables de volets de l’État membre, au format Europass</w:t>
      </w:r>
      <w:r>
        <w:rPr>
          <w:rFonts w:ascii="Times New Roman" w:hAnsi="Times New Roman"/>
          <w:sz w:val="24"/>
          <w:vertAlign w:val="superscript"/>
        </w:rPr>
        <w:footnoteReference w:id="51"/>
      </w:r>
      <w:r>
        <w:rPr>
          <w:rFonts w:ascii="Times New Roman" w:hAnsi="Times New Roman"/>
          <w:sz w:val="24"/>
        </w:rPr>
        <w:t>.</w:t>
      </w:r>
      <w:r>
        <w:rPr>
          <w:rFonts w:ascii="Times New Roman" w:hAnsi="Times New Roman"/>
          <w:i/>
          <w:sz w:val="24"/>
        </w:rPr>
        <w:t xml:space="preserve"> Aucun autre CV ne sera inclus dans la proposition.</w:t>
      </w:r>
    </w:p>
    <w:p w14:paraId="1037016F" w14:textId="77777777" w:rsidR="00832F98" w:rsidRPr="005107DF" w:rsidRDefault="00832F98" w:rsidP="00D177B1">
      <w:pPr>
        <w:spacing w:after="0" w:line="240" w:lineRule="auto"/>
        <w:rPr>
          <w:rFonts w:ascii="Times New Roman" w:eastAsia="Times New Roman" w:hAnsi="Times New Roman" w:cs="Times New Roman"/>
          <w:sz w:val="24"/>
          <w:szCs w:val="24"/>
        </w:rPr>
      </w:pPr>
    </w:p>
    <w:p w14:paraId="293EB187" w14:textId="77777777" w:rsidR="00832F98" w:rsidRDefault="00832F98" w:rsidP="00D177B1">
      <w:pPr>
        <w:spacing w:after="0" w:line="240" w:lineRule="auto"/>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 Déclaration de disponibilité du CRJ de l’État membre proposé.</w:t>
      </w:r>
    </w:p>
    <w:p w14:paraId="652D5657" w14:textId="77777777" w:rsidR="00832F98" w:rsidRPr="005107DF" w:rsidRDefault="00832F98" w:rsidP="00D177B1">
      <w:pPr>
        <w:spacing w:after="0" w:line="240" w:lineRule="auto"/>
        <w:rPr>
          <w:rFonts w:ascii="Times New Roman" w:eastAsia="Times New Roman" w:hAnsi="Times New Roman" w:cs="Times New Roman"/>
          <w:sz w:val="24"/>
          <w:szCs w:val="24"/>
        </w:rPr>
      </w:pPr>
    </w:p>
    <w:p w14:paraId="175640B1" w14:textId="77777777" w:rsidR="00832F98" w:rsidRPr="005107DF" w:rsidRDefault="00832F98" w:rsidP="0019382C">
      <w:pPr>
        <w:rPr>
          <w:rFonts w:ascii="Times New Roman" w:hAnsi="Times New Roman" w:cs="Times New Roman"/>
        </w:rPr>
      </w:pPr>
      <w:r w:rsidRPr="00452C1A">
        <w:rPr>
          <w:rFonts w:ascii="Times New Roman" w:hAnsi="Times New Roman"/>
          <w:sz w:val="24"/>
        </w:rPr>
        <w:t>4</w:t>
      </w:r>
      <w:r>
        <w:rPr>
          <w:rFonts w:ascii="Times New Roman" w:hAnsi="Times New Roman"/>
          <w:sz w:val="24"/>
        </w:rPr>
        <w:t xml:space="preserve">. Mandat de l’État membre junior. </w:t>
      </w:r>
      <w:bookmarkEnd w:id="1378"/>
      <w:bookmarkEnd w:id="1379"/>
    </w:p>
    <w:p w14:paraId="62FC8E28" w14:textId="77777777" w:rsidR="00832F98" w:rsidRPr="005107DF" w:rsidRDefault="00832F98" w:rsidP="007338F0">
      <w:pPr>
        <w:rPr>
          <w:rFonts w:ascii="Times New Roman" w:hAnsi="Times New Roman" w:cs="Times New Roman"/>
        </w:rPr>
      </w:pPr>
    </w:p>
    <w:p w14:paraId="0DE675CB" w14:textId="77777777" w:rsidR="00832F98" w:rsidRDefault="00832F98" w:rsidP="00EE710C">
      <w:pPr>
        <w:spacing w:after="0" w:line="240" w:lineRule="auto"/>
        <w:rPr>
          <w:rFonts w:ascii="Times New Roman" w:eastAsia="Times New Roman" w:hAnsi="Times New Roman" w:cs="Times New Roman"/>
          <w:noProof/>
          <w:sz w:val="24"/>
          <w:szCs w:val="24"/>
        </w:rPr>
      </w:pPr>
    </w:p>
    <w:p w14:paraId="5D419761" w14:textId="77777777" w:rsidR="00832F98" w:rsidRDefault="00832F98" w:rsidP="00EE710C">
      <w:pPr>
        <w:spacing w:after="0" w:line="240" w:lineRule="auto"/>
        <w:rPr>
          <w:rFonts w:ascii="Times New Roman" w:eastAsia="Times New Roman" w:hAnsi="Times New Roman" w:cs="Times New Roman"/>
          <w:noProof/>
          <w:sz w:val="24"/>
          <w:szCs w:val="24"/>
        </w:rPr>
      </w:pPr>
    </w:p>
    <w:p w14:paraId="38594BA4" w14:textId="77777777" w:rsidR="00832F98" w:rsidRDefault="00832F98" w:rsidP="00EE710C">
      <w:pPr>
        <w:spacing w:after="0" w:line="240" w:lineRule="auto"/>
        <w:rPr>
          <w:rFonts w:ascii="Times New Roman" w:eastAsia="Times New Roman" w:hAnsi="Times New Roman" w:cs="Times New Roman"/>
          <w:noProof/>
          <w:sz w:val="24"/>
          <w:szCs w:val="24"/>
        </w:rPr>
      </w:pPr>
    </w:p>
    <w:p w14:paraId="54B79F87" w14:textId="77777777" w:rsidR="00832F98" w:rsidRDefault="00832F98" w:rsidP="00EE710C">
      <w:pPr>
        <w:spacing w:after="0" w:line="240" w:lineRule="auto"/>
        <w:rPr>
          <w:rFonts w:ascii="Times New Roman" w:eastAsia="Times New Roman" w:hAnsi="Times New Roman" w:cs="Times New Roman"/>
          <w:noProof/>
          <w:sz w:val="24"/>
          <w:szCs w:val="24"/>
        </w:rPr>
      </w:pPr>
    </w:p>
    <w:p w14:paraId="236FECCA" w14:textId="77777777" w:rsidR="00832F98" w:rsidRDefault="00832F98" w:rsidP="00EE710C">
      <w:pPr>
        <w:spacing w:after="0" w:line="240" w:lineRule="auto"/>
        <w:rPr>
          <w:rFonts w:ascii="Times New Roman" w:eastAsia="Times New Roman" w:hAnsi="Times New Roman" w:cs="Times New Roman"/>
          <w:noProof/>
          <w:sz w:val="24"/>
          <w:szCs w:val="24"/>
        </w:rPr>
      </w:pPr>
    </w:p>
    <w:p w14:paraId="17DBC6B2" w14:textId="77777777" w:rsidR="00832F98" w:rsidRDefault="00832F98" w:rsidP="00EE710C">
      <w:pPr>
        <w:spacing w:after="0" w:line="240" w:lineRule="auto"/>
        <w:rPr>
          <w:rFonts w:ascii="Times New Roman" w:eastAsia="Times New Roman" w:hAnsi="Times New Roman" w:cs="Times New Roman"/>
          <w:noProof/>
          <w:sz w:val="24"/>
          <w:szCs w:val="24"/>
        </w:rPr>
      </w:pPr>
    </w:p>
    <w:p w14:paraId="65624ED0" w14:textId="77777777" w:rsidR="00832F98" w:rsidRDefault="00832F98" w:rsidP="00EE710C">
      <w:pPr>
        <w:spacing w:after="0" w:line="240" w:lineRule="auto"/>
        <w:rPr>
          <w:rFonts w:ascii="Times New Roman" w:eastAsia="Times New Roman" w:hAnsi="Times New Roman" w:cs="Times New Roman"/>
          <w:noProof/>
          <w:sz w:val="24"/>
          <w:szCs w:val="24"/>
        </w:rPr>
      </w:pPr>
    </w:p>
    <w:p w14:paraId="07766B97" w14:textId="77777777" w:rsidR="00832F98" w:rsidRDefault="00832F98" w:rsidP="00EE710C">
      <w:pPr>
        <w:spacing w:after="0" w:line="240" w:lineRule="auto"/>
        <w:rPr>
          <w:rFonts w:ascii="Times New Roman" w:eastAsia="Times New Roman" w:hAnsi="Times New Roman" w:cs="Times New Roman"/>
          <w:noProof/>
          <w:sz w:val="24"/>
          <w:szCs w:val="24"/>
        </w:rPr>
      </w:pPr>
    </w:p>
    <w:p w14:paraId="650A3427" w14:textId="77777777" w:rsidR="00832F98" w:rsidRDefault="00832F98" w:rsidP="00EE710C">
      <w:pPr>
        <w:spacing w:after="0" w:line="240" w:lineRule="auto"/>
        <w:rPr>
          <w:rFonts w:ascii="Times New Roman" w:eastAsia="Times New Roman" w:hAnsi="Times New Roman" w:cs="Times New Roman"/>
          <w:noProof/>
          <w:sz w:val="24"/>
          <w:szCs w:val="24"/>
        </w:rPr>
      </w:pPr>
    </w:p>
    <w:p w14:paraId="537FB421" w14:textId="77777777" w:rsidR="00832F98" w:rsidRDefault="00832F98" w:rsidP="00EE710C">
      <w:pPr>
        <w:spacing w:after="0" w:line="240" w:lineRule="auto"/>
        <w:rPr>
          <w:rFonts w:ascii="Times New Roman" w:eastAsia="Times New Roman" w:hAnsi="Times New Roman" w:cs="Times New Roman"/>
          <w:noProof/>
          <w:sz w:val="24"/>
          <w:szCs w:val="24"/>
        </w:rPr>
      </w:pPr>
    </w:p>
    <w:p w14:paraId="652E2868" w14:textId="77777777" w:rsidR="00832F98" w:rsidRDefault="00832F98" w:rsidP="00EE710C">
      <w:pPr>
        <w:spacing w:after="0" w:line="240" w:lineRule="auto"/>
        <w:rPr>
          <w:rFonts w:ascii="Times New Roman" w:eastAsia="Times New Roman" w:hAnsi="Times New Roman" w:cs="Times New Roman"/>
          <w:noProof/>
          <w:sz w:val="24"/>
          <w:szCs w:val="24"/>
        </w:rPr>
      </w:pPr>
    </w:p>
    <w:p w14:paraId="36D1167E" w14:textId="77777777" w:rsidR="00832F98" w:rsidRDefault="00832F98" w:rsidP="00EE710C">
      <w:pPr>
        <w:spacing w:after="0" w:line="240" w:lineRule="auto"/>
        <w:rPr>
          <w:rFonts w:ascii="Times New Roman" w:eastAsia="Times New Roman" w:hAnsi="Times New Roman" w:cs="Times New Roman"/>
          <w:noProof/>
          <w:sz w:val="24"/>
          <w:szCs w:val="24"/>
        </w:rPr>
      </w:pPr>
    </w:p>
    <w:p w14:paraId="0E58AB28" w14:textId="77777777" w:rsidR="00832F98" w:rsidRDefault="00832F98" w:rsidP="00EE710C">
      <w:pPr>
        <w:spacing w:after="0" w:line="240" w:lineRule="auto"/>
        <w:rPr>
          <w:rFonts w:ascii="Times New Roman" w:eastAsia="Times New Roman" w:hAnsi="Times New Roman" w:cs="Times New Roman"/>
          <w:noProof/>
          <w:sz w:val="24"/>
          <w:szCs w:val="24"/>
        </w:rPr>
      </w:pPr>
    </w:p>
    <w:p w14:paraId="7AAAC6AA" w14:textId="77777777" w:rsidR="00832F98" w:rsidRDefault="00832F98" w:rsidP="00EE710C">
      <w:pPr>
        <w:spacing w:after="0" w:line="240" w:lineRule="auto"/>
        <w:rPr>
          <w:rFonts w:ascii="Times New Roman" w:eastAsia="Times New Roman" w:hAnsi="Times New Roman" w:cs="Times New Roman"/>
          <w:noProof/>
          <w:sz w:val="24"/>
          <w:szCs w:val="24"/>
        </w:rPr>
      </w:pPr>
    </w:p>
    <w:p w14:paraId="04945D40" w14:textId="77777777" w:rsidR="00832F98" w:rsidRDefault="00832F98" w:rsidP="00EE710C">
      <w:pPr>
        <w:spacing w:after="0" w:line="240" w:lineRule="auto"/>
        <w:rPr>
          <w:rFonts w:ascii="Times New Roman" w:eastAsia="Times New Roman" w:hAnsi="Times New Roman" w:cs="Times New Roman"/>
          <w:noProof/>
          <w:sz w:val="24"/>
          <w:szCs w:val="24"/>
        </w:rPr>
      </w:pPr>
    </w:p>
    <w:p w14:paraId="4ACA0C88" w14:textId="77777777" w:rsidR="00832F98" w:rsidRDefault="00832F98" w:rsidP="00EE710C">
      <w:pPr>
        <w:spacing w:after="0" w:line="240" w:lineRule="auto"/>
        <w:rPr>
          <w:rFonts w:ascii="Times New Roman" w:eastAsia="Times New Roman" w:hAnsi="Times New Roman" w:cs="Times New Roman"/>
          <w:noProof/>
          <w:sz w:val="24"/>
          <w:szCs w:val="24"/>
        </w:rPr>
      </w:pPr>
    </w:p>
    <w:p w14:paraId="444FA4A8" w14:textId="77777777" w:rsidR="00832F98" w:rsidRDefault="00832F98" w:rsidP="00EE710C">
      <w:pPr>
        <w:spacing w:after="0" w:line="240" w:lineRule="auto"/>
        <w:rPr>
          <w:rFonts w:ascii="Times New Roman" w:eastAsia="Times New Roman" w:hAnsi="Times New Roman" w:cs="Times New Roman"/>
          <w:noProof/>
          <w:sz w:val="24"/>
          <w:szCs w:val="24"/>
        </w:rPr>
      </w:pPr>
    </w:p>
    <w:p w14:paraId="3E6CA669" w14:textId="77777777" w:rsidR="00832F98" w:rsidRDefault="00832F98" w:rsidP="00EE710C">
      <w:pPr>
        <w:spacing w:after="0" w:line="240" w:lineRule="auto"/>
        <w:rPr>
          <w:rFonts w:ascii="Times New Roman" w:eastAsia="Times New Roman" w:hAnsi="Times New Roman" w:cs="Times New Roman"/>
          <w:noProof/>
          <w:sz w:val="24"/>
          <w:szCs w:val="24"/>
        </w:rPr>
      </w:pPr>
    </w:p>
    <w:p w14:paraId="6938DAC4" w14:textId="77777777" w:rsidR="00832F98" w:rsidRDefault="00832F98" w:rsidP="00EE710C">
      <w:pPr>
        <w:spacing w:after="0" w:line="240" w:lineRule="auto"/>
        <w:rPr>
          <w:rFonts w:ascii="Times New Roman" w:eastAsia="Times New Roman" w:hAnsi="Times New Roman" w:cs="Times New Roman"/>
          <w:noProof/>
          <w:sz w:val="24"/>
          <w:szCs w:val="24"/>
        </w:rPr>
      </w:pPr>
    </w:p>
    <w:p w14:paraId="452D7C20" w14:textId="77777777" w:rsidR="00832F98" w:rsidRDefault="00832F98" w:rsidP="00EE710C">
      <w:pPr>
        <w:spacing w:after="0" w:line="240" w:lineRule="auto"/>
        <w:rPr>
          <w:rFonts w:ascii="Times New Roman" w:eastAsia="Times New Roman" w:hAnsi="Times New Roman" w:cs="Times New Roman"/>
          <w:noProof/>
          <w:sz w:val="24"/>
          <w:szCs w:val="24"/>
        </w:rPr>
      </w:pPr>
    </w:p>
    <w:p w14:paraId="7CFFB92E" w14:textId="77777777" w:rsidR="00832F98" w:rsidRDefault="00832F98" w:rsidP="00EE710C">
      <w:pPr>
        <w:spacing w:after="0" w:line="240" w:lineRule="auto"/>
        <w:rPr>
          <w:rFonts w:ascii="Times New Roman" w:eastAsia="Times New Roman" w:hAnsi="Times New Roman" w:cs="Times New Roman"/>
          <w:noProof/>
          <w:sz w:val="24"/>
          <w:szCs w:val="24"/>
        </w:rPr>
      </w:pPr>
    </w:p>
    <w:p w14:paraId="79700694" w14:textId="77777777" w:rsidR="00832F98" w:rsidRDefault="00832F98" w:rsidP="00EE710C">
      <w:pPr>
        <w:spacing w:after="0" w:line="240" w:lineRule="auto"/>
        <w:rPr>
          <w:rFonts w:ascii="Times New Roman" w:eastAsia="Times New Roman" w:hAnsi="Times New Roman" w:cs="Times New Roman"/>
          <w:noProof/>
          <w:sz w:val="24"/>
          <w:szCs w:val="24"/>
        </w:rPr>
      </w:pPr>
    </w:p>
    <w:p w14:paraId="59B9591F" w14:textId="77777777" w:rsidR="00832F98" w:rsidRDefault="00832F98" w:rsidP="00EE710C">
      <w:pPr>
        <w:spacing w:after="0" w:line="240" w:lineRule="auto"/>
        <w:rPr>
          <w:rFonts w:ascii="Times New Roman" w:eastAsia="Times New Roman" w:hAnsi="Times New Roman" w:cs="Times New Roman"/>
          <w:noProof/>
          <w:sz w:val="24"/>
          <w:szCs w:val="24"/>
        </w:rPr>
      </w:pPr>
    </w:p>
    <w:p w14:paraId="369CCFC1" w14:textId="77777777" w:rsidR="00832F98" w:rsidRDefault="00832F98" w:rsidP="00EE710C">
      <w:pPr>
        <w:spacing w:after="0" w:line="240" w:lineRule="auto"/>
        <w:rPr>
          <w:rFonts w:ascii="Times New Roman" w:eastAsia="Times New Roman" w:hAnsi="Times New Roman" w:cs="Times New Roman"/>
          <w:noProof/>
          <w:sz w:val="24"/>
          <w:szCs w:val="24"/>
        </w:rPr>
      </w:pPr>
    </w:p>
    <w:p w14:paraId="38DB029E" w14:textId="77777777" w:rsidR="00832F98" w:rsidRDefault="00832F98" w:rsidP="00EE710C">
      <w:pPr>
        <w:spacing w:after="0" w:line="240" w:lineRule="auto"/>
        <w:rPr>
          <w:rFonts w:ascii="Times New Roman" w:eastAsia="Times New Roman" w:hAnsi="Times New Roman" w:cs="Times New Roman"/>
          <w:noProof/>
          <w:sz w:val="24"/>
          <w:szCs w:val="24"/>
        </w:rPr>
      </w:pPr>
    </w:p>
    <w:p w14:paraId="450049A1" w14:textId="77777777" w:rsidR="00832F98" w:rsidRDefault="00832F98" w:rsidP="00EE710C">
      <w:pPr>
        <w:spacing w:after="0" w:line="240" w:lineRule="auto"/>
        <w:rPr>
          <w:rFonts w:ascii="Times New Roman" w:eastAsia="Times New Roman" w:hAnsi="Times New Roman" w:cs="Times New Roman"/>
          <w:noProof/>
          <w:sz w:val="24"/>
          <w:szCs w:val="24"/>
        </w:rPr>
      </w:pPr>
    </w:p>
    <w:p w14:paraId="37158459" w14:textId="77777777" w:rsidR="00832F98" w:rsidRDefault="00832F98" w:rsidP="00EE710C">
      <w:pPr>
        <w:spacing w:after="0" w:line="240" w:lineRule="auto"/>
        <w:rPr>
          <w:rFonts w:ascii="Times New Roman" w:eastAsia="Times New Roman" w:hAnsi="Times New Roman" w:cs="Times New Roman"/>
          <w:noProof/>
          <w:sz w:val="24"/>
          <w:szCs w:val="24"/>
        </w:rPr>
      </w:pPr>
    </w:p>
    <w:p w14:paraId="4F832286" w14:textId="77777777" w:rsidR="00832F98" w:rsidRDefault="00832F98" w:rsidP="00EE710C">
      <w:pPr>
        <w:spacing w:after="0" w:line="240" w:lineRule="auto"/>
        <w:rPr>
          <w:rFonts w:ascii="Times New Roman" w:eastAsia="Times New Roman" w:hAnsi="Times New Roman" w:cs="Times New Roman"/>
          <w:noProof/>
          <w:sz w:val="24"/>
          <w:szCs w:val="24"/>
        </w:rPr>
      </w:pPr>
    </w:p>
    <w:p w14:paraId="74D04080" w14:textId="77777777" w:rsidR="00832F98" w:rsidRDefault="00832F98" w:rsidP="00EE710C">
      <w:pPr>
        <w:spacing w:after="0" w:line="240" w:lineRule="auto"/>
        <w:rPr>
          <w:rFonts w:ascii="Times New Roman" w:eastAsia="Times New Roman" w:hAnsi="Times New Roman" w:cs="Times New Roman"/>
          <w:noProof/>
          <w:sz w:val="24"/>
          <w:szCs w:val="24"/>
        </w:rPr>
      </w:pPr>
    </w:p>
    <w:p w14:paraId="744755D3" w14:textId="77777777" w:rsidR="00832F98" w:rsidRDefault="00832F98" w:rsidP="00EE710C">
      <w:pPr>
        <w:spacing w:after="0" w:line="240" w:lineRule="auto"/>
        <w:rPr>
          <w:rFonts w:ascii="Times New Roman" w:eastAsia="Times New Roman" w:hAnsi="Times New Roman" w:cs="Times New Roman"/>
          <w:noProof/>
          <w:sz w:val="24"/>
          <w:szCs w:val="24"/>
        </w:rPr>
      </w:pPr>
    </w:p>
    <w:p w14:paraId="6FB46C12" w14:textId="77777777" w:rsidR="00832F98" w:rsidRDefault="00832F98" w:rsidP="00EE710C">
      <w:pPr>
        <w:spacing w:after="0" w:line="240" w:lineRule="auto"/>
        <w:rPr>
          <w:rFonts w:ascii="Times New Roman" w:eastAsia="Times New Roman" w:hAnsi="Times New Roman" w:cs="Times New Roman"/>
          <w:noProof/>
          <w:sz w:val="24"/>
          <w:szCs w:val="24"/>
        </w:rPr>
      </w:pPr>
    </w:p>
    <w:p w14:paraId="77A2E872" w14:textId="77777777" w:rsidR="00832F98" w:rsidRDefault="00832F98" w:rsidP="00EE710C">
      <w:pPr>
        <w:spacing w:after="0" w:line="240" w:lineRule="auto"/>
        <w:rPr>
          <w:rFonts w:ascii="Times New Roman" w:eastAsia="Times New Roman" w:hAnsi="Times New Roman" w:cs="Times New Roman"/>
          <w:noProof/>
          <w:sz w:val="24"/>
          <w:szCs w:val="24"/>
        </w:rPr>
      </w:pPr>
    </w:p>
    <w:p w14:paraId="3FBC4BA2" w14:textId="77777777" w:rsidR="00832F98" w:rsidRDefault="00832F98" w:rsidP="00EE710C">
      <w:pPr>
        <w:spacing w:after="0" w:line="240" w:lineRule="auto"/>
        <w:rPr>
          <w:rFonts w:ascii="Times New Roman" w:eastAsia="Times New Roman" w:hAnsi="Times New Roman" w:cs="Times New Roman"/>
          <w:noProof/>
          <w:sz w:val="24"/>
          <w:szCs w:val="24"/>
        </w:rPr>
      </w:pPr>
    </w:p>
    <w:p w14:paraId="35AE672F" w14:textId="77777777" w:rsidR="00832F98" w:rsidRDefault="00832F98" w:rsidP="00EE710C">
      <w:pPr>
        <w:spacing w:after="0" w:line="240" w:lineRule="auto"/>
        <w:rPr>
          <w:rFonts w:ascii="Times New Roman" w:eastAsia="Times New Roman" w:hAnsi="Times New Roman" w:cs="Times New Roman"/>
          <w:noProof/>
          <w:sz w:val="24"/>
          <w:szCs w:val="24"/>
        </w:rPr>
      </w:pPr>
    </w:p>
    <w:p w14:paraId="7EB94E09" w14:textId="77777777" w:rsidR="00832F98" w:rsidRDefault="00832F98" w:rsidP="00EE710C">
      <w:pPr>
        <w:spacing w:after="0" w:line="240" w:lineRule="auto"/>
        <w:rPr>
          <w:rFonts w:ascii="Times New Roman" w:eastAsia="Times New Roman" w:hAnsi="Times New Roman" w:cs="Times New Roman"/>
          <w:noProof/>
          <w:sz w:val="24"/>
          <w:szCs w:val="24"/>
        </w:rPr>
      </w:pPr>
    </w:p>
    <w:p w14:paraId="25F3B8EA" w14:textId="77777777" w:rsidR="00832F98" w:rsidRDefault="00832F98" w:rsidP="00EE710C">
      <w:pPr>
        <w:spacing w:after="0" w:line="240" w:lineRule="auto"/>
        <w:rPr>
          <w:rFonts w:ascii="Times New Roman" w:eastAsia="Times New Roman" w:hAnsi="Times New Roman" w:cs="Times New Roman"/>
          <w:noProof/>
          <w:sz w:val="24"/>
          <w:szCs w:val="24"/>
        </w:rPr>
      </w:pPr>
    </w:p>
    <w:p w14:paraId="1209B669" w14:textId="77777777" w:rsidR="00832F98" w:rsidRDefault="00832F98" w:rsidP="00EE710C">
      <w:pPr>
        <w:spacing w:after="0" w:line="240" w:lineRule="auto"/>
        <w:rPr>
          <w:rFonts w:ascii="Times New Roman" w:eastAsia="Times New Roman" w:hAnsi="Times New Roman" w:cs="Times New Roman"/>
          <w:noProof/>
          <w:sz w:val="24"/>
          <w:szCs w:val="24"/>
        </w:rPr>
      </w:pPr>
    </w:p>
    <w:p w14:paraId="19A7A5FA" w14:textId="77777777" w:rsidR="00832F98" w:rsidRDefault="00832F98" w:rsidP="00EE710C">
      <w:pPr>
        <w:spacing w:after="0" w:line="240" w:lineRule="auto"/>
        <w:rPr>
          <w:rFonts w:ascii="Times New Roman" w:eastAsia="Times New Roman" w:hAnsi="Times New Roman" w:cs="Times New Roman"/>
          <w:noProof/>
          <w:sz w:val="24"/>
          <w:szCs w:val="24"/>
        </w:rPr>
      </w:pPr>
    </w:p>
    <w:p w14:paraId="4F971467" w14:textId="77777777" w:rsidR="00832F98" w:rsidRPr="005107DF" w:rsidRDefault="00832F98" w:rsidP="00EE710C">
      <w:pPr>
        <w:spacing w:after="0" w:line="240" w:lineRule="auto"/>
        <w:rPr>
          <w:rFonts w:ascii="Times New Roman" w:eastAsia="Times New Roman" w:hAnsi="Times New Roman" w:cs="Times New Roman"/>
          <w:b/>
          <w:bCs/>
          <w:color w:val="1F497D"/>
          <w:sz w:val="36"/>
          <w:szCs w:val="36"/>
        </w:rPr>
      </w:pPr>
    </w:p>
    <w:tbl>
      <w:tblPr>
        <w:tblW w:w="93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7"/>
      </w:tblGrid>
      <w:tr w:rsidR="00832F98" w:rsidRPr="005107DF" w14:paraId="58314A94" w14:textId="77777777" w:rsidTr="007338F0">
        <w:tc>
          <w:tcPr>
            <w:tcW w:w="9317" w:type="dxa"/>
            <w:shd w:val="clear" w:color="auto" w:fill="auto"/>
          </w:tcPr>
          <w:p w14:paraId="71F6902D" w14:textId="77777777" w:rsidR="00832F98" w:rsidRPr="005107DF" w:rsidRDefault="00832F98" w:rsidP="00EE710C">
            <w:pPr>
              <w:spacing w:after="0" w:line="240" w:lineRule="auto"/>
              <w:rPr>
                <w:rFonts w:ascii="Times New Roman" w:eastAsia="Times New Roman" w:hAnsi="Times New Roman" w:cs="Times New Roman"/>
                <w:sz w:val="24"/>
                <w:szCs w:val="24"/>
              </w:rPr>
            </w:pPr>
          </w:p>
          <w:p w14:paraId="1B06099B" w14:textId="6E45540D" w:rsidR="00832F98" w:rsidRPr="005107DF" w:rsidRDefault="004C2BDB" w:rsidP="00EE710C">
            <w:pPr>
              <w:spacing w:after="0" w:line="240" w:lineRule="auto"/>
              <w:rPr>
                <w:rFonts w:ascii="Times New Roman" w:eastAsia="Times New Roman" w:hAnsi="Times New Roman" w:cs="Times New Roman"/>
                <w:sz w:val="24"/>
                <w:szCs w:val="24"/>
              </w:rPr>
            </w:pPr>
            <w:r>
              <w:rPr>
                <w:rFonts w:eastAsia="Times New Roman"/>
                <w:noProof/>
                <w:sz w:val="24"/>
                <w:szCs w:val="24"/>
                <w:lang w:val="en-GB" w:eastAsia="en-GB" w:bidi="ar-SA"/>
              </w:rPr>
              <w:drawing>
                <wp:anchor distT="0" distB="0" distL="114300" distR="114300" simplePos="0" relativeHeight="251669504" behindDoc="1" locked="0" layoutInCell="1" allowOverlap="1" wp14:anchorId="26729726" wp14:editId="48073531">
                  <wp:simplePos x="0" y="0"/>
                  <wp:positionH relativeFrom="margin">
                    <wp:posOffset>-86199</wp:posOffset>
                  </wp:positionH>
                  <wp:positionV relativeFrom="margin">
                    <wp:posOffset>1701563</wp:posOffset>
                  </wp:positionV>
                  <wp:extent cx="5652249" cy="6177280"/>
                  <wp:effectExtent l="0" t="0" r="5715" b="0"/>
                  <wp:wrapNone/>
                  <wp:docPr id="31" name="Picture 3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3047" cy="6178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2F98">
              <w:rPr>
                <w:rFonts w:ascii="Times New Roman" w:hAnsi="Times New Roman"/>
                <w:noProof/>
              </w:rPr>
              <w:t xml:space="preserve">                                                      </w:t>
            </w:r>
            <w:r w:rsidR="00832F98">
              <w:rPr>
                <w:rFonts w:ascii="Times New Roman" w:hAnsi="Times New Roman" w:cs="Times New Roman"/>
                <w:noProof/>
                <w:lang w:val="en-GB" w:eastAsia="en-GB" w:bidi="ar-SA"/>
              </w:rPr>
              <w:drawing>
                <wp:inline distT="0" distB="0" distL="0" distR="0" wp14:anchorId="4047C2E4" wp14:editId="1C0C7F0B">
                  <wp:extent cx="2164523" cy="1498516"/>
                  <wp:effectExtent l="0" t="0" r="7620" b="6985"/>
                  <wp:docPr id="26" name="Picture 26"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E_Vertical_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2396" cy="1497043"/>
                          </a:xfrm>
                          <a:prstGeom prst="rect">
                            <a:avLst/>
                          </a:prstGeom>
                          <a:noFill/>
                          <a:ln>
                            <a:noFill/>
                          </a:ln>
                        </pic:spPr>
                      </pic:pic>
                    </a:graphicData>
                  </a:graphic>
                </wp:inline>
              </w:drawing>
            </w:r>
          </w:p>
          <w:p w14:paraId="51AB5181" w14:textId="245BBBEE" w:rsidR="00832F98" w:rsidRPr="005107DF" w:rsidRDefault="00832F98" w:rsidP="007338F0">
            <w:pPr>
              <w:pStyle w:val="Heading2"/>
              <w:tabs>
                <w:tab w:val="left" w:pos="9492"/>
              </w:tabs>
              <w:ind w:right="33"/>
              <w:jc w:val="center"/>
              <w:rPr>
                <w:rFonts w:eastAsia="Times New Roman"/>
                <w:bCs/>
                <w:szCs w:val="36"/>
              </w:rPr>
            </w:pPr>
            <w:bookmarkStart w:id="1380" w:name="_Toc476063522"/>
            <w:bookmarkStart w:id="1381" w:name="_Toc476068004"/>
            <w:bookmarkStart w:id="1382" w:name="_Toc517434478"/>
            <w:bookmarkStart w:id="1383" w:name="_Toc2861045"/>
            <w:r>
              <w:rPr>
                <w:sz w:val="32"/>
              </w:rPr>
              <w:t>ANNEXE C</w:t>
            </w:r>
            <w:r w:rsidRPr="00452C1A">
              <w:rPr>
                <w:sz w:val="32"/>
              </w:rPr>
              <w:t>2</w:t>
            </w:r>
            <w:r>
              <w:rPr>
                <w:sz w:val="32"/>
              </w:rPr>
              <w:t>bis: Proposition de jumelage léger</w:t>
            </w:r>
            <w:bookmarkStart w:id="1384" w:name="_Toc476063524"/>
            <w:bookmarkStart w:id="1385" w:name="_Toc476068006"/>
            <w:bookmarkEnd w:id="1380"/>
            <w:bookmarkEnd w:id="1381"/>
            <w:bookmarkEnd w:id="1382"/>
            <w:bookmarkEnd w:id="1383"/>
          </w:p>
          <w:p w14:paraId="3462A5AB" w14:textId="77777777" w:rsidR="00832F98" w:rsidRPr="005107DF" w:rsidRDefault="00832F98" w:rsidP="007338F0">
            <w:pPr>
              <w:jc w:val="center"/>
              <w:rPr>
                <w:rFonts w:ascii="Times New Roman" w:hAnsi="Times New Roman" w:cs="Times New Roman"/>
                <w:sz w:val="24"/>
                <w:szCs w:val="24"/>
              </w:rPr>
            </w:pPr>
            <w:r>
              <w:rPr>
                <w:rFonts w:ascii="Times New Roman" w:hAnsi="Times New Roman"/>
                <w:sz w:val="24"/>
              </w:rPr>
              <w:t>entre</w:t>
            </w:r>
            <w:bookmarkEnd w:id="1384"/>
            <w:bookmarkEnd w:id="1385"/>
          </w:p>
          <w:p w14:paraId="477A68DD" w14:textId="77777777" w:rsidR="00832F98" w:rsidRPr="005107DF" w:rsidRDefault="00832F98" w:rsidP="007338F0">
            <w:pPr>
              <w:jc w:val="center"/>
              <w:rPr>
                <w:rFonts w:ascii="Times New Roman" w:hAnsi="Times New Roman" w:cs="Times New Roman"/>
                <w:i/>
                <w:sz w:val="24"/>
                <w:szCs w:val="24"/>
                <w:u w:val="dotted"/>
              </w:rPr>
            </w:pPr>
            <w:bookmarkStart w:id="1386" w:name="_Toc476063525"/>
            <w:bookmarkStart w:id="1387" w:name="_Toc476068007"/>
            <w:r>
              <w:rPr>
                <w:rFonts w:ascii="Times New Roman" w:hAnsi="Times New Roman"/>
                <w:i/>
                <w:sz w:val="24"/>
                <w:u w:val="dotted"/>
              </w:rPr>
              <w:t>l’État membre de l’UE X</w:t>
            </w:r>
            <w:bookmarkEnd w:id="1386"/>
            <w:bookmarkEnd w:id="1387"/>
          </w:p>
          <w:p w14:paraId="3E15B4A9" w14:textId="77777777" w:rsidR="00832F98" w:rsidRPr="005107DF" w:rsidRDefault="00832F98" w:rsidP="007338F0">
            <w:pPr>
              <w:jc w:val="center"/>
              <w:rPr>
                <w:rFonts w:ascii="Times New Roman" w:hAnsi="Times New Roman" w:cs="Times New Roman"/>
                <w:i/>
                <w:sz w:val="24"/>
                <w:szCs w:val="24"/>
                <w:u w:val="dotted"/>
              </w:rPr>
            </w:pPr>
            <w:bookmarkStart w:id="1388" w:name="_Toc476063526"/>
            <w:bookmarkStart w:id="1389" w:name="_Toc476068008"/>
            <w:r>
              <w:rPr>
                <w:rFonts w:ascii="Times New Roman" w:hAnsi="Times New Roman"/>
                <w:i/>
                <w:sz w:val="24"/>
                <w:u w:val="dotted"/>
              </w:rPr>
              <w:t>et</w:t>
            </w:r>
            <w:bookmarkEnd w:id="1388"/>
            <w:bookmarkEnd w:id="1389"/>
          </w:p>
          <w:p w14:paraId="61C09115" w14:textId="77777777" w:rsidR="00832F98" w:rsidRPr="005107DF" w:rsidRDefault="00832F98" w:rsidP="007338F0">
            <w:pPr>
              <w:jc w:val="center"/>
              <w:rPr>
                <w:rFonts w:ascii="Times New Roman" w:hAnsi="Times New Roman" w:cs="Times New Roman"/>
                <w:i/>
                <w:sz w:val="24"/>
                <w:szCs w:val="24"/>
                <w:u w:val="dotted"/>
              </w:rPr>
            </w:pPr>
            <w:bookmarkStart w:id="1390" w:name="_Toc476063527"/>
            <w:bookmarkStart w:id="1391" w:name="_Toc476068009"/>
            <w:r>
              <w:rPr>
                <w:rFonts w:ascii="Times New Roman" w:hAnsi="Times New Roman"/>
                <w:i/>
                <w:sz w:val="24"/>
                <w:u w:val="dotted"/>
              </w:rPr>
              <w:t>l’administration bénéficiaire du pays bénéficiaire Z</w:t>
            </w:r>
            <w:bookmarkEnd w:id="1390"/>
            <w:bookmarkEnd w:id="1391"/>
          </w:p>
          <w:p w14:paraId="338ABCBA" w14:textId="77777777" w:rsidR="00832F98" w:rsidRPr="005107DF" w:rsidRDefault="00832F98" w:rsidP="007338F0">
            <w:pPr>
              <w:jc w:val="center"/>
              <w:rPr>
                <w:rFonts w:ascii="Times New Roman" w:hAnsi="Times New Roman" w:cs="Times New Roman"/>
                <w:b/>
                <w:sz w:val="24"/>
                <w:szCs w:val="24"/>
              </w:rPr>
            </w:pPr>
          </w:p>
          <w:p w14:paraId="6C770D33" w14:textId="77777777" w:rsidR="00832F98" w:rsidRPr="005107DF" w:rsidRDefault="00832F98" w:rsidP="007338F0">
            <w:pPr>
              <w:jc w:val="center"/>
              <w:rPr>
                <w:rFonts w:ascii="Times New Roman" w:hAnsi="Times New Roman" w:cs="Times New Roman"/>
                <w:sz w:val="24"/>
                <w:szCs w:val="24"/>
              </w:rPr>
            </w:pPr>
            <w:bookmarkStart w:id="1392" w:name="_Toc476063528"/>
            <w:bookmarkStart w:id="1393" w:name="_Toc476068010"/>
            <w:r>
              <w:rPr>
                <w:rFonts w:ascii="Times New Roman" w:hAnsi="Times New Roman"/>
                <w:b/>
                <w:sz w:val="24"/>
              </w:rPr>
              <w:t>Intitulé</w:t>
            </w:r>
            <w:r>
              <w:rPr>
                <w:rFonts w:ascii="Times New Roman" w:hAnsi="Times New Roman"/>
                <w:sz w:val="24"/>
              </w:rPr>
              <w:t xml:space="preserve"> </w:t>
            </w:r>
            <w:r>
              <w:rPr>
                <w:rFonts w:ascii="Times New Roman" w:hAnsi="Times New Roman"/>
                <w:b/>
                <w:sz w:val="24"/>
              </w:rPr>
              <w:t>du projet</w:t>
            </w:r>
            <w:r>
              <w:rPr>
                <w:rFonts w:ascii="Times New Roman" w:hAnsi="Times New Roman"/>
                <w:sz w:val="24"/>
              </w:rPr>
              <w:t>:</w:t>
            </w:r>
            <w:bookmarkEnd w:id="1392"/>
            <w:bookmarkEnd w:id="1393"/>
          </w:p>
          <w:p w14:paraId="2E42515E" w14:textId="77777777" w:rsidR="00832F98" w:rsidRPr="005107DF" w:rsidRDefault="00832F98" w:rsidP="007338F0">
            <w:pPr>
              <w:jc w:val="center"/>
              <w:rPr>
                <w:rFonts w:ascii="Times New Roman" w:hAnsi="Times New Roman" w:cs="Times New Roman"/>
                <w:sz w:val="24"/>
                <w:szCs w:val="24"/>
              </w:rPr>
            </w:pPr>
            <w:bookmarkStart w:id="1394" w:name="_Toc476063529"/>
            <w:bookmarkStart w:id="1395" w:name="_Toc476068011"/>
            <w:r>
              <w:rPr>
                <w:rFonts w:ascii="Times New Roman" w:hAnsi="Times New Roman"/>
                <w:b/>
                <w:sz w:val="24"/>
              </w:rPr>
              <w:t>Numéro de référence du jumelage</w:t>
            </w:r>
            <w:r>
              <w:rPr>
                <w:rFonts w:ascii="Times New Roman" w:hAnsi="Times New Roman"/>
                <w:sz w:val="24"/>
              </w:rPr>
              <w:t xml:space="preserve">: </w:t>
            </w:r>
            <w:r>
              <w:rPr>
                <w:rFonts w:ascii="Times New Roman" w:hAnsi="Times New Roman"/>
                <w:i/>
                <w:sz w:val="24"/>
                <w:u w:val="dotted"/>
              </w:rPr>
              <w:t xml:space="preserve">le numéro de référence du jumelage est présenté au format </w:t>
            </w:r>
            <w:bookmarkStart w:id="1396" w:name="_GoBack"/>
            <w:bookmarkEnd w:id="1396"/>
            <w:r w:rsidRPr="004A456D">
              <w:rPr>
                <w:rFonts w:ascii="Times New Roman" w:hAnsi="Times New Roman"/>
                <w:i/>
                <w:sz w:val="24"/>
                <w:highlight w:val="yellow"/>
                <w:u w:val="dotted"/>
              </w:rPr>
              <w:t>«MN 15 IPA TR 01 17 TWL» ou «AZ 15 ENI JH 02 17 TWL»</w:t>
            </w:r>
            <w:bookmarkEnd w:id="1394"/>
            <w:bookmarkEnd w:id="1395"/>
          </w:p>
          <w:p w14:paraId="41385618" w14:textId="77777777" w:rsidR="00832F98" w:rsidRPr="005107DF" w:rsidRDefault="00832F98" w:rsidP="007338F0">
            <w:pPr>
              <w:jc w:val="center"/>
              <w:rPr>
                <w:rFonts w:ascii="Times New Roman" w:hAnsi="Times New Roman" w:cs="Times New Roman"/>
                <w:sz w:val="24"/>
                <w:szCs w:val="24"/>
              </w:rPr>
            </w:pPr>
            <w:bookmarkStart w:id="1397" w:name="_Toc476063530"/>
            <w:bookmarkStart w:id="1398" w:name="_Toc476068012"/>
            <w:r>
              <w:rPr>
                <w:rFonts w:ascii="Times New Roman" w:hAnsi="Times New Roman"/>
                <w:b/>
                <w:sz w:val="24"/>
              </w:rPr>
              <w:t>Référence de l’avis de publication</w:t>
            </w:r>
            <w:r>
              <w:rPr>
                <w:rFonts w:ascii="Times New Roman" w:hAnsi="Times New Roman"/>
                <w:sz w:val="24"/>
              </w:rPr>
              <w:t>:</w:t>
            </w:r>
            <w:bookmarkEnd w:id="1397"/>
            <w:bookmarkEnd w:id="1398"/>
          </w:p>
          <w:p w14:paraId="294BB37B" w14:textId="77777777" w:rsidR="00832F98" w:rsidRPr="005107DF" w:rsidRDefault="00832F98" w:rsidP="00EE710C">
            <w:pPr>
              <w:spacing w:after="0" w:line="240" w:lineRule="auto"/>
              <w:rPr>
                <w:rFonts w:ascii="Times New Roman" w:eastAsia="Times New Roman" w:hAnsi="Times New Roman" w:cs="Times New Roman"/>
                <w:sz w:val="24"/>
                <w:szCs w:val="24"/>
              </w:rPr>
            </w:pPr>
          </w:p>
        </w:tc>
      </w:tr>
    </w:tbl>
    <w:p w14:paraId="7606E1E2" w14:textId="77777777" w:rsidR="00832F98" w:rsidRPr="005107DF" w:rsidRDefault="00832F98" w:rsidP="00EE710C">
      <w:pPr>
        <w:spacing w:after="0" w:line="240" w:lineRule="auto"/>
        <w:rPr>
          <w:rFonts w:ascii="Times New Roman" w:eastAsia="Times New Roman" w:hAnsi="Times New Roman" w:cs="Times New Roman"/>
          <w:sz w:val="24"/>
          <w:szCs w:val="24"/>
        </w:rPr>
      </w:pPr>
    </w:p>
    <w:p w14:paraId="01149E4E" w14:textId="77777777" w:rsidR="00832F98" w:rsidRPr="005107DF" w:rsidRDefault="00832F98" w:rsidP="00EE710C">
      <w:pPr>
        <w:spacing w:after="0" w:line="240" w:lineRule="auto"/>
        <w:rPr>
          <w:rFonts w:ascii="Times New Roman" w:eastAsia="Times New Roman" w:hAnsi="Times New Roman" w:cs="Times New Roman"/>
          <w:sz w:val="24"/>
          <w:szCs w:val="24"/>
        </w:rPr>
      </w:pPr>
    </w:p>
    <w:p w14:paraId="0F09CBEA" w14:textId="77777777" w:rsidR="00832F98" w:rsidRPr="005107DF" w:rsidRDefault="00832F98" w:rsidP="00EE710C">
      <w:pPr>
        <w:spacing w:after="0" w:line="240" w:lineRule="auto"/>
        <w:rPr>
          <w:rFonts w:ascii="Times New Roman" w:eastAsia="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832F98" w:rsidRPr="005107DF" w14:paraId="3B8AAE7D" w14:textId="77777777" w:rsidTr="007338F0">
        <w:tc>
          <w:tcPr>
            <w:tcW w:w="9356" w:type="dxa"/>
            <w:shd w:val="clear" w:color="auto" w:fill="auto"/>
          </w:tcPr>
          <w:p w14:paraId="05E07E9E" w14:textId="77777777" w:rsidR="00832F98" w:rsidRPr="005107DF" w:rsidRDefault="00832F98" w:rsidP="007338F0">
            <w:pPr>
              <w:jc w:val="center"/>
              <w:rPr>
                <w:rFonts w:ascii="Times New Roman" w:hAnsi="Times New Roman" w:cs="Times New Roman"/>
                <w:b/>
                <w:sz w:val="32"/>
                <w:szCs w:val="32"/>
              </w:rPr>
            </w:pPr>
            <w:r>
              <w:rPr>
                <w:rFonts w:ascii="Times New Roman" w:hAnsi="Times New Roman"/>
                <w:b/>
                <w:sz w:val="32"/>
              </w:rPr>
              <w:t>Projet financé par l’Union européenne</w:t>
            </w:r>
          </w:p>
          <w:p w14:paraId="106631A1" w14:textId="77777777" w:rsidR="00832F98" w:rsidRPr="005107DF" w:rsidRDefault="00832F98" w:rsidP="00B82475">
            <w:pPr>
              <w:jc w:val="center"/>
              <w:rPr>
                <w:rFonts w:ascii="Times New Roman" w:hAnsi="Times New Roman" w:cs="Times New Roman"/>
                <w:sz w:val="36"/>
                <w:szCs w:val="36"/>
              </w:rPr>
            </w:pPr>
            <w:r>
              <w:rPr>
                <w:rFonts w:ascii="Times New Roman" w:hAnsi="Times New Roman"/>
                <w:b/>
                <w:i/>
                <w:sz w:val="32"/>
              </w:rPr>
              <w:t>OUTIL DE JUMELAGE</w:t>
            </w:r>
          </w:p>
        </w:tc>
      </w:tr>
    </w:tbl>
    <w:p w14:paraId="5254CE0F" w14:textId="77777777" w:rsidR="00832F98" w:rsidRPr="005107DF" w:rsidRDefault="00832F98"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rPr>
      </w:pPr>
    </w:p>
    <w:p w14:paraId="1A71F31D" w14:textId="77777777" w:rsidR="00832F98" w:rsidRPr="005107DF" w:rsidRDefault="00832F98" w:rsidP="004946B7">
      <w:pPr>
        <w:jc w:val="both"/>
        <w:rPr>
          <w:rFonts w:ascii="Times New Roman" w:hAnsi="Times New Roman" w:cs="Times New Roman"/>
          <w:i/>
          <w:sz w:val="24"/>
          <w:szCs w:val="24"/>
        </w:rPr>
      </w:pPr>
      <w:r>
        <w:rPr>
          <w:rFonts w:ascii="Times New Roman" w:hAnsi="Times New Roman"/>
          <w:i/>
          <w:sz w:val="24"/>
        </w:rPr>
        <w:t xml:space="preserve">(Il est recommandé que la proposition complète ne dépasse pas </w:t>
      </w:r>
      <w:r w:rsidRPr="00452C1A">
        <w:rPr>
          <w:rFonts w:ascii="Times New Roman" w:hAnsi="Times New Roman"/>
          <w:i/>
          <w:sz w:val="24"/>
        </w:rPr>
        <w:t>10</w:t>
      </w:r>
      <w:r>
        <w:rPr>
          <w:rFonts w:ascii="Times New Roman" w:hAnsi="Times New Roman"/>
          <w:i/>
          <w:sz w:val="24"/>
        </w:rPr>
        <w:t> pages, annexes non comprises)</w:t>
      </w:r>
    </w:p>
    <w:p w14:paraId="208854F6" w14:textId="77777777" w:rsidR="00832F98" w:rsidRPr="005107DF" w:rsidRDefault="00832F98">
      <w:pPr>
        <w:rPr>
          <w:rFonts w:ascii="Times New Roman" w:eastAsia="Times New Roman" w:hAnsi="Times New Roman" w:cs="Times New Roman"/>
          <w:sz w:val="24"/>
          <w:szCs w:val="24"/>
        </w:rPr>
      </w:pPr>
      <w:r>
        <w:br w:type="page"/>
      </w:r>
    </w:p>
    <w:p w14:paraId="29302867" w14:textId="77777777" w:rsidR="00832F98" w:rsidRPr="005107DF" w:rsidRDefault="00832F98"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rPr>
      </w:pPr>
    </w:p>
    <w:p w14:paraId="378AB263" w14:textId="77777777" w:rsidR="00832F98" w:rsidRPr="005107DF" w:rsidRDefault="00832F98" w:rsidP="007338F0">
      <w:pPr>
        <w:rPr>
          <w:rFonts w:ascii="Times New Roman" w:hAnsi="Times New Roman" w:cs="Times New Roman"/>
          <w:b/>
          <w:sz w:val="24"/>
          <w:szCs w:val="24"/>
        </w:rPr>
      </w:pPr>
      <w:r w:rsidRPr="00452C1A">
        <w:rPr>
          <w:rFonts w:ascii="Times New Roman" w:hAnsi="Times New Roman"/>
          <w:b/>
          <w:sz w:val="24"/>
        </w:rPr>
        <w:t>1</w:t>
      </w:r>
      <w:r>
        <w:rPr>
          <w:rFonts w:ascii="Times New Roman" w:hAnsi="Times New Roman"/>
          <w:b/>
          <w:sz w:val="24"/>
        </w:rPr>
        <w:t>. Informations de base</w:t>
      </w:r>
    </w:p>
    <w:p w14:paraId="5EEA57EE" w14:textId="77777777" w:rsidR="00832F98" w:rsidRPr="005107DF" w:rsidRDefault="00832F98" w:rsidP="007338F0">
      <w:pPr>
        <w:numPr>
          <w:ilvl w:val="12"/>
          <w:numId w:val="0"/>
        </w:numPr>
        <w:tabs>
          <w:tab w:val="left" w:pos="4678"/>
        </w:tabs>
        <w:spacing w:after="120" w:line="240" w:lineRule="auto"/>
        <w:rPr>
          <w:rFonts w:ascii="Times New Roman" w:eastAsia="Times New Roman" w:hAnsi="Times New Roman" w:cs="Times New Roman"/>
          <w:sz w:val="24"/>
          <w:szCs w:val="24"/>
        </w:rPr>
      </w:pPr>
      <w:r>
        <w:rPr>
          <w:rFonts w:ascii="Times New Roman" w:hAnsi="Times New Roman"/>
          <w:sz w:val="24"/>
        </w:rPr>
        <w:t>État membre principal:</w:t>
      </w:r>
    </w:p>
    <w:p w14:paraId="5F3C28BD" w14:textId="77777777" w:rsidR="00832F98" w:rsidRPr="005107DF" w:rsidRDefault="00832F98" w:rsidP="007338F0">
      <w:pPr>
        <w:spacing w:after="120"/>
        <w:rPr>
          <w:rFonts w:ascii="Times New Roman" w:hAnsi="Times New Roman" w:cs="Times New Roman"/>
          <w:color w:val="000000"/>
          <w:sz w:val="24"/>
          <w:szCs w:val="24"/>
        </w:rPr>
      </w:pPr>
      <w:r>
        <w:rPr>
          <w:rFonts w:ascii="Times New Roman" w:hAnsi="Times New Roman"/>
          <w:sz w:val="24"/>
        </w:rPr>
        <w:t xml:space="preserve">Organisme de l’État membre: </w:t>
      </w:r>
      <w:r>
        <w:rPr>
          <w:rFonts w:ascii="Times New Roman" w:hAnsi="Times New Roman"/>
          <w:i/>
          <w:sz w:val="24"/>
        </w:rPr>
        <w:t xml:space="preserve">l’institution responsable de la mise en œuvre et de la gestion financière du projet. </w:t>
      </w:r>
      <w:r>
        <w:rPr>
          <w:rFonts w:ascii="Times New Roman" w:hAnsi="Times New Roman"/>
          <w:i/>
          <w:color w:val="000000"/>
          <w:sz w:val="24"/>
        </w:rPr>
        <w:t>Veuillez indiquer ses coordonnées.</w:t>
      </w:r>
    </w:p>
    <w:p w14:paraId="21F3CE5A" w14:textId="77777777" w:rsidR="00832F98" w:rsidRPr="005107DF" w:rsidRDefault="00832F98" w:rsidP="007338F0">
      <w:pPr>
        <w:numPr>
          <w:ilvl w:val="12"/>
          <w:numId w:val="0"/>
        </w:numPr>
        <w:tabs>
          <w:tab w:val="left" w:pos="4678"/>
        </w:tabs>
        <w:spacing w:after="120" w:line="240" w:lineRule="auto"/>
        <w:rPr>
          <w:rFonts w:ascii="Times New Roman" w:eastAsia="Times New Roman" w:hAnsi="Times New Roman" w:cs="Times New Roman"/>
          <w:sz w:val="24"/>
          <w:szCs w:val="24"/>
        </w:rPr>
      </w:pPr>
      <w:r>
        <w:rPr>
          <w:rFonts w:ascii="Times New Roman" w:hAnsi="Times New Roman"/>
          <w:sz w:val="24"/>
        </w:rPr>
        <w:t>Organisme(s) de l’État membre (le cas échéant): voir supra.</w:t>
      </w:r>
    </w:p>
    <w:p w14:paraId="2140178E" w14:textId="77777777" w:rsidR="00832F98" w:rsidRPr="005107DF" w:rsidRDefault="00832F98"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rPr>
      </w:pPr>
      <w:r>
        <w:rPr>
          <w:rFonts w:ascii="Times New Roman" w:hAnsi="Times New Roman"/>
          <w:sz w:val="24"/>
        </w:rPr>
        <w:t>Administration bénéficiaire:</w:t>
      </w:r>
      <w:r>
        <w:rPr>
          <w:rFonts w:ascii="Times New Roman" w:hAnsi="Times New Roman"/>
          <w:color w:val="000000"/>
          <w:sz w:val="24"/>
        </w:rPr>
        <w:t xml:space="preserve"> </w:t>
      </w:r>
    </w:p>
    <w:p w14:paraId="32D479A7" w14:textId="77777777" w:rsidR="00832F98" w:rsidRPr="005107DF" w:rsidRDefault="00832F98"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rPr>
      </w:pPr>
      <w:r>
        <w:rPr>
          <w:rFonts w:ascii="Times New Roman" w:hAnsi="Times New Roman"/>
          <w:sz w:val="24"/>
        </w:rPr>
        <w:t>Secteur de jumelage:</w:t>
      </w:r>
      <w:r>
        <w:rPr>
          <w:rFonts w:ascii="Times New Roman" w:hAnsi="Times New Roman"/>
          <w:color w:val="000000"/>
          <w:sz w:val="24"/>
        </w:rPr>
        <w:t xml:space="preserve"> </w:t>
      </w:r>
      <w:r>
        <w:rPr>
          <w:rFonts w:ascii="Times New Roman" w:hAnsi="Times New Roman"/>
          <w:i/>
          <w:color w:val="000000"/>
          <w:sz w:val="24"/>
        </w:rPr>
        <w:t>exemple: justice et affaires intérieures</w:t>
      </w:r>
    </w:p>
    <w:p w14:paraId="1C4BD80F" w14:textId="77777777" w:rsidR="00832F98" w:rsidRPr="005107DF" w:rsidRDefault="00832F98" w:rsidP="00EE710C">
      <w:pPr>
        <w:autoSpaceDE w:val="0"/>
        <w:autoSpaceDN w:val="0"/>
        <w:adjustRightInd w:val="0"/>
        <w:spacing w:after="120" w:line="240" w:lineRule="auto"/>
        <w:ind w:left="540" w:hanging="540"/>
        <w:rPr>
          <w:rFonts w:ascii="Times New Roman" w:eastAsia="Times New Roman" w:hAnsi="Times New Roman" w:cs="Times New Roman"/>
          <w:sz w:val="24"/>
          <w:szCs w:val="24"/>
        </w:rPr>
      </w:pPr>
      <w:r>
        <w:rPr>
          <w:rFonts w:ascii="Times New Roman" w:hAnsi="Times New Roman"/>
          <w:sz w:val="24"/>
        </w:rPr>
        <w:t>Budget financé par l’UE (montant maximal de la subvention):</w:t>
      </w:r>
    </w:p>
    <w:p w14:paraId="24AC6981" w14:textId="77777777" w:rsidR="00832F98" w:rsidRPr="005107DF" w:rsidRDefault="00832F98" w:rsidP="00EE710C">
      <w:pPr>
        <w:autoSpaceDE w:val="0"/>
        <w:autoSpaceDN w:val="0"/>
        <w:adjustRightInd w:val="0"/>
        <w:spacing w:after="120" w:line="240" w:lineRule="auto"/>
        <w:ind w:left="540" w:hanging="540"/>
        <w:rPr>
          <w:rFonts w:ascii="Times New Roman" w:eastAsia="Times New Roman" w:hAnsi="Times New Roman" w:cs="Times New Roman"/>
          <w:color w:val="000000"/>
          <w:sz w:val="24"/>
          <w:szCs w:val="24"/>
        </w:rPr>
      </w:pPr>
      <w:r>
        <w:rPr>
          <w:rFonts w:ascii="Times New Roman" w:hAnsi="Times New Roman"/>
          <w:sz w:val="24"/>
        </w:rPr>
        <w:t>Période d’exécution (mois):</w:t>
      </w:r>
    </w:p>
    <w:p w14:paraId="05583A3B" w14:textId="77777777" w:rsidR="00832F98" w:rsidRPr="005107DF" w:rsidRDefault="00832F98"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Chef de projet (CP) proposé: </w:t>
      </w:r>
      <w:r>
        <w:rPr>
          <w:rFonts w:ascii="Times New Roman" w:hAnsi="Times New Roman"/>
          <w:i/>
          <w:color w:val="000000"/>
          <w:sz w:val="24"/>
          <w:u w:val="dotted"/>
        </w:rPr>
        <w:t>État membre, nom complet et poste, institution</w:t>
      </w:r>
      <w:r>
        <w:rPr>
          <w:rFonts w:ascii="Times New Roman" w:hAnsi="Times New Roman"/>
          <w:color w:val="000000"/>
          <w:sz w:val="24"/>
        </w:rPr>
        <w:t xml:space="preserve"> </w:t>
      </w:r>
    </w:p>
    <w:p w14:paraId="24BE9E09" w14:textId="77777777" w:rsidR="00832F98" w:rsidRPr="005107DF" w:rsidRDefault="00832F98"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Responsables volets proposés: </w:t>
      </w:r>
      <w:r>
        <w:rPr>
          <w:rFonts w:ascii="Times New Roman" w:hAnsi="Times New Roman"/>
          <w:color w:val="000000"/>
          <w:sz w:val="24"/>
          <w:u w:val="dotted"/>
        </w:rPr>
        <w:t xml:space="preserve">État membre, nom complet et poste, institution </w:t>
      </w:r>
    </w:p>
    <w:p w14:paraId="3FC18660" w14:textId="77777777" w:rsidR="00832F98" w:rsidRPr="005107DF" w:rsidRDefault="00832F98" w:rsidP="00EE710C">
      <w:pPr>
        <w:numPr>
          <w:ilvl w:val="12"/>
          <w:numId w:val="0"/>
        </w:numPr>
        <w:tabs>
          <w:tab w:val="left" w:pos="4678"/>
        </w:tabs>
        <w:spacing w:after="0" w:line="240" w:lineRule="auto"/>
        <w:rPr>
          <w:rFonts w:ascii="Times New Roman" w:eastAsia="Times New Roman" w:hAnsi="Times New Roman" w:cs="Times New Roman"/>
          <w:color w:val="000000"/>
          <w:sz w:val="24"/>
          <w:szCs w:val="24"/>
        </w:rPr>
      </w:pPr>
    </w:p>
    <w:p w14:paraId="7E4CF92C" w14:textId="77777777" w:rsidR="00832F98" w:rsidRPr="005107DF" w:rsidRDefault="00832F98" w:rsidP="007338F0">
      <w:pPr>
        <w:rPr>
          <w:rFonts w:ascii="Times New Roman" w:hAnsi="Times New Roman" w:cs="Times New Roman"/>
          <w:b/>
          <w:sz w:val="24"/>
          <w:szCs w:val="24"/>
        </w:rPr>
      </w:pPr>
      <w:r w:rsidRPr="00452C1A">
        <w:rPr>
          <w:rFonts w:ascii="Times New Roman" w:hAnsi="Times New Roman"/>
          <w:b/>
          <w:sz w:val="24"/>
        </w:rPr>
        <w:t>2</w:t>
      </w:r>
      <w:r>
        <w:rPr>
          <w:rFonts w:ascii="Times New Roman" w:hAnsi="Times New Roman"/>
          <w:b/>
          <w:sz w:val="24"/>
        </w:rPr>
        <w:t>. Compréhension du projet</w:t>
      </w:r>
    </w:p>
    <w:p w14:paraId="6A000731" w14:textId="77777777" w:rsidR="00832F98" w:rsidRPr="005107DF" w:rsidRDefault="00832F98" w:rsidP="00EE710C">
      <w:pPr>
        <w:spacing w:before="120"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Présentez une analyse du projet et de ses besoins.</w:t>
      </w:r>
    </w:p>
    <w:p w14:paraId="1E20C688" w14:textId="77777777" w:rsidR="00832F98" w:rsidRPr="005107DF" w:rsidRDefault="00832F98" w:rsidP="00EE710C">
      <w:pPr>
        <w:spacing w:before="120"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Expliquez brièvement comment vous envisagez ce projet dans le cadre d’un processus (de réforme) plus vaste et présentez vos plans relatifs à la coordination et à la coopération avec les autres acteurs du secteur.</w:t>
      </w:r>
    </w:p>
    <w:p w14:paraId="6A6D202D" w14:textId="77777777" w:rsidR="00832F98" w:rsidRPr="005107DF" w:rsidRDefault="00832F98" w:rsidP="00EE710C">
      <w:pPr>
        <w:numPr>
          <w:ilvl w:val="12"/>
          <w:numId w:val="0"/>
        </w:numPr>
        <w:spacing w:before="120" w:after="0" w:line="240" w:lineRule="auto"/>
        <w:rPr>
          <w:rFonts w:ascii="Times New Roman" w:eastAsia="Times New Roman" w:hAnsi="Times New Roman" w:cs="Times New Roman"/>
          <w:b/>
          <w:color w:val="000000"/>
          <w:sz w:val="24"/>
          <w:szCs w:val="24"/>
        </w:rPr>
      </w:pPr>
    </w:p>
    <w:p w14:paraId="77785734" w14:textId="77777777" w:rsidR="00832F98" w:rsidRPr="005107DF" w:rsidRDefault="00832F98" w:rsidP="007338F0">
      <w:pPr>
        <w:rPr>
          <w:rFonts w:ascii="Times New Roman" w:eastAsia="Times New Roman" w:hAnsi="Times New Roman" w:cs="Times New Roman"/>
          <w:b/>
          <w:sz w:val="24"/>
          <w:szCs w:val="24"/>
        </w:rPr>
      </w:pPr>
      <w:r w:rsidRPr="00452C1A">
        <w:rPr>
          <w:rFonts w:ascii="Times New Roman" w:hAnsi="Times New Roman"/>
          <w:b/>
          <w:sz w:val="24"/>
        </w:rPr>
        <w:t>3</w:t>
      </w:r>
      <w:r>
        <w:rPr>
          <w:rFonts w:ascii="Times New Roman" w:hAnsi="Times New Roman"/>
          <w:b/>
          <w:sz w:val="24"/>
        </w:rPr>
        <w:t>. Structures/cadre institutionnel offerts par le(s) État(s) membre(s)</w:t>
      </w:r>
    </w:p>
    <w:p w14:paraId="5EB66591" w14:textId="77777777" w:rsidR="00832F98" w:rsidRPr="005107DF" w:rsidRDefault="00832F98" w:rsidP="00EE710C">
      <w:pPr>
        <w:spacing w:after="120" w:line="240" w:lineRule="auto"/>
        <w:rPr>
          <w:rFonts w:ascii="Times New Roman" w:eastAsia="Times New Roman" w:hAnsi="Times New Roman" w:cs="Times New Roman"/>
          <w:sz w:val="24"/>
          <w:szCs w:val="24"/>
        </w:rPr>
      </w:pPr>
      <w:r>
        <w:rPr>
          <w:rFonts w:ascii="Times New Roman" w:hAnsi="Times New Roman"/>
          <w:sz w:val="24"/>
        </w:rPr>
        <w:t xml:space="preserve">Expliquez en détail les structures mises en place dans les États membres pour le secteur et la région concernés, indiquez les capacités (y compris les profils du personnel) de ces structures et précisez la ou les parties des structures qui seraient utilisées. </w:t>
      </w:r>
    </w:p>
    <w:p w14:paraId="1663594C" w14:textId="77777777" w:rsidR="00832F98" w:rsidRPr="005107DF" w:rsidRDefault="00832F98" w:rsidP="00EE710C">
      <w:pPr>
        <w:spacing w:after="120" w:line="240" w:lineRule="auto"/>
        <w:rPr>
          <w:rFonts w:ascii="Times New Roman" w:eastAsia="Times New Roman" w:hAnsi="Times New Roman" w:cs="Times New Roman"/>
          <w:sz w:val="24"/>
          <w:szCs w:val="24"/>
        </w:rPr>
      </w:pPr>
      <w:r>
        <w:rPr>
          <w:rFonts w:ascii="Times New Roman" w:hAnsi="Times New Roman"/>
          <w:sz w:val="24"/>
        </w:rPr>
        <w:t>Expliquez la manière dont vous prévoyez de relier ces structures à celles qui existent dans le pays bénéficiaire et qui se concentrera sur quoi.</w:t>
      </w:r>
    </w:p>
    <w:p w14:paraId="7C65887B" w14:textId="77777777" w:rsidR="00832F98" w:rsidRPr="005107DF" w:rsidRDefault="00832F98" w:rsidP="00EE710C">
      <w:pPr>
        <w:spacing w:before="120" w:after="0" w:line="240" w:lineRule="auto"/>
        <w:rPr>
          <w:rFonts w:ascii="Times New Roman" w:eastAsia="Times New Roman" w:hAnsi="Times New Roman" w:cs="Times New Roman"/>
          <w:b/>
          <w:sz w:val="24"/>
          <w:szCs w:val="24"/>
        </w:rPr>
      </w:pPr>
    </w:p>
    <w:p w14:paraId="5E31C8A6" w14:textId="77777777" w:rsidR="00832F98" w:rsidRPr="005107DF" w:rsidRDefault="00832F98" w:rsidP="007338F0">
      <w:pPr>
        <w:rPr>
          <w:rFonts w:ascii="Times New Roman" w:hAnsi="Times New Roman" w:cs="Times New Roman"/>
          <w:b/>
          <w:sz w:val="24"/>
          <w:szCs w:val="24"/>
        </w:rPr>
      </w:pPr>
      <w:r w:rsidRPr="00452C1A">
        <w:rPr>
          <w:rFonts w:ascii="Times New Roman" w:hAnsi="Times New Roman"/>
          <w:b/>
          <w:sz w:val="24"/>
        </w:rPr>
        <w:t>4</w:t>
      </w:r>
      <w:r>
        <w:rPr>
          <w:rFonts w:ascii="Times New Roman" w:hAnsi="Times New Roman"/>
          <w:b/>
          <w:sz w:val="24"/>
        </w:rPr>
        <w:t>. Résultats par volet</w:t>
      </w:r>
    </w:p>
    <w:p w14:paraId="36EB6CC9" w14:textId="77777777" w:rsidR="00832F98" w:rsidRPr="005107DF" w:rsidRDefault="00832F98" w:rsidP="00EE710C">
      <w:pPr>
        <w:numPr>
          <w:ilvl w:val="12"/>
          <w:numId w:val="0"/>
        </w:numPr>
        <w:spacing w:before="120"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Expliquez la manière dont vous comprenez les actions et les activités nécessaires à l’obtention de chaque résultat obligatoire/produit prévu. </w:t>
      </w:r>
    </w:p>
    <w:p w14:paraId="00B924C1" w14:textId="77777777" w:rsidR="00832F98" w:rsidRPr="005107DF" w:rsidRDefault="00832F98" w:rsidP="00EE710C">
      <w:pPr>
        <w:spacing w:before="120" w:after="0" w:line="240" w:lineRule="auto"/>
        <w:rPr>
          <w:rFonts w:ascii="Times New Roman" w:eastAsia="Times New Roman" w:hAnsi="Times New Roman" w:cs="Times New Roman"/>
          <w:b/>
          <w:sz w:val="24"/>
          <w:szCs w:val="24"/>
        </w:rPr>
      </w:pPr>
    </w:p>
    <w:p w14:paraId="59C3A966" w14:textId="77777777" w:rsidR="00832F98" w:rsidRPr="005107DF" w:rsidRDefault="00832F98" w:rsidP="007338F0">
      <w:pPr>
        <w:rPr>
          <w:rFonts w:ascii="Times New Roman" w:eastAsia="Times New Roman" w:hAnsi="Times New Roman" w:cs="Times New Roman"/>
          <w:color w:val="000000"/>
          <w:sz w:val="24"/>
          <w:szCs w:val="24"/>
        </w:rPr>
      </w:pPr>
      <w:r w:rsidRPr="00452C1A">
        <w:rPr>
          <w:rFonts w:ascii="Times New Roman" w:hAnsi="Times New Roman"/>
          <w:b/>
          <w:sz w:val="24"/>
        </w:rPr>
        <w:t>5</w:t>
      </w:r>
      <w:r>
        <w:rPr>
          <w:rFonts w:ascii="Times New Roman" w:hAnsi="Times New Roman"/>
          <w:b/>
          <w:sz w:val="24"/>
        </w:rPr>
        <w:t>. Méthodologie proposée</w:t>
      </w:r>
    </w:p>
    <w:p w14:paraId="42468B1E" w14:textId="77777777" w:rsidR="00832F98" w:rsidRPr="005107DF" w:rsidRDefault="00832F98" w:rsidP="00EE710C">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Présentez brièvement la stratégie et la méthodologie que vous prévoyez d’adopter, ainsi qu’un calendrier indicatif comportant des objectifs définis pour chaque résultat obligatoire/produit.</w:t>
      </w:r>
    </w:p>
    <w:p w14:paraId="2753D3C5" w14:textId="77777777" w:rsidR="00832F98" w:rsidRPr="005107DF" w:rsidRDefault="00832F98" w:rsidP="00EE710C">
      <w:pPr>
        <w:numPr>
          <w:ilvl w:val="12"/>
          <w:numId w:val="0"/>
        </w:numPr>
        <w:spacing w:before="120"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Décrivez brièvement la méthodologie et l’approche que l’État membre juge les plus appropriées pour atteindre tous les résultats obligatoires/produits et mettre en œuvre le projet de manière durable.</w:t>
      </w:r>
    </w:p>
    <w:p w14:paraId="55EFE62F" w14:textId="77777777" w:rsidR="00832F98" w:rsidRPr="005107DF" w:rsidRDefault="00832F98" w:rsidP="00EE710C">
      <w:pPr>
        <w:numPr>
          <w:ilvl w:val="12"/>
          <w:numId w:val="0"/>
        </w:numPr>
        <w:spacing w:after="0" w:line="240" w:lineRule="auto"/>
        <w:rPr>
          <w:rFonts w:ascii="Times New Roman" w:eastAsia="Times New Roman" w:hAnsi="Times New Roman" w:cs="Times New Roman"/>
          <w:color w:val="000000"/>
          <w:sz w:val="24"/>
          <w:szCs w:val="24"/>
        </w:rPr>
      </w:pPr>
    </w:p>
    <w:p w14:paraId="6F5E8D10" w14:textId="77777777" w:rsidR="00832F98" w:rsidRPr="005107DF" w:rsidRDefault="00832F98" w:rsidP="007338F0">
      <w:pPr>
        <w:rPr>
          <w:rFonts w:ascii="Times New Roman" w:hAnsi="Times New Roman" w:cs="Times New Roman"/>
          <w:b/>
          <w:sz w:val="24"/>
          <w:szCs w:val="24"/>
        </w:rPr>
      </w:pPr>
      <w:r w:rsidRPr="00452C1A">
        <w:rPr>
          <w:rFonts w:ascii="Times New Roman" w:hAnsi="Times New Roman"/>
          <w:b/>
          <w:sz w:val="24"/>
        </w:rPr>
        <w:t>6</w:t>
      </w:r>
      <w:r>
        <w:rPr>
          <w:rFonts w:ascii="Times New Roman" w:hAnsi="Times New Roman"/>
          <w:b/>
          <w:sz w:val="24"/>
        </w:rPr>
        <w:t>. Activités proposées pour chaque volet</w:t>
      </w:r>
    </w:p>
    <w:p w14:paraId="19567F8C" w14:textId="77777777" w:rsidR="00832F98" w:rsidRPr="005107DF" w:rsidRDefault="00832F98" w:rsidP="00EE710C">
      <w:pPr>
        <w:numPr>
          <w:ilvl w:val="12"/>
          <w:numId w:val="0"/>
        </w:numPr>
        <w:spacing w:before="120" w:after="0" w:line="240" w:lineRule="auto"/>
        <w:jc w:val="both"/>
        <w:rPr>
          <w:rFonts w:ascii="Times New Roman" w:eastAsia="Times New Roman" w:hAnsi="Times New Roman" w:cs="Times New Roman"/>
          <w:i/>
          <w:color w:val="000000"/>
          <w:sz w:val="24"/>
          <w:szCs w:val="24"/>
        </w:rPr>
      </w:pPr>
      <w:r>
        <w:rPr>
          <w:rFonts w:ascii="Times New Roman" w:hAnsi="Times New Roman"/>
          <w:color w:val="000000"/>
          <w:sz w:val="24"/>
        </w:rPr>
        <w:t>Incluez un plan de travail finalisé décrivant en détail toutes les activités.</w:t>
      </w:r>
    </w:p>
    <w:p w14:paraId="2667E485" w14:textId="77777777" w:rsidR="00832F98" w:rsidRPr="005107DF" w:rsidRDefault="00832F98" w:rsidP="00EE710C">
      <w:pPr>
        <w:numPr>
          <w:ilvl w:val="12"/>
          <w:numId w:val="0"/>
        </w:numPr>
        <w:spacing w:before="120"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lastRenderedPageBreak/>
        <w:t xml:space="preserve">Tenez compte des besoins recensés pour les programmes des voyages d’étude, le programme de formation, etc. - et indiquez si possible les ressources que devra fournir l’administration bénéficiaire pour garantir la mise en œuvre efficace et en temps voulu du projet. </w:t>
      </w:r>
    </w:p>
    <w:p w14:paraId="7AB680CE" w14:textId="77777777" w:rsidR="00832F98" w:rsidRPr="005107DF" w:rsidRDefault="00832F98" w:rsidP="00EE710C">
      <w:pPr>
        <w:numPr>
          <w:ilvl w:val="12"/>
          <w:numId w:val="0"/>
        </w:numPr>
        <w:spacing w:after="0" w:line="240" w:lineRule="auto"/>
        <w:jc w:val="both"/>
        <w:rPr>
          <w:rFonts w:ascii="Times New Roman" w:eastAsia="Times New Roman" w:hAnsi="Times New Roman" w:cs="Times New Roman"/>
          <w:i/>
          <w:color w:val="000000"/>
          <w:sz w:val="24"/>
          <w:szCs w:val="24"/>
        </w:rPr>
      </w:pPr>
    </w:p>
    <w:p w14:paraId="46784B68" w14:textId="77777777" w:rsidR="00832F98" w:rsidRPr="005107DF" w:rsidRDefault="00832F98" w:rsidP="007338F0">
      <w:pPr>
        <w:rPr>
          <w:rFonts w:ascii="Times New Roman" w:hAnsi="Times New Roman" w:cs="Times New Roman"/>
          <w:b/>
          <w:sz w:val="24"/>
          <w:szCs w:val="24"/>
        </w:rPr>
      </w:pPr>
      <w:r w:rsidRPr="00452C1A">
        <w:rPr>
          <w:rFonts w:ascii="Times New Roman" w:hAnsi="Times New Roman"/>
          <w:b/>
          <w:sz w:val="24"/>
        </w:rPr>
        <w:t>7</w:t>
      </w:r>
      <w:r>
        <w:rPr>
          <w:rFonts w:ascii="Times New Roman" w:hAnsi="Times New Roman"/>
          <w:b/>
          <w:sz w:val="24"/>
        </w:rPr>
        <w:t>. Avantage comparatif de la proposition</w:t>
      </w:r>
    </w:p>
    <w:p w14:paraId="0FF1B644" w14:textId="77777777" w:rsidR="00832F98" w:rsidRPr="005107DF" w:rsidRDefault="00832F98" w:rsidP="00EE710C">
      <w:pPr>
        <w:numPr>
          <w:ilvl w:val="12"/>
          <w:numId w:val="0"/>
        </w:numPr>
        <w:spacing w:before="120"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Citez des exemples des idées conceptuelles ou concrètes qui ajoutent une valeur particulière à la proposition.  </w:t>
      </w:r>
    </w:p>
    <w:p w14:paraId="46EA0E3E" w14:textId="77777777" w:rsidR="00832F98" w:rsidRPr="005107DF" w:rsidRDefault="00832F98" w:rsidP="00EE710C">
      <w:pPr>
        <w:numPr>
          <w:ilvl w:val="12"/>
          <w:numId w:val="0"/>
        </w:numPr>
        <w:spacing w:after="0" w:line="240" w:lineRule="auto"/>
        <w:rPr>
          <w:rFonts w:ascii="Times New Roman" w:eastAsia="Times New Roman" w:hAnsi="Times New Roman" w:cs="Times New Roman"/>
          <w:color w:val="000000"/>
          <w:sz w:val="24"/>
          <w:szCs w:val="24"/>
        </w:rPr>
      </w:pPr>
    </w:p>
    <w:p w14:paraId="1C313B90" w14:textId="77777777" w:rsidR="00832F98" w:rsidRPr="005107DF" w:rsidRDefault="00832F98" w:rsidP="007338F0">
      <w:pPr>
        <w:rPr>
          <w:rFonts w:ascii="Times New Roman" w:eastAsia="Times New Roman" w:hAnsi="Times New Roman" w:cs="Times New Roman"/>
          <w:b/>
          <w:color w:val="000000"/>
          <w:sz w:val="24"/>
          <w:szCs w:val="24"/>
        </w:rPr>
      </w:pPr>
      <w:r w:rsidRPr="00452C1A">
        <w:rPr>
          <w:rFonts w:ascii="Times New Roman" w:hAnsi="Times New Roman"/>
          <w:b/>
          <w:sz w:val="24"/>
        </w:rPr>
        <w:t>8</w:t>
      </w:r>
      <w:r>
        <w:rPr>
          <w:rFonts w:ascii="Times New Roman" w:hAnsi="Times New Roman"/>
          <w:b/>
          <w:sz w:val="24"/>
        </w:rPr>
        <w:t>. Analyse des risques</w:t>
      </w:r>
    </w:p>
    <w:p w14:paraId="27C6D164" w14:textId="77777777" w:rsidR="00832F98" w:rsidRPr="005107DF" w:rsidRDefault="00832F98" w:rsidP="007338F0">
      <w:pPr>
        <w:jc w:val="both"/>
        <w:rPr>
          <w:rFonts w:ascii="Times New Roman" w:hAnsi="Times New Roman" w:cs="Times New Roman"/>
          <w:sz w:val="24"/>
          <w:szCs w:val="24"/>
        </w:rPr>
      </w:pPr>
      <w:r>
        <w:rPr>
          <w:rFonts w:ascii="Times New Roman" w:hAnsi="Times New Roman"/>
          <w:sz w:val="24"/>
        </w:rPr>
        <w:t xml:space="preserve">Présentez les risques liés à la mise en œuvre du projet qu’il est possible de détecter à l’avance, vos idées sur la façon de les maîtriser/atténuer, leur incidence s’ils devaient se concrétiser - sur la base des hypothèses et compte tenu des exigences relatives aux ressources (et/ou actions complémentaires) figurant dans la proposition.   </w:t>
      </w:r>
    </w:p>
    <w:p w14:paraId="115BA726" w14:textId="77777777" w:rsidR="00832F98" w:rsidRPr="005107DF" w:rsidRDefault="00832F98" w:rsidP="00EE710C">
      <w:pPr>
        <w:numPr>
          <w:ilvl w:val="12"/>
          <w:numId w:val="0"/>
        </w:numPr>
        <w:spacing w:after="0" w:line="240" w:lineRule="auto"/>
        <w:rPr>
          <w:rFonts w:ascii="Times New Roman" w:eastAsia="Times New Roman" w:hAnsi="Times New Roman" w:cs="Times New Roman"/>
          <w:color w:val="000000"/>
          <w:sz w:val="24"/>
          <w:szCs w:val="24"/>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5"/>
        <w:gridCol w:w="2383"/>
        <w:gridCol w:w="942"/>
        <w:gridCol w:w="2674"/>
        <w:gridCol w:w="1810"/>
      </w:tblGrid>
      <w:tr w:rsidR="00832F98" w:rsidRPr="005107DF" w14:paraId="45652D8C" w14:textId="77777777" w:rsidTr="00EE710C">
        <w:trPr>
          <w:trHeight w:val="288"/>
        </w:trPr>
        <w:tc>
          <w:tcPr>
            <w:tcW w:w="1584" w:type="dxa"/>
          </w:tcPr>
          <w:p w14:paraId="04280AAA"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r>
              <w:rPr>
                <w:rFonts w:ascii="Times New Roman" w:hAnsi="Times New Roman"/>
                <w:color w:val="000000"/>
                <w:sz w:val="24"/>
              </w:rPr>
              <w:t>Risque</w:t>
            </w:r>
          </w:p>
        </w:tc>
        <w:tc>
          <w:tcPr>
            <w:tcW w:w="2693" w:type="dxa"/>
          </w:tcPr>
          <w:p w14:paraId="0F2DD588"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r>
              <w:rPr>
                <w:rFonts w:ascii="Times New Roman" w:hAnsi="Times New Roman"/>
                <w:color w:val="000000"/>
                <w:sz w:val="24"/>
              </w:rPr>
              <w:t>Probabilité de concrétisation</w:t>
            </w:r>
          </w:p>
        </w:tc>
        <w:tc>
          <w:tcPr>
            <w:tcW w:w="992" w:type="dxa"/>
          </w:tcPr>
          <w:p w14:paraId="6C65779A"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r>
              <w:rPr>
                <w:rFonts w:ascii="Times New Roman" w:hAnsi="Times New Roman"/>
                <w:color w:val="000000"/>
                <w:sz w:val="24"/>
              </w:rPr>
              <w:t>Effets</w:t>
            </w:r>
          </w:p>
        </w:tc>
        <w:tc>
          <w:tcPr>
            <w:tcW w:w="2693" w:type="dxa"/>
          </w:tcPr>
          <w:p w14:paraId="0BAA4DCD"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r>
              <w:rPr>
                <w:rFonts w:ascii="Times New Roman" w:hAnsi="Times New Roman"/>
                <w:color w:val="000000"/>
                <w:sz w:val="24"/>
              </w:rPr>
              <w:t>Mesures correctives/d’atténuation</w:t>
            </w:r>
          </w:p>
        </w:tc>
        <w:tc>
          <w:tcPr>
            <w:tcW w:w="1985" w:type="dxa"/>
          </w:tcPr>
          <w:p w14:paraId="1F7778E2"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r>
              <w:rPr>
                <w:rFonts w:ascii="Times New Roman" w:hAnsi="Times New Roman"/>
                <w:color w:val="000000"/>
                <w:sz w:val="24"/>
              </w:rPr>
              <w:t>Hypothèses</w:t>
            </w:r>
          </w:p>
        </w:tc>
      </w:tr>
      <w:tr w:rsidR="00832F98" w:rsidRPr="005107DF" w14:paraId="29AC1FE3" w14:textId="77777777" w:rsidTr="00EE710C">
        <w:trPr>
          <w:trHeight w:val="325"/>
        </w:trPr>
        <w:tc>
          <w:tcPr>
            <w:tcW w:w="1584" w:type="dxa"/>
          </w:tcPr>
          <w:p w14:paraId="55913D95"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2693" w:type="dxa"/>
          </w:tcPr>
          <w:p w14:paraId="3FF46248"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992" w:type="dxa"/>
          </w:tcPr>
          <w:p w14:paraId="1D6B463D"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2693" w:type="dxa"/>
          </w:tcPr>
          <w:p w14:paraId="37726315"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1985" w:type="dxa"/>
          </w:tcPr>
          <w:p w14:paraId="3A4FFD10"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r>
      <w:tr w:rsidR="00832F98" w:rsidRPr="005107DF" w14:paraId="10F79E4D" w14:textId="77777777" w:rsidTr="00EE710C">
        <w:trPr>
          <w:trHeight w:val="409"/>
        </w:trPr>
        <w:tc>
          <w:tcPr>
            <w:tcW w:w="1584" w:type="dxa"/>
          </w:tcPr>
          <w:p w14:paraId="4B500F78"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2693" w:type="dxa"/>
          </w:tcPr>
          <w:p w14:paraId="596E5DC9"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992" w:type="dxa"/>
          </w:tcPr>
          <w:p w14:paraId="7A10D723"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2693" w:type="dxa"/>
          </w:tcPr>
          <w:p w14:paraId="731A41DD"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1985" w:type="dxa"/>
          </w:tcPr>
          <w:p w14:paraId="515DA7B5"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r>
    </w:tbl>
    <w:p w14:paraId="0680B7C2" w14:textId="77777777" w:rsidR="00832F98" w:rsidRPr="005107DF" w:rsidRDefault="00832F98" w:rsidP="00EE710C">
      <w:pPr>
        <w:numPr>
          <w:ilvl w:val="12"/>
          <w:numId w:val="0"/>
        </w:numPr>
        <w:spacing w:before="120" w:after="0" w:line="240" w:lineRule="auto"/>
        <w:jc w:val="both"/>
        <w:outlineLvl w:val="0"/>
        <w:rPr>
          <w:rFonts w:ascii="Times New Roman" w:eastAsia="Times New Roman" w:hAnsi="Times New Roman" w:cs="Times New Roman"/>
          <w:b/>
          <w:color w:val="000000"/>
          <w:sz w:val="24"/>
          <w:szCs w:val="24"/>
        </w:rPr>
      </w:pPr>
    </w:p>
    <w:p w14:paraId="13164168" w14:textId="77777777" w:rsidR="00832F98" w:rsidRPr="005107DF" w:rsidRDefault="00832F98" w:rsidP="007338F0">
      <w:pPr>
        <w:rPr>
          <w:rFonts w:ascii="Times New Roman" w:hAnsi="Times New Roman" w:cs="Times New Roman"/>
          <w:b/>
          <w:sz w:val="24"/>
          <w:szCs w:val="24"/>
        </w:rPr>
      </w:pPr>
      <w:r w:rsidRPr="00452C1A">
        <w:rPr>
          <w:rFonts w:ascii="Times New Roman" w:hAnsi="Times New Roman"/>
          <w:b/>
          <w:sz w:val="24"/>
        </w:rPr>
        <w:t>9</w:t>
      </w:r>
      <w:r>
        <w:rPr>
          <w:rFonts w:ascii="Times New Roman" w:hAnsi="Times New Roman"/>
          <w:b/>
          <w:sz w:val="24"/>
        </w:rPr>
        <w:t>. Chef de projet, responsables de volets et experts à court terme</w:t>
      </w:r>
    </w:p>
    <w:p w14:paraId="57D7E189" w14:textId="77777777" w:rsidR="00832F98" w:rsidRPr="005107DF" w:rsidRDefault="00832F98" w:rsidP="00D177B1">
      <w:pPr>
        <w:jc w:val="both"/>
        <w:rPr>
          <w:rFonts w:ascii="Times New Roman" w:hAnsi="Times New Roman" w:cs="Times New Roman"/>
          <w:sz w:val="24"/>
          <w:szCs w:val="24"/>
        </w:rPr>
      </w:pPr>
      <w:r>
        <w:rPr>
          <w:rFonts w:ascii="Times New Roman" w:hAnsi="Times New Roman"/>
          <w:sz w:val="24"/>
        </w:rPr>
        <w:t xml:space="preserve">Indiquez les noms, postes et profils (expérience, éducation, etc.) et CV de l’équipe d’experts proposée. </w:t>
      </w:r>
    </w:p>
    <w:p w14:paraId="0FF42BCD" w14:textId="77777777" w:rsidR="00832F98" w:rsidRPr="005107DF" w:rsidRDefault="00832F98" w:rsidP="00EE710C">
      <w:pPr>
        <w:numPr>
          <w:ilvl w:val="12"/>
          <w:numId w:val="0"/>
        </w:numPr>
        <w:spacing w:after="0" w:line="240" w:lineRule="auto"/>
        <w:outlineLvl w:val="0"/>
        <w:rPr>
          <w:rFonts w:ascii="Times New Roman" w:eastAsia="Times New Roman" w:hAnsi="Times New Roman" w:cs="Times New Roman"/>
          <w:color w:val="000000"/>
          <w:sz w:val="24"/>
          <w:szCs w:val="24"/>
        </w:rPr>
      </w:pPr>
    </w:p>
    <w:p w14:paraId="25410196" w14:textId="77777777" w:rsidR="00832F98" w:rsidRPr="005107DF" w:rsidRDefault="00832F98" w:rsidP="007338F0">
      <w:pPr>
        <w:rPr>
          <w:rFonts w:ascii="Times New Roman" w:hAnsi="Times New Roman" w:cs="Times New Roman"/>
          <w:b/>
          <w:sz w:val="24"/>
          <w:szCs w:val="24"/>
        </w:rPr>
      </w:pPr>
      <w:r w:rsidRPr="00452C1A">
        <w:rPr>
          <w:rFonts w:ascii="Times New Roman" w:hAnsi="Times New Roman"/>
          <w:b/>
          <w:sz w:val="24"/>
        </w:rPr>
        <w:t>10</w:t>
      </w:r>
      <w:r>
        <w:rPr>
          <w:rFonts w:ascii="Times New Roman" w:hAnsi="Times New Roman"/>
          <w:b/>
          <w:sz w:val="24"/>
        </w:rPr>
        <w:t>. Budget</w:t>
      </w:r>
    </w:p>
    <w:p w14:paraId="49E68E1D" w14:textId="77777777" w:rsidR="00832F98" w:rsidRPr="005107DF" w:rsidRDefault="00832F98" w:rsidP="007338F0">
      <w:pPr>
        <w:spacing w:after="120"/>
        <w:jc w:val="both"/>
        <w:rPr>
          <w:rFonts w:ascii="Times New Roman" w:hAnsi="Times New Roman" w:cs="Times New Roman"/>
          <w:sz w:val="24"/>
          <w:szCs w:val="24"/>
        </w:rPr>
      </w:pPr>
      <w:r>
        <w:rPr>
          <w:rFonts w:ascii="Times New Roman" w:hAnsi="Times New Roman"/>
          <w:sz w:val="24"/>
        </w:rPr>
        <w:t>Fournissez une ventilation du budget par rubrique et sous-rubrique budgétaire, sur la base des taux forfaitaires, des coûts unitaires et des dépenses pouvant être remboursées - comme indiqué à l’annexe A</w:t>
      </w:r>
      <w:r w:rsidRPr="00452C1A">
        <w:rPr>
          <w:rFonts w:ascii="Times New Roman" w:hAnsi="Times New Roman"/>
          <w:sz w:val="24"/>
        </w:rPr>
        <w:t>3</w:t>
      </w:r>
      <w:r>
        <w:rPr>
          <w:rFonts w:ascii="Times New Roman" w:hAnsi="Times New Roman"/>
          <w:sz w:val="24"/>
        </w:rPr>
        <w:t>.</w:t>
      </w:r>
    </w:p>
    <w:p w14:paraId="2CE6D856" w14:textId="77777777" w:rsidR="00832F98" w:rsidRPr="005107DF" w:rsidRDefault="00832F98" w:rsidP="00EE710C">
      <w:pPr>
        <w:spacing w:after="0" w:line="240" w:lineRule="auto"/>
        <w:jc w:val="both"/>
        <w:rPr>
          <w:rFonts w:ascii="Times New Roman" w:eastAsia="Times New Roman" w:hAnsi="Times New Roman" w:cs="Times New Roman"/>
          <w:b/>
          <w:color w:val="FF0000"/>
          <w:sz w:val="24"/>
          <w:szCs w:val="24"/>
        </w:rPr>
      </w:pPr>
    </w:p>
    <w:p w14:paraId="2F062100" w14:textId="77777777" w:rsidR="00832F98" w:rsidRPr="005107DF" w:rsidRDefault="00832F98" w:rsidP="007338F0">
      <w:pPr>
        <w:rPr>
          <w:rFonts w:ascii="Times New Roman" w:eastAsia="Times New Roman" w:hAnsi="Times New Roman" w:cs="Times New Roman"/>
          <w:b/>
          <w:sz w:val="24"/>
          <w:szCs w:val="24"/>
        </w:rPr>
      </w:pPr>
      <w:r w:rsidRPr="00452C1A">
        <w:rPr>
          <w:rFonts w:ascii="Times New Roman" w:hAnsi="Times New Roman"/>
          <w:b/>
          <w:sz w:val="24"/>
        </w:rPr>
        <w:t>11</w:t>
      </w:r>
      <w:r>
        <w:rPr>
          <w:rFonts w:ascii="Times New Roman" w:hAnsi="Times New Roman"/>
          <w:b/>
          <w:sz w:val="24"/>
        </w:rPr>
        <w:t>. Plans de communication et de visibilité</w:t>
      </w:r>
    </w:p>
    <w:p w14:paraId="192CDAF6" w14:textId="77777777" w:rsidR="00832F98" w:rsidRPr="005107DF" w:rsidRDefault="00832F98" w:rsidP="007338F0">
      <w:pPr>
        <w:jc w:val="both"/>
        <w:rPr>
          <w:rFonts w:ascii="Times New Roman" w:hAnsi="Times New Roman" w:cs="Times New Roman"/>
          <w:sz w:val="24"/>
          <w:szCs w:val="24"/>
        </w:rPr>
      </w:pPr>
      <w:r>
        <w:rPr>
          <w:rFonts w:ascii="Times New Roman" w:hAnsi="Times New Roman"/>
          <w:sz w:val="24"/>
        </w:rPr>
        <w:t>Présentez les idées et concepts que vous prévoyez pour les activités de communication et de visibilité.</w:t>
      </w:r>
    </w:p>
    <w:p w14:paraId="68D8E0AA" w14:textId="77777777" w:rsidR="00832F98" w:rsidRPr="005107DF" w:rsidRDefault="00832F98" w:rsidP="00EE710C">
      <w:pPr>
        <w:autoSpaceDE w:val="0"/>
        <w:autoSpaceDN w:val="0"/>
        <w:adjustRightInd w:val="0"/>
        <w:spacing w:before="120" w:after="0" w:line="240" w:lineRule="auto"/>
        <w:ind w:left="540" w:hanging="540"/>
        <w:rPr>
          <w:rFonts w:ascii="Times New Roman" w:eastAsia="Times New Roman" w:hAnsi="Times New Roman" w:cs="Times New Roman"/>
          <w:b/>
          <w:bCs/>
          <w:sz w:val="24"/>
          <w:szCs w:val="24"/>
        </w:rPr>
      </w:pPr>
    </w:p>
    <w:p w14:paraId="632FB6AB" w14:textId="77777777" w:rsidR="00832F98" w:rsidRPr="005107DF" w:rsidRDefault="00832F98" w:rsidP="007338F0">
      <w:pPr>
        <w:rPr>
          <w:rFonts w:ascii="Times New Roman" w:eastAsia="Times New Roman" w:hAnsi="Times New Roman" w:cs="Times New Roman"/>
          <w:i/>
          <w:color w:val="000000"/>
          <w:sz w:val="24"/>
          <w:szCs w:val="24"/>
        </w:rPr>
      </w:pPr>
      <w:r w:rsidRPr="00452C1A">
        <w:rPr>
          <w:rFonts w:ascii="Times New Roman" w:hAnsi="Times New Roman"/>
          <w:b/>
          <w:sz w:val="24"/>
        </w:rPr>
        <w:t>12</w:t>
      </w:r>
      <w:r>
        <w:rPr>
          <w:rFonts w:ascii="Times New Roman" w:hAnsi="Times New Roman"/>
          <w:b/>
          <w:sz w:val="24"/>
        </w:rPr>
        <w:t xml:space="preserve">. Durabilité </w:t>
      </w:r>
    </w:p>
    <w:p w14:paraId="387FA0F4" w14:textId="77777777" w:rsidR="00832F98" w:rsidRPr="005107DF" w:rsidRDefault="00832F98" w:rsidP="00A85E77">
      <w:pPr>
        <w:spacing w:after="12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résultats d’un projet de jumelage léger (des résultats par volet aux impacts) doivent être maintenus comme un atout permanent dans l’administration bénéficiaire même après la fin de la mise en œuvre du projet de jumelage. Cela présuppose, entre autres, la mise en place par l’administration bénéficiaire de mécanismes efficaces pour diffuser et consolider les résultats du projet. </w:t>
      </w:r>
    </w:p>
    <w:p w14:paraId="134E7A86" w14:textId="77777777" w:rsidR="00832F98" w:rsidRPr="005107DF" w:rsidRDefault="00832F98" w:rsidP="00EE710C">
      <w:pPr>
        <w:spacing w:after="12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ce qui concerne les projets de jumelage prévoyant un soutien à l’élaboration des politiques sectorielles (stratégies et plans d’action), l’élaboration de nouveaux actes législatifs ou l’introduction de modifications (surtout ayant trait à l’acquis), le meilleur moyen de garantir la durabilité des résultats obligatoires/produits est de veiller à ce que les propositions d’action et les propositions législatives soient au moins appuyées par des analyses d’impact </w:t>
      </w:r>
      <w:r>
        <w:rPr>
          <w:rFonts w:ascii="Times New Roman" w:hAnsi="Times New Roman"/>
          <w:color w:val="000000"/>
          <w:sz w:val="24"/>
        </w:rPr>
        <w:lastRenderedPageBreak/>
        <w:t>élémentaires (réglementaires, fiscales) et à ce que les acteurs internes et externes soient consultés à leur sujet (consultations interministérielles et publiques), comme l’exige la législation du pays bénéficiaire.</w:t>
      </w:r>
      <w:r>
        <w:rPr>
          <w:rFonts w:ascii="Times New Roman" w:hAnsi="Times New Roman"/>
          <w:sz w:val="24"/>
        </w:rPr>
        <w:t xml:space="preserve"> </w:t>
      </w:r>
      <w:r>
        <w:rPr>
          <w:rFonts w:ascii="Times New Roman" w:hAnsi="Times New Roman"/>
          <w:color w:val="000000"/>
          <w:sz w:val="24"/>
        </w:rPr>
        <w:t>Il convient de prévoir suffisamment de temps pour ces travaux préparatoires pendant le projet et d’éviter les procédures accélérées d’adoption de la législation, qui mettent en péril la mise en œuvre et l’application de la future législation.</w:t>
      </w:r>
    </w:p>
    <w:p w14:paraId="44BF1DE7" w14:textId="77777777" w:rsidR="00832F98" w:rsidRPr="005107DF" w:rsidRDefault="00832F98" w:rsidP="00EE710C">
      <w:pPr>
        <w:spacing w:after="12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Compte tenu de la nécessité de pérenniser les résultats, le bénéficiaire devrait expliquer comment il a prévu les ressources nécessaires à cette pérennisation dans sa planification budgétaire (planification opérationnelle à moyen terme ou méthode semblable).    </w:t>
      </w:r>
    </w:p>
    <w:p w14:paraId="72EAFBBC" w14:textId="77777777" w:rsidR="00832F98" w:rsidRPr="005107DF" w:rsidRDefault="00832F98" w:rsidP="007338F0">
      <w:pPr>
        <w:rPr>
          <w:rFonts w:ascii="Times New Roman" w:hAnsi="Times New Roman" w:cs="Times New Roman"/>
          <w:b/>
          <w:sz w:val="24"/>
          <w:szCs w:val="24"/>
        </w:rPr>
      </w:pPr>
    </w:p>
    <w:p w14:paraId="3BC84CD0" w14:textId="77777777" w:rsidR="00832F98" w:rsidRPr="005107DF" w:rsidRDefault="00832F98" w:rsidP="007338F0">
      <w:pPr>
        <w:rPr>
          <w:rFonts w:ascii="Times New Roman" w:eastAsia="Times New Roman" w:hAnsi="Times New Roman" w:cs="Times New Roman"/>
          <w:bCs/>
          <w:sz w:val="24"/>
          <w:szCs w:val="24"/>
        </w:rPr>
      </w:pPr>
      <w:r w:rsidRPr="00452C1A">
        <w:rPr>
          <w:rFonts w:ascii="Times New Roman" w:hAnsi="Times New Roman"/>
          <w:b/>
          <w:sz w:val="24"/>
        </w:rPr>
        <w:t>13</w:t>
      </w:r>
      <w:r>
        <w:rPr>
          <w:rFonts w:ascii="Times New Roman" w:hAnsi="Times New Roman"/>
          <w:b/>
          <w:sz w:val="24"/>
        </w:rPr>
        <w:t>. Questions transversales (égalité des chances, environnement, climat, etc.)</w:t>
      </w:r>
    </w:p>
    <w:p w14:paraId="0E37A899" w14:textId="77777777" w:rsidR="00832F98" w:rsidRPr="005107DF" w:rsidRDefault="00832F98" w:rsidP="007338F0">
      <w:pPr>
        <w:jc w:val="both"/>
        <w:rPr>
          <w:rFonts w:ascii="Times New Roman" w:hAnsi="Times New Roman" w:cs="Times New Roman"/>
          <w:sz w:val="24"/>
          <w:szCs w:val="24"/>
        </w:rPr>
      </w:pPr>
      <w:r>
        <w:rPr>
          <w:rFonts w:ascii="Times New Roman" w:hAnsi="Times New Roman"/>
          <w:sz w:val="24"/>
        </w:rPr>
        <w:t xml:space="preserve">Analysez comment les objectifs du projet contribuent à la mise en œuvre de politiques de promotion de l’égalité hommes-femmes et des droits de l’homme et, à terme, à la promotion de l’égalité des chances, de l’environnement, des minorités, de la lutte contre le changement climatique, de la couverture régionale, etc. </w:t>
      </w:r>
    </w:p>
    <w:p w14:paraId="084BB1AE" w14:textId="77777777" w:rsidR="00832F98" w:rsidRPr="005107DF" w:rsidRDefault="00832F98" w:rsidP="00EE710C">
      <w:pPr>
        <w:autoSpaceDE w:val="0"/>
        <w:autoSpaceDN w:val="0"/>
        <w:adjustRightInd w:val="0"/>
        <w:spacing w:after="0" w:line="240" w:lineRule="auto"/>
        <w:jc w:val="both"/>
        <w:rPr>
          <w:rFonts w:ascii="Times New Roman" w:eastAsia="Times New Roman" w:hAnsi="Times New Roman" w:cs="Times New Roman"/>
          <w:bCs/>
          <w:sz w:val="24"/>
          <w:szCs w:val="24"/>
        </w:rPr>
      </w:pPr>
    </w:p>
    <w:p w14:paraId="5AEC073F" w14:textId="77777777" w:rsidR="00832F98" w:rsidRPr="005107DF" w:rsidRDefault="00832F98" w:rsidP="007338F0">
      <w:pPr>
        <w:rPr>
          <w:rFonts w:ascii="Times New Roman" w:hAnsi="Times New Roman" w:cs="Times New Roman"/>
          <w:b/>
          <w:sz w:val="24"/>
          <w:szCs w:val="24"/>
        </w:rPr>
      </w:pPr>
      <w:r w:rsidRPr="00452C1A">
        <w:rPr>
          <w:rFonts w:ascii="Times New Roman" w:hAnsi="Times New Roman"/>
          <w:b/>
          <w:sz w:val="24"/>
        </w:rPr>
        <w:t>14</w:t>
      </w:r>
      <w:r>
        <w:rPr>
          <w:rFonts w:ascii="Times New Roman" w:hAnsi="Times New Roman"/>
          <w:b/>
          <w:sz w:val="24"/>
        </w:rPr>
        <w:t>. Début de la mise en œuvre</w:t>
      </w:r>
    </w:p>
    <w:p w14:paraId="2BDEEE14" w14:textId="77777777" w:rsidR="00832F98" w:rsidRPr="005107DF" w:rsidRDefault="00832F98" w:rsidP="007338F0">
      <w:pPr>
        <w:jc w:val="both"/>
        <w:rPr>
          <w:rFonts w:ascii="Times New Roman" w:hAnsi="Times New Roman" w:cs="Times New Roman"/>
          <w:sz w:val="24"/>
          <w:szCs w:val="24"/>
        </w:rPr>
      </w:pPr>
      <w:r>
        <w:rPr>
          <w:rFonts w:ascii="Times New Roman" w:hAnsi="Times New Roman"/>
          <w:sz w:val="24"/>
        </w:rPr>
        <w:t>Indiquez la date à laquelle vous seriez disponible pour commencer la mise en œuvre du projet.</w:t>
      </w:r>
    </w:p>
    <w:p w14:paraId="22604837" w14:textId="77777777" w:rsidR="00832F98" w:rsidRPr="005107DF" w:rsidRDefault="00832F98" w:rsidP="007338F0">
      <w:pPr>
        <w:jc w:val="both"/>
        <w:rPr>
          <w:rFonts w:ascii="Times New Roman" w:eastAsia="Times New Roman" w:hAnsi="Times New Roman" w:cs="Times New Roman"/>
          <w:bCs/>
          <w:sz w:val="24"/>
          <w:szCs w:val="24"/>
        </w:rPr>
      </w:pPr>
    </w:p>
    <w:p w14:paraId="62BF1C60" w14:textId="77777777" w:rsidR="00832F98" w:rsidRPr="005107DF" w:rsidRDefault="00832F98" w:rsidP="00EE710C">
      <w:pPr>
        <w:autoSpaceDE w:val="0"/>
        <w:autoSpaceDN w:val="0"/>
        <w:adjustRightInd w:val="0"/>
        <w:spacing w:before="120" w:after="0" w:line="240" w:lineRule="auto"/>
        <w:jc w:val="both"/>
        <w:rPr>
          <w:rFonts w:ascii="Times New Roman" w:eastAsia="Times New Roman" w:hAnsi="Times New Roman" w:cs="Times New Roman"/>
          <w:bCs/>
          <w:sz w:val="19"/>
          <w:szCs w:val="19"/>
        </w:rPr>
      </w:pPr>
      <w:r>
        <w:rPr>
          <w:rFonts w:ascii="Times New Roman" w:hAnsi="Times New Roman"/>
          <w:sz w:val="24"/>
        </w:rPr>
        <w:t>A</w:t>
      </w:r>
      <w:r>
        <w:rPr>
          <w:rFonts w:ascii="Times New Roman" w:hAnsi="Times New Roman"/>
          <w:sz w:val="19"/>
        </w:rPr>
        <w:t xml:space="preserve">NNEXES DE LA PROPOSITION </w:t>
      </w:r>
    </w:p>
    <w:p w14:paraId="58B08A21" w14:textId="77777777" w:rsidR="00832F98" w:rsidRPr="005107DF" w:rsidRDefault="00832F98" w:rsidP="007338F0">
      <w:pPr>
        <w:rPr>
          <w:rFonts w:ascii="Times New Roman" w:hAnsi="Times New Roman" w:cs="Times New Roman"/>
        </w:rPr>
      </w:pPr>
    </w:p>
    <w:p w14:paraId="07B00C7A" w14:textId="77777777" w:rsidR="00832F98" w:rsidRPr="005107DF" w:rsidRDefault="00832F98" w:rsidP="00204469">
      <w:pPr>
        <w:rPr>
          <w:rFonts w:ascii="Times New Roman" w:hAnsi="Times New Roman" w:cs="Times New Roman"/>
          <w:sz w:val="24"/>
          <w:szCs w:val="24"/>
        </w:rPr>
      </w:pPr>
      <w:r w:rsidRPr="00452C1A">
        <w:rPr>
          <w:rFonts w:ascii="Times New Roman" w:hAnsi="Times New Roman"/>
          <w:sz w:val="24"/>
        </w:rPr>
        <w:t>1</w:t>
      </w:r>
      <w:r>
        <w:rPr>
          <w:rFonts w:ascii="Times New Roman" w:hAnsi="Times New Roman"/>
          <w:sz w:val="24"/>
        </w:rPr>
        <w:t>. Matrice du cadre logique d’après l’annexe C</w:t>
      </w:r>
      <w:r w:rsidRPr="00452C1A">
        <w:rPr>
          <w:rFonts w:ascii="Times New Roman" w:hAnsi="Times New Roman"/>
          <w:sz w:val="24"/>
        </w:rPr>
        <w:t>1</w:t>
      </w:r>
      <w:r>
        <w:rPr>
          <w:rFonts w:ascii="Times New Roman" w:hAnsi="Times New Roman"/>
          <w:sz w:val="24"/>
        </w:rPr>
        <w:t>b (obligatoire), incluant des activités clairement définies pour l’ensemble des résultats et sous-résultats obligatoires.</w:t>
      </w:r>
    </w:p>
    <w:p w14:paraId="07DB5ACC" w14:textId="77777777" w:rsidR="00832F98" w:rsidRPr="005107DF" w:rsidRDefault="00832F98" w:rsidP="00204469">
      <w:pPr>
        <w:rPr>
          <w:rFonts w:ascii="Times New Roman" w:eastAsia="Times New Roman" w:hAnsi="Times New Roman" w:cs="Times New Roman"/>
          <w:sz w:val="24"/>
          <w:szCs w:val="24"/>
        </w:rPr>
      </w:pPr>
      <w:r w:rsidRPr="00452C1A">
        <w:rPr>
          <w:rFonts w:ascii="Times New Roman" w:hAnsi="Times New Roman"/>
          <w:sz w:val="24"/>
        </w:rPr>
        <w:t>2</w:t>
      </w:r>
      <w:r>
        <w:rPr>
          <w:rFonts w:ascii="Times New Roman" w:hAnsi="Times New Roman"/>
          <w:sz w:val="24"/>
        </w:rPr>
        <w:t xml:space="preserve">. Plan de travail (format libre) et calendrier de mise en œuvre finalisé. </w:t>
      </w:r>
    </w:p>
    <w:p w14:paraId="0536F99D" w14:textId="77777777" w:rsidR="00832F98" w:rsidRPr="005107DF" w:rsidRDefault="00832F98" w:rsidP="00204469">
      <w:pPr>
        <w:spacing w:after="0" w:line="240" w:lineRule="auto"/>
        <w:rPr>
          <w:rFonts w:ascii="Times New Roman" w:eastAsia="Times New Roman" w:hAnsi="Times New Roman" w:cs="Times New Roman"/>
          <w:i/>
          <w:sz w:val="24"/>
          <w:szCs w:val="24"/>
        </w:rPr>
      </w:pPr>
      <w:r w:rsidRPr="00452C1A">
        <w:rPr>
          <w:rFonts w:ascii="Times New Roman" w:hAnsi="Times New Roman"/>
          <w:sz w:val="24"/>
        </w:rPr>
        <w:t>3</w:t>
      </w:r>
      <w:r>
        <w:rPr>
          <w:rFonts w:ascii="Times New Roman" w:hAnsi="Times New Roman"/>
          <w:sz w:val="24"/>
        </w:rPr>
        <w:t>. CV du ou des chefs de projet, des responsables de volets et des autres experts à court terme, au format Europass</w:t>
      </w:r>
      <w:r>
        <w:rPr>
          <w:rFonts w:ascii="Times New Roman" w:hAnsi="Times New Roman"/>
          <w:sz w:val="24"/>
          <w:vertAlign w:val="superscript"/>
        </w:rPr>
        <w:footnoteReference w:id="52"/>
      </w:r>
      <w:r>
        <w:rPr>
          <w:rFonts w:ascii="Times New Roman" w:hAnsi="Times New Roman"/>
          <w:i/>
          <w:sz w:val="24"/>
        </w:rPr>
        <w:t xml:space="preserve">. </w:t>
      </w:r>
    </w:p>
    <w:p w14:paraId="2912A3AD" w14:textId="77777777" w:rsidR="00832F98" w:rsidRPr="005107DF" w:rsidRDefault="00832F98"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rPr>
      </w:pPr>
    </w:p>
    <w:p w14:paraId="4B1DDAB2" w14:textId="77777777" w:rsidR="00832F98" w:rsidRPr="005107DF" w:rsidRDefault="00832F98">
      <w:pPr>
        <w:rPr>
          <w:rFonts w:ascii="Times New Roman" w:eastAsia="Times New Roman" w:hAnsi="Times New Roman" w:cs="Times New Roman"/>
          <w:sz w:val="24"/>
          <w:szCs w:val="24"/>
        </w:rPr>
      </w:pPr>
      <w:r>
        <w:br w:type="page"/>
      </w:r>
    </w:p>
    <w:p w14:paraId="00888120" w14:textId="27F99D80" w:rsidR="00832F98" w:rsidRPr="004946B7" w:rsidRDefault="00832F98" w:rsidP="004946B7">
      <w:pPr>
        <w:pStyle w:val="Heading2"/>
        <w:pBdr>
          <w:top w:val="single" w:sz="4" w:space="1" w:color="auto"/>
          <w:left w:val="single" w:sz="4" w:space="4" w:color="auto"/>
          <w:bottom w:val="single" w:sz="4" w:space="1" w:color="auto"/>
          <w:right w:val="single" w:sz="4" w:space="4" w:color="auto"/>
        </w:pBdr>
        <w:rPr>
          <w:sz w:val="32"/>
          <w:szCs w:val="32"/>
        </w:rPr>
      </w:pPr>
      <w:bookmarkStart w:id="1399" w:name="_Toc517434479"/>
      <w:bookmarkStart w:id="1400" w:name="_Toc2861046"/>
      <w:r>
        <w:rPr>
          <w:sz w:val="32"/>
        </w:rPr>
        <w:lastRenderedPageBreak/>
        <w:t>ANNEXE C</w:t>
      </w:r>
      <w:r w:rsidRPr="00452C1A">
        <w:rPr>
          <w:sz w:val="32"/>
        </w:rPr>
        <w:t>3</w:t>
      </w:r>
      <w:r>
        <w:rPr>
          <w:sz w:val="32"/>
        </w:rPr>
        <w:t>: Présentation orale lors de la réunion de sélection dans le pays bénéficiaire</w:t>
      </w:r>
      <w:bookmarkEnd w:id="1399"/>
      <w:bookmarkEnd w:id="1400"/>
    </w:p>
    <w:p w14:paraId="0FCE6159" w14:textId="77777777" w:rsidR="00832F98" w:rsidRPr="005107DF" w:rsidRDefault="00832F98"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rPr>
      </w:pPr>
      <w:r>
        <w:rPr>
          <w:rFonts w:ascii="Times New Roman" w:hAnsi="Times New Roman"/>
          <w:b/>
          <w:smallCaps/>
          <w:color w:val="000000"/>
          <w:sz w:val="24"/>
          <w:u w:val="single"/>
        </w:rPr>
        <w:t>Points essentiels à traiter par l’État membre:</w:t>
      </w:r>
    </w:p>
    <w:p w14:paraId="7B795A10" w14:textId="77777777" w:rsidR="00832F98" w:rsidRPr="005107DF" w:rsidRDefault="00832F98" w:rsidP="00EE710C">
      <w:pPr>
        <w:numPr>
          <w:ilvl w:val="12"/>
          <w:numId w:val="0"/>
        </w:numPr>
        <w:spacing w:after="0" w:line="240" w:lineRule="auto"/>
        <w:ind w:left="567"/>
        <w:rPr>
          <w:rFonts w:ascii="Times New Roman" w:eastAsia="Times New Roman" w:hAnsi="Times New Roman" w:cs="Times New Roman"/>
          <w:b/>
          <w:color w:val="000000"/>
          <w:sz w:val="24"/>
          <w:szCs w:val="24"/>
        </w:rPr>
      </w:pPr>
    </w:p>
    <w:p w14:paraId="79810F22" w14:textId="77777777" w:rsidR="00832F98" w:rsidRPr="005107DF" w:rsidRDefault="00832F98" w:rsidP="004946B7">
      <w:pPr>
        <w:numPr>
          <w:ilvl w:val="0"/>
          <w:numId w:val="135"/>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axer la présentation sur l’approche proposée par le ou les États membres en vue de répondre aux besoins recensés par le bénéficiaire;</w:t>
      </w:r>
    </w:p>
    <w:p w14:paraId="672E828F" w14:textId="77777777" w:rsidR="00832F98" w:rsidRPr="005107DF" w:rsidRDefault="00832F98" w:rsidP="004946B7">
      <w:pPr>
        <w:numPr>
          <w:ilvl w:val="0"/>
          <w:numId w:val="136"/>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l’accent doit être mis sur les structures et le modèle administratifs proposés par le ou les États membres et la participation attendue de ceux-ci;</w:t>
      </w:r>
    </w:p>
    <w:p w14:paraId="7E53A7D9" w14:textId="77777777" w:rsidR="00832F98" w:rsidRPr="005107DF" w:rsidRDefault="00832F98" w:rsidP="004946B7">
      <w:pPr>
        <w:numPr>
          <w:ilvl w:val="0"/>
          <w:numId w:val="138"/>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explicitez votre vision globale et votre stratégie sous-jacente; expliquez brièvement comment vous envisagez ce projet dans le cadre d’un processus (de réforme générale/sectorielle) plus vaste et comment vous prévoyez d’assurer la coopération/la communication avec les autres acteurs du secteur;</w:t>
      </w:r>
    </w:p>
    <w:p w14:paraId="6A5B325B" w14:textId="77777777" w:rsidR="00832F98" w:rsidRPr="005107DF" w:rsidRDefault="00832F98" w:rsidP="004946B7">
      <w:pPr>
        <w:numPr>
          <w:ilvl w:val="0"/>
          <w:numId w:val="138"/>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présentez brièvement la méthodologie que vous prévoyez d’appliquer, le calendrier escompté ainsi que les éléments clés de vos plans de communication et de visibilité;</w:t>
      </w:r>
    </w:p>
    <w:p w14:paraId="47A7B715" w14:textId="77777777" w:rsidR="00832F98" w:rsidRPr="005107DF" w:rsidRDefault="00832F98" w:rsidP="004946B7">
      <w:pPr>
        <w:numPr>
          <w:ilvl w:val="0"/>
          <w:numId w:val="138"/>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indiquez le nom des responsables de volets et leur place dans votre structure administrative; soulignez la pertinence de leurs qualifications et fournissez des informations sur l’étendue de l’expertise disponible au sein de votre structure administrative et l’accès à celle-ci;</w:t>
      </w:r>
    </w:p>
    <w:p w14:paraId="08277B4C" w14:textId="77777777" w:rsidR="00832F98" w:rsidRPr="005107DF" w:rsidRDefault="00832F98" w:rsidP="004946B7">
      <w:pPr>
        <w:numPr>
          <w:ilvl w:val="0"/>
          <w:numId w:val="138"/>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chef de projet [chef(s) de projet junior(s), le cas échéant] et le CRJ désignés devraient tous deux être présents lors de la présentation, ainsi que, si possible, les responsables de volets;</w:t>
      </w:r>
    </w:p>
    <w:p w14:paraId="6DB1BDD7" w14:textId="77777777" w:rsidR="00832F98" w:rsidRPr="005107DF" w:rsidRDefault="00832F98" w:rsidP="004946B7">
      <w:pPr>
        <w:numPr>
          <w:ilvl w:val="0"/>
          <w:numId w:val="139"/>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bilan en matière de renforcement des institutions, en particulier dans le secteur et la région concernés, devrait être clairement présenté;</w:t>
      </w:r>
    </w:p>
    <w:p w14:paraId="56CCD9E4" w14:textId="77777777" w:rsidR="00832F98" w:rsidRPr="005107DF" w:rsidRDefault="00832F98" w:rsidP="004946B7">
      <w:pPr>
        <w:numPr>
          <w:ilvl w:val="0"/>
          <w:numId w:val="140"/>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clarifiez la question linguistique afin de vous assurer que le CRJ et les autres experts sont pleinement performants dans la langue de travail du projet, celle-ci étant la même que celle du contrat.</w:t>
      </w:r>
    </w:p>
    <w:p w14:paraId="3EBED3BA" w14:textId="6380BC8F" w:rsidR="00832F98" w:rsidRPr="005107DF" w:rsidRDefault="00832F98" w:rsidP="004946B7">
      <w:pPr>
        <w:tabs>
          <w:tab w:val="left" w:pos="851"/>
        </w:tabs>
        <w:spacing w:after="0" w:line="240" w:lineRule="auto"/>
        <w:rPr>
          <w:rFonts w:ascii="Times New Roman" w:eastAsia="Times New Roman" w:hAnsi="Times New Roman" w:cs="Times New Roman"/>
          <w:b/>
          <w:smallCaps/>
          <w:color w:val="000000"/>
          <w:sz w:val="24"/>
          <w:szCs w:val="24"/>
          <w:u w:val="single"/>
        </w:rPr>
      </w:pPr>
    </w:p>
    <w:p w14:paraId="39CD5612" w14:textId="77777777" w:rsidR="00832F98" w:rsidRPr="005107DF" w:rsidRDefault="00832F98"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rPr>
      </w:pPr>
      <w:r>
        <w:rPr>
          <w:rFonts w:ascii="Times New Roman" w:hAnsi="Times New Roman"/>
          <w:b/>
          <w:smallCaps/>
          <w:color w:val="000000"/>
          <w:sz w:val="24"/>
          <w:u w:val="single"/>
        </w:rPr>
        <w:t>Points essentiels à ne pas perdre de vue pour l’État membre:</w:t>
      </w:r>
    </w:p>
    <w:p w14:paraId="156BBFAB" w14:textId="77777777" w:rsidR="00832F98" w:rsidRPr="005107DF" w:rsidRDefault="00832F98" w:rsidP="004946B7">
      <w:pPr>
        <w:numPr>
          <w:ilvl w:val="12"/>
          <w:numId w:val="0"/>
        </w:numPr>
        <w:tabs>
          <w:tab w:val="left" w:pos="851"/>
        </w:tabs>
        <w:spacing w:after="0" w:line="240" w:lineRule="auto"/>
        <w:ind w:left="851"/>
        <w:jc w:val="both"/>
        <w:rPr>
          <w:rFonts w:ascii="Times New Roman" w:eastAsia="Times New Roman" w:hAnsi="Times New Roman" w:cs="Times New Roman"/>
          <w:color w:val="000000"/>
          <w:sz w:val="24"/>
          <w:szCs w:val="24"/>
        </w:rPr>
      </w:pPr>
    </w:p>
    <w:p w14:paraId="61A4AF67" w14:textId="77777777" w:rsidR="00832F98" w:rsidRPr="005107DF" w:rsidRDefault="00832F98" w:rsidP="004946B7">
      <w:pPr>
        <w:numPr>
          <w:ilvl w:val="0"/>
          <w:numId w:val="141"/>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présentations devraient se concentrer sur les thèmes essentiels de la proposition écrite et ne pas simplement en répéter le contenu;</w:t>
      </w:r>
    </w:p>
    <w:p w14:paraId="05E9E9AC" w14:textId="77777777" w:rsidR="00832F98" w:rsidRPr="005107DF" w:rsidRDefault="00832F98" w:rsidP="004946B7">
      <w:pPr>
        <w:numPr>
          <w:ilvl w:val="0"/>
          <w:numId w:val="142"/>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elles devront être soigneusement préparées et, idéalement, être le fruit d’un travail conjoint de tous les membres de l’équipe de présentation;</w:t>
      </w:r>
    </w:p>
    <w:p w14:paraId="79B62A7F" w14:textId="77777777" w:rsidR="00832F98" w:rsidRPr="005107DF" w:rsidRDefault="00832F98" w:rsidP="004946B7">
      <w:pPr>
        <w:numPr>
          <w:ilvl w:val="0"/>
          <w:numId w:val="143"/>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une brève présentation audiovisuelle peut être très efficace, mais n’est pas toujours nécessaire;</w:t>
      </w:r>
    </w:p>
    <w:p w14:paraId="5C89411F" w14:textId="77777777" w:rsidR="00832F98" w:rsidRPr="005107DF" w:rsidRDefault="00832F98" w:rsidP="004946B7">
      <w:pPr>
        <w:numPr>
          <w:ilvl w:val="0"/>
          <w:numId w:val="144"/>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présentations devraient être brèves et ciblées et, si possible, appuyées par une brève documentation écrite, par exemple des copies de transparents;</w:t>
      </w:r>
    </w:p>
    <w:p w14:paraId="18942D30" w14:textId="77777777" w:rsidR="00832F98" w:rsidRPr="005107DF" w:rsidRDefault="00832F98" w:rsidP="004946B7">
      <w:pPr>
        <w:numPr>
          <w:ilvl w:val="0"/>
          <w:numId w:val="144"/>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personne chargée de la présentation devrait avoir de l’expérience et une bonne maîtrise de ce type d’exercice, afin que le public étranger puisse suivre son exposé sans difficultés;</w:t>
      </w:r>
    </w:p>
    <w:p w14:paraId="079645A2" w14:textId="77777777" w:rsidR="00832F98" w:rsidRPr="005107DF" w:rsidRDefault="00832F98" w:rsidP="004946B7">
      <w:pPr>
        <w:numPr>
          <w:ilvl w:val="0"/>
          <w:numId w:val="144"/>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il est souhaitable que plusieurs membres de l’équipe proposée soient présents et participent brièvement à la présentation ou soient disponibles pour répondre aux questions;</w:t>
      </w:r>
    </w:p>
    <w:p w14:paraId="2AFA1E5C" w14:textId="77777777" w:rsidR="00832F98" w:rsidRPr="005107DF" w:rsidRDefault="00832F98" w:rsidP="004946B7">
      <w:pPr>
        <w:numPr>
          <w:ilvl w:val="0"/>
          <w:numId w:val="144"/>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présentations devraient couvrir les éléments clés du programme de travail requis pour répondre aux besoins exprimés par le bénéficiaire.</w:t>
      </w:r>
    </w:p>
    <w:p w14:paraId="586B8656" w14:textId="77777777" w:rsidR="00832F98" w:rsidRPr="005107DF" w:rsidRDefault="00832F98" w:rsidP="00EE710C">
      <w:pPr>
        <w:tabs>
          <w:tab w:val="left" w:pos="851"/>
        </w:tabs>
        <w:spacing w:after="0" w:line="240" w:lineRule="auto"/>
        <w:ind w:left="851"/>
        <w:rPr>
          <w:rFonts w:ascii="Times New Roman" w:eastAsia="Times New Roman" w:hAnsi="Times New Roman" w:cs="Times New Roman"/>
          <w:color w:val="000000"/>
          <w:sz w:val="24"/>
          <w:szCs w:val="24"/>
        </w:rPr>
      </w:pPr>
    </w:p>
    <w:p w14:paraId="300D860F" w14:textId="77777777" w:rsidR="00832F98" w:rsidRPr="005107DF" w:rsidRDefault="00832F98" w:rsidP="00EE710C">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Lorsqu’une intervention du représentant d’une ou plusieurs ambassades représentant le ou les États membres dans le pays est prévue, celle-ci doit être limitée (par exemple à </w:t>
      </w:r>
      <w:r w:rsidRPr="00452C1A">
        <w:rPr>
          <w:rFonts w:ascii="Times New Roman" w:hAnsi="Times New Roman"/>
          <w:color w:val="000000"/>
          <w:sz w:val="24"/>
        </w:rPr>
        <w:t>5</w:t>
      </w:r>
      <w:r>
        <w:rPr>
          <w:rFonts w:ascii="Times New Roman" w:hAnsi="Times New Roman"/>
          <w:color w:val="000000"/>
          <w:sz w:val="24"/>
        </w:rPr>
        <w:t xml:space="preserve"> minutes) afin de laisser suffisamment de temps pour la présentation et la discussion de la proposition par le ou les États membres. </w:t>
      </w:r>
    </w:p>
    <w:p w14:paraId="11DCA7BF" w14:textId="77777777" w:rsidR="00832F98" w:rsidRPr="005107DF" w:rsidRDefault="00832F98" w:rsidP="00EE710C">
      <w:pPr>
        <w:spacing w:after="0" w:line="240" w:lineRule="auto"/>
        <w:rPr>
          <w:rFonts w:ascii="Times New Roman" w:eastAsia="Times New Roman" w:hAnsi="Times New Roman" w:cs="Times New Roman"/>
          <w:color w:val="000000"/>
          <w:sz w:val="24"/>
          <w:szCs w:val="24"/>
        </w:rPr>
      </w:pPr>
    </w:p>
    <w:p w14:paraId="23B88402" w14:textId="466B2CF3" w:rsidR="00832F98" w:rsidRPr="005107DF" w:rsidRDefault="00832F98">
      <w:pPr>
        <w:rPr>
          <w:rFonts w:ascii="Times New Roman" w:eastAsia="Times New Roman" w:hAnsi="Times New Roman" w:cs="Times New Roman"/>
          <w:sz w:val="24"/>
          <w:szCs w:val="24"/>
        </w:rPr>
      </w:pPr>
      <w:r>
        <w:rPr>
          <w:rFonts w:ascii="Times New Roman" w:hAnsi="Times New Roman"/>
          <w:color w:val="000000"/>
          <w:sz w:val="24"/>
        </w:rPr>
        <w:t>Toute question posée par le pays bénéficiaire devrait recevoir une réponse aussi complète que possible durant la réunion.</w:t>
      </w:r>
    </w:p>
    <w:p w14:paraId="78AD0AAD"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401" w:name="_Toc517434480"/>
      <w:bookmarkStart w:id="1402" w:name="_Toc2861047"/>
      <w:r>
        <w:rPr>
          <w:sz w:val="32"/>
        </w:rPr>
        <w:lastRenderedPageBreak/>
        <w:t>ANNEXE C</w:t>
      </w:r>
      <w:r w:rsidRPr="00452C1A">
        <w:rPr>
          <w:sz w:val="32"/>
        </w:rPr>
        <w:t>4</w:t>
      </w:r>
      <w:r>
        <w:rPr>
          <w:sz w:val="32"/>
        </w:rPr>
        <w:t>: Rapport de jumelage intermédiaire trimestriel</w:t>
      </w:r>
      <w:r>
        <w:rPr>
          <w:rStyle w:val="FootnoteReference"/>
          <w:sz w:val="32"/>
        </w:rPr>
        <w:footnoteReference w:id="53"/>
      </w:r>
      <w:bookmarkEnd w:id="1401"/>
      <w:bookmarkEnd w:id="1402"/>
    </w:p>
    <w:p w14:paraId="217F99C4" w14:textId="77777777" w:rsidR="00832F98" w:rsidRPr="005107DF" w:rsidRDefault="00832F98" w:rsidP="00913D3A">
      <w:pPr>
        <w:spacing w:after="0" w:line="240" w:lineRule="auto"/>
        <w:rPr>
          <w:rFonts w:ascii="Times New Roman" w:eastAsia="Times New Roman" w:hAnsi="Times New Roman" w:cs="Times New Roman"/>
          <w:sz w:val="24"/>
          <w:szCs w:val="24"/>
        </w:rPr>
      </w:pPr>
    </w:p>
    <w:p w14:paraId="373AC50D" w14:textId="77777777" w:rsidR="00832F98" w:rsidRPr="005107DF" w:rsidRDefault="00832F98" w:rsidP="007338F0">
      <w:pPr>
        <w:jc w:val="center"/>
        <w:rPr>
          <w:rFonts w:ascii="Times New Roman" w:hAnsi="Times New Roman" w:cs="Times New Roman"/>
        </w:rPr>
      </w:pPr>
      <w:r>
        <w:rPr>
          <w:rFonts w:ascii="Times New Roman" w:hAnsi="Times New Roman" w:cs="Times New Roman"/>
          <w:noProof/>
          <w:lang w:val="en-GB" w:eastAsia="en-GB" w:bidi="ar-SA"/>
        </w:rPr>
        <w:drawing>
          <wp:inline distT="0" distB="0" distL="0" distR="0" wp14:anchorId="20CFDDF5" wp14:editId="6182BA26">
            <wp:extent cx="1333500" cy="914400"/>
            <wp:effectExtent l="19050" t="19050" r="19050" b="19050"/>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solidFill>
                      <a:srgbClr val="FFFFFF"/>
                    </a:solidFill>
                    <a:ln w="6350" cmpd="sng">
                      <a:solidFill>
                        <a:srgbClr val="FFFFFF"/>
                      </a:solidFill>
                      <a:miter lim="800000"/>
                      <a:headEnd/>
                      <a:tailEnd/>
                    </a:ln>
                    <a:effectLst/>
                  </pic:spPr>
                </pic:pic>
              </a:graphicData>
            </a:graphic>
          </wp:inline>
        </w:drawing>
      </w:r>
    </w:p>
    <w:p w14:paraId="64A65D2F" w14:textId="77777777" w:rsidR="00832F98" w:rsidRPr="005107DF" w:rsidRDefault="00832F98" w:rsidP="00A92DE1">
      <w:pPr>
        <w:shd w:val="clear" w:color="FF0000" w:fill="auto"/>
        <w:spacing w:after="0" w:line="240" w:lineRule="auto"/>
        <w:jc w:val="center"/>
        <w:outlineLvl w:val="0"/>
        <w:rPr>
          <w:rFonts w:ascii="Times New Roman" w:eastAsia="Times New Roman" w:hAnsi="Times New Roman" w:cs="Times New Roman"/>
          <w:color w:val="000000"/>
          <w:sz w:val="24"/>
          <w:szCs w:val="24"/>
        </w:rPr>
      </w:pPr>
    </w:p>
    <w:p w14:paraId="5D51CFA1" w14:textId="77777777" w:rsidR="00832F98" w:rsidRPr="005107DF" w:rsidRDefault="00832F98" w:rsidP="007338F0">
      <w:pPr>
        <w:jc w:val="center"/>
        <w:rPr>
          <w:rFonts w:ascii="Times New Roman" w:hAnsi="Times New Roman" w:cs="Times New Roman"/>
          <w:sz w:val="28"/>
          <w:szCs w:val="28"/>
        </w:rPr>
      </w:pPr>
      <w:bookmarkStart w:id="1403" w:name="_Toc442374543"/>
      <w:bookmarkStart w:id="1404" w:name="_Toc442375033"/>
      <w:bookmarkStart w:id="1405" w:name="_Toc443320355"/>
      <w:bookmarkStart w:id="1406" w:name="_Toc464460202"/>
      <w:bookmarkStart w:id="1407" w:name="_Toc476063552"/>
      <w:bookmarkStart w:id="1408" w:name="_Toc476068034"/>
      <w:r>
        <w:rPr>
          <w:rFonts w:ascii="Times New Roman" w:hAnsi="Times New Roman"/>
          <w:sz w:val="28"/>
        </w:rPr>
        <w:t>COMMISSION EUROPÉENNE</w:t>
      </w:r>
      <w:bookmarkEnd w:id="1403"/>
      <w:bookmarkEnd w:id="1404"/>
      <w:bookmarkEnd w:id="1405"/>
      <w:bookmarkEnd w:id="1406"/>
      <w:bookmarkEnd w:id="1407"/>
      <w:bookmarkEnd w:id="1408"/>
    </w:p>
    <w:p w14:paraId="2697417C" w14:textId="77777777" w:rsidR="00832F98" w:rsidRPr="005107DF" w:rsidRDefault="00832F98"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rPr>
      </w:pPr>
      <w:bookmarkStart w:id="1409" w:name="_Toc442374544"/>
      <w:bookmarkStart w:id="1410" w:name="_Toc442375034"/>
      <w:bookmarkStart w:id="1411" w:name="_Toc443320356"/>
      <w:bookmarkStart w:id="1412" w:name="_Toc464460203"/>
      <w:bookmarkStart w:id="1413" w:name="_Toc476063553"/>
      <w:bookmarkStart w:id="1414" w:name="_Toc476068035"/>
      <w:r>
        <w:rPr>
          <w:rFonts w:ascii="Times New Roman" w:hAnsi="Times New Roman"/>
          <w:sz w:val="28"/>
        </w:rPr>
        <w:t>PROJETS DE JUMELAGE</w:t>
      </w:r>
    </w:p>
    <w:p w14:paraId="13B7FE67" w14:textId="77777777" w:rsidR="00832F98" w:rsidRPr="005107DF" w:rsidRDefault="00832F98"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rPr>
      </w:pPr>
      <w:r>
        <w:rPr>
          <w:rFonts w:ascii="Times New Roman" w:hAnsi="Times New Roman"/>
          <w:sz w:val="28"/>
        </w:rPr>
        <w:t>RAPPORT INTERMÉDIAIRE TRIMESTRIEL</w:t>
      </w:r>
    </w:p>
    <w:p w14:paraId="14A76C6B" w14:textId="77777777" w:rsidR="00832F98" w:rsidRPr="005107DF" w:rsidRDefault="00832F98"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Pr>
          <w:rFonts w:ascii="Times New Roman" w:hAnsi="Times New Roman"/>
          <w:sz w:val="28"/>
        </w:rPr>
        <w:t>RAPPORT DE JUMELAGE INTERMÉDIAIRE TRIMESTRIEL numéro:</w:t>
      </w:r>
    </w:p>
    <w:p w14:paraId="75F704C8" w14:textId="77777777" w:rsidR="00832F98" w:rsidRPr="005107DF" w:rsidRDefault="00832F98"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Pr>
          <w:rFonts w:ascii="Times New Roman" w:hAnsi="Times New Roman"/>
          <w:sz w:val="28"/>
        </w:rPr>
        <w:t>Intitulé du projet:</w:t>
      </w:r>
    </w:p>
    <w:p w14:paraId="207F6A8A" w14:textId="77777777" w:rsidR="00832F98" w:rsidRPr="005107DF" w:rsidRDefault="00832F98"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Pr>
          <w:rFonts w:ascii="Times New Roman" w:hAnsi="Times New Roman"/>
          <w:sz w:val="28"/>
        </w:rPr>
        <w:t>Partenaires:</w:t>
      </w:r>
    </w:p>
    <w:p w14:paraId="5326E99A" w14:textId="77777777" w:rsidR="00832F98" w:rsidRPr="005107DF" w:rsidRDefault="00832F98" w:rsidP="007338F0">
      <w:pPr>
        <w:pBdr>
          <w:top w:val="single" w:sz="4" w:space="1" w:color="auto"/>
          <w:left w:val="single" w:sz="4" w:space="4" w:color="auto"/>
          <w:bottom w:val="single" w:sz="4" w:space="1" w:color="auto"/>
          <w:right w:val="single" w:sz="4" w:space="4" w:color="auto"/>
        </w:pBdr>
        <w:rPr>
          <w:rFonts w:ascii="Times New Roman" w:hAnsi="Times New Roman" w:cs="Times New Roman"/>
          <w:i/>
          <w:sz w:val="24"/>
        </w:rPr>
      </w:pPr>
      <w:r>
        <w:rPr>
          <w:rFonts w:ascii="Times New Roman" w:hAnsi="Times New Roman"/>
          <w:sz w:val="28"/>
        </w:rPr>
        <w:t>Date:</w:t>
      </w:r>
      <w:r>
        <w:rPr>
          <w:rFonts w:ascii="Times New Roman" w:hAnsi="Times New Roman"/>
        </w:rPr>
        <w:t xml:space="preserve"> </w:t>
      </w:r>
      <w:bookmarkEnd w:id="1409"/>
      <w:bookmarkEnd w:id="1410"/>
      <w:bookmarkEnd w:id="1411"/>
      <w:bookmarkEnd w:id="1412"/>
      <w:bookmarkEnd w:id="1413"/>
      <w:bookmarkEnd w:id="1414"/>
    </w:p>
    <w:p w14:paraId="16DC9F00" w14:textId="77777777" w:rsidR="00832F98" w:rsidRPr="005107DF" w:rsidRDefault="00832F98" w:rsidP="00A92DE1">
      <w:pPr>
        <w:tabs>
          <w:tab w:val="left" w:pos="3402"/>
          <w:tab w:val="left" w:pos="4395"/>
        </w:tabs>
        <w:spacing w:after="0" w:line="240" w:lineRule="auto"/>
        <w:jc w:val="center"/>
        <w:rPr>
          <w:rFonts w:ascii="Times New Roman" w:eastAsia="Times New Roman" w:hAnsi="Times New Roman" w:cs="Times New Roman"/>
          <w:color w:val="000000"/>
          <w:sz w:val="16"/>
          <w:szCs w:val="24"/>
        </w:rPr>
      </w:pPr>
    </w:p>
    <w:p w14:paraId="28CC859D" w14:textId="77777777" w:rsidR="00832F98" w:rsidRPr="005107DF" w:rsidRDefault="00832F98" w:rsidP="00F01DAD">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b/>
          <w:color w:val="000000"/>
          <w:sz w:val="28"/>
          <w:szCs w:val="28"/>
        </w:rPr>
      </w:pPr>
      <w:r>
        <w:rPr>
          <w:rFonts w:ascii="Times New Roman" w:hAnsi="Times New Roman"/>
          <w:b/>
          <w:color w:val="000000"/>
          <w:sz w:val="28"/>
        </w:rPr>
        <w:t xml:space="preserve">Numéro du contrat de subvention de jumelage: </w:t>
      </w:r>
      <w:r>
        <w:tab/>
      </w:r>
    </w:p>
    <w:p w14:paraId="492E9DDE" w14:textId="77777777" w:rsidR="00832F98" w:rsidRPr="005107DF" w:rsidRDefault="00832F98"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rPr>
      </w:pPr>
    </w:p>
    <w:p w14:paraId="1C6B3294" w14:textId="77777777" w:rsidR="00832F98" w:rsidRPr="005107DF" w:rsidRDefault="00832F98"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rPr>
      </w:pPr>
    </w:p>
    <w:p w14:paraId="578024F1"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6A160ED6" w14:textId="77777777" w:rsidR="00832F98" w:rsidRPr="005107DF" w:rsidRDefault="00832F98" w:rsidP="00A92DE1">
      <w:pPr>
        <w:pBdr>
          <w:bottom w:val="single" w:sz="6" w:space="1" w:color="auto"/>
        </w:pBdr>
        <w:spacing w:after="0" w:line="240" w:lineRule="auto"/>
        <w:ind w:left="851" w:hanging="851"/>
        <w:rPr>
          <w:rFonts w:ascii="Times New Roman" w:eastAsia="Times New Roman" w:hAnsi="Times New Roman" w:cs="Times New Roman"/>
          <w:b/>
          <w:color w:val="000000"/>
          <w:sz w:val="24"/>
          <w:szCs w:val="24"/>
        </w:rPr>
      </w:pPr>
      <w:r w:rsidRPr="00452C1A">
        <w:rPr>
          <w:rFonts w:ascii="Times New Roman" w:hAnsi="Times New Roman"/>
          <w:b/>
          <w:color w:val="000000"/>
          <w:sz w:val="24"/>
        </w:rPr>
        <w:t>1</w:t>
      </w:r>
      <w:r>
        <w:rPr>
          <w:rFonts w:ascii="Times New Roman" w:hAnsi="Times New Roman"/>
          <w:b/>
          <w:color w:val="000000"/>
          <w:sz w:val="24"/>
        </w:rPr>
        <w:t>.</w:t>
      </w:r>
      <w:r>
        <w:tab/>
      </w:r>
      <w:r>
        <w:rPr>
          <w:rFonts w:ascii="Times New Roman" w:hAnsi="Times New Roman"/>
          <w:b/>
          <w:color w:val="000000"/>
          <w:sz w:val="24"/>
        </w:rPr>
        <w:t>Synthèse</w:t>
      </w:r>
    </w:p>
    <w:p w14:paraId="6B44070C"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2BCF595D"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Le </w:t>
      </w:r>
      <w:r>
        <w:rPr>
          <w:rFonts w:ascii="Times New Roman" w:hAnsi="Times New Roman"/>
          <w:b/>
          <w:color w:val="000000"/>
          <w:sz w:val="24"/>
        </w:rPr>
        <w:t>rapport intermédiaire trimestriel/rapport final</w:t>
      </w:r>
      <w:r>
        <w:rPr>
          <w:rFonts w:ascii="Times New Roman" w:hAnsi="Times New Roman"/>
          <w:color w:val="000000"/>
          <w:sz w:val="24"/>
        </w:rPr>
        <w:t xml:space="preserve"> relatif au projet se compose des parties suivantes:</w:t>
      </w:r>
    </w:p>
    <w:p w14:paraId="4CA3FDF4"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4A526A2F" w14:textId="77777777" w:rsidR="00832F98" w:rsidRPr="005107DF" w:rsidRDefault="00832F98" w:rsidP="00A92DE1">
      <w:pPr>
        <w:spacing w:after="0" w:line="240" w:lineRule="auto"/>
        <w:ind w:left="1134" w:hanging="1134"/>
        <w:rPr>
          <w:rFonts w:ascii="Times New Roman" w:eastAsia="Times New Roman" w:hAnsi="Times New Roman" w:cs="Times New Roman"/>
          <w:color w:val="000000"/>
          <w:sz w:val="24"/>
          <w:szCs w:val="24"/>
        </w:rPr>
      </w:pPr>
      <w:r>
        <w:rPr>
          <w:rFonts w:ascii="Times New Roman" w:hAnsi="Times New Roman"/>
          <w:b/>
          <w:color w:val="000000"/>
          <w:sz w:val="24"/>
        </w:rPr>
        <w:t>Section </w:t>
      </w:r>
      <w:r w:rsidRPr="00452C1A">
        <w:rPr>
          <w:rFonts w:ascii="Times New Roman" w:hAnsi="Times New Roman"/>
          <w:b/>
          <w:color w:val="000000"/>
          <w:sz w:val="24"/>
        </w:rPr>
        <w:t>0</w:t>
      </w:r>
      <w:r>
        <w:tab/>
      </w:r>
      <w:r>
        <w:rPr>
          <w:rFonts w:ascii="Times New Roman" w:hAnsi="Times New Roman"/>
          <w:color w:val="000000"/>
          <w:sz w:val="24"/>
        </w:rPr>
        <w:t xml:space="preserve">Récapitulatif des décisions qui doivent être prises par le comité de pilotage du projet </w:t>
      </w:r>
    </w:p>
    <w:p w14:paraId="56C0602B" w14:textId="77777777" w:rsidR="00832F98" w:rsidRPr="005107DF" w:rsidRDefault="00832F98" w:rsidP="00A92DE1">
      <w:pPr>
        <w:spacing w:after="0" w:line="240" w:lineRule="auto"/>
        <w:ind w:left="1138" w:hanging="1138"/>
        <w:rPr>
          <w:rFonts w:ascii="Times New Roman" w:eastAsia="Times New Roman" w:hAnsi="Times New Roman" w:cs="Times New Roman"/>
          <w:color w:val="000000"/>
          <w:sz w:val="24"/>
          <w:szCs w:val="24"/>
        </w:rPr>
      </w:pPr>
      <w:r>
        <w:rPr>
          <w:rFonts w:ascii="Times New Roman" w:hAnsi="Times New Roman"/>
          <w:b/>
          <w:color w:val="000000"/>
          <w:sz w:val="24"/>
        </w:rPr>
        <w:t>Section </w:t>
      </w:r>
      <w:r w:rsidRPr="00452C1A">
        <w:rPr>
          <w:rFonts w:ascii="Times New Roman" w:hAnsi="Times New Roman"/>
          <w:b/>
          <w:color w:val="000000"/>
          <w:sz w:val="24"/>
        </w:rPr>
        <w:t>1</w:t>
      </w:r>
      <w:r>
        <w:tab/>
      </w:r>
      <w:r>
        <w:rPr>
          <w:rFonts w:ascii="Times New Roman" w:hAnsi="Times New Roman"/>
          <w:color w:val="000000"/>
          <w:sz w:val="24"/>
        </w:rPr>
        <w:t xml:space="preserve">Informations de base sur le projet </w:t>
      </w:r>
    </w:p>
    <w:p w14:paraId="2D363C52" w14:textId="77777777" w:rsidR="00832F98" w:rsidRPr="005107DF" w:rsidRDefault="00832F98" w:rsidP="00A92DE1">
      <w:pPr>
        <w:spacing w:after="0" w:line="240" w:lineRule="auto"/>
        <w:ind w:left="1138" w:hanging="1138"/>
        <w:rPr>
          <w:rFonts w:ascii="Times New Roman" w:eastAsia="Times New Roman" w:hAnsi="Times New Roman" w:cs="Times New Roman"/>
          <w:color w:val="000000"/>
          <w:sz w:val="24"/>
          <w:szCs w:val="24"/>
        </w:rPr>
      </w:pPr>
      <w:r>
        <w:rPr>
          <w:rFonts w:ascii="Times New Roman" w:hAnsi="Times New Roman"/>
          <w:b/>
          <w:color w:val="000000"/>
          <w:sz w:val="24"/>
        </w:rPr>
        <w:t>Section </w:t>
      </w:r>
      <w:r w:rsidRPr="00452C1A">
        <w:rPr>
          <w:rFonts w:ascii="Times New Roman" w:hAnsi="Times New Roman"/>
          <w:b/>
          <w:color w:val="000000"/>
          <w:sz w:val="24"/>
        </w:rPr>
        <w:t>2</w:t>
      </w:r>
      <w:r>
        <w:tab/>
      </w:r>
      <w:r>
        <w:rPr>
          <w:rFonts w:ascii="Times New Roman" w:hAnsi="Times New Roman"/>
          <w:color w:val="000000"/>
          <w:sz w:val="24"/>
        </w:rPr>
        <w:t>Contenu: progrès accomplis dans la mise en œuvre du projet de jumelage au cours de la période de référence et calendrier pour la période restant à couvrir</w:t>
      </w:r>
    </w:p>
    <w:p w14:paraId="14B4E272" w14:textId="77777777" w:rsidR="00832F98" w:rsidRPr="005107DF" w:rsidRDefault="00832F98" w:rsidP="00A92DE1">
      <w:pPr>
        <w:spacing w:after="0" w:line="240" w:lineRule="auto"/>
        <w:ind w:left="1138" w:hanging="1138"/>
        <w:rPr>
          <w:rFonts w:ascii="Times New Roman" w:eastAsia="Times New Roman" w:hAnsi="Times New Roman" w:cs="Times New Roman"/>
          <w:color w:val="000000"/>
          <w:sz w:val="24"/>
          <w:szCs w:val="24"/>
        </w:rPr>
      </w:pPr>
      <w:r>
        <w:rPr>
          <w:rFonts w:ascii="Times New Roman" w:hAnsi="Times New Roman"/>
          <w:b/>
          <w:color w:val="000000"/>
          <w:sz w:val="24"/>
        </w:rPr>
        <w:t>Section </w:t>
      </w:r>
      <w:r w:rsidRPr="00452C1A">
        <w:rPr>
          <w:rFonts w:ascii="Times New Roman" w:hAnsi="Times New Roman"/>
          <w:b/>
          <w:color w:val="000000"/>
          <w:sz w:val="24"/>
        </w:rPr>
        <w:t>3</w:t>
      </w:r>
      <w:r>
        <w:tab/>
      </w:r>
      <w:r>
        <w:rPr>
          <w:rFonts w:ascii="Times New Roman" w:hAnsi="Times New Roman"/>
          <w:color w:val="000000"/>
          <w:sz w:val="24"/>
        </w:rPr>
        <w:t>Dépenses: dépenses réelles par rapport aux dépenses budgétisées</w:t>
      </w:r>
    </w:p>
    <w:p w14:paraId="7A5FDBEB" w14:textId="77777777" w:rsidR="00832F98" w:rsidRPr="005107DF" w:rsidRDefault="00832F98" w:rsidP="00A92DE1">
      <w:pPr>
        <w:pBdr>
          <w:bottom w:val="single" w:sz="6" w:space="1" w:color="auto"/>
        </w:pBdr>
        <w:tabs>
          <w:tab w:val="left" w:pos="851"/>
        </w:tabs>
        <w:spacing w:after="0" w:line="240" w:lineRule="auto"/>
        <w:rPr>
          <w:rFonts w:ascii="Times New Roman" w:eastAsia="Times New Roman" w:hAnsi="Times New Roman" w:cs="Times New Roman"/>
          <w:b/>
          <w:color w:val="000000"/>
          <w:szCs w:val="24"/>
        </w:rPr>
      </w:pPr>
    </w:p>
    <w:p w14:paraId="4A84C287" w14:textId="77777777" w:rsidR="00832F98" w:rsidRPr="005107DF" w:rsidRDefault="00832F98" w:rsidP="00A92DE1">
      <w:pPr>
        <w:pBdr>
          <w:bottom w:val="single" w:sz="6" w:space="1" w:color="auto"/>
        </w:pBdr>
        <w:tabs>
          <w:tab w:val="left" w:pos="851"/>
        </w:tabs>
        <w:spacing w:after="0" w:line="240" w:lineRule="auto"/>
        <w:rPr>
          <w:rFonts w:ascii="Times New Roman" w:eastAsia="Times New Roman" w:hAnsi="Times New Roman" w:cs="Times New Roman"/>
          <w:b/>
          <w:color w:val="000000"/>
          <w:sz w:val="24"/>
          <w:szCs w:val="24"/>
        </w:rPr>
      </w:pPr>
      <w:r w:rsidRPr="00452C1A">
        <w:rPr>
          <w:rFonts w:ascii="Times New Roman" w:hAnsi="Times New Roman"/>
          <w:b/>
          <w:color w:val="000000"/>
          <w:sz w:val="24"/>
        </w:rPr>
        <w:t>2</w:t>
      </w:r>
      <w:r>
        <w:rPr>
          <w:rFonts w:ascii="Times New Roman" w:hAnsi="Times New Roman"/>
          <w:b/>
          <w:color w:val="000000"/>
          <w:sz w:val="24"/>
        </w:rPr>
        <w:t>.</w:t>
      </w:r>
      <w:r>
        <w:tab/>
      </w:r>
      <w:r>
        <w:rPr>
          <w:rFonts w:ascii="Times New Roman" w:hAnsi="Times New Roman"/>
          <w:b/>
          <w:color w:val="000000"/>
          <w:sz w:val="24"/>
        </w:rPr>
        <w:t>Indications générales</w:t>
      </w:r>
    </w:p>
    <w:p w14:paraId="62278E22"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22848712" w14:textId="77777777" w:rsidR="00832F98" w:rsidRPr="005107DF" w:rsidRDefault="00832F98"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Pendant toute la durée du projet de jumelage, les chefs de projet pourront élaborer </w:t>
      </w:r>
      <w:r>
        <w:rPr>
          <w:rFonts w:ascii="Times New Roman" w:hAnsi="Times New Roman"/>
          <w:b/>
          <w:color w:val="000000"/>
          <w:sz w:val="24"/>
        </w:rPr>
        <w:t>tous les trois mois</w:t>
      </w:r>
      <w:r>
        <w:rPr>
          <w:rFonts w:ascii="Times New Roman" w:hAnsi="Times New Roman"/>
          <w:color w:val="000000"/>
          <w:sz w:val="24"/>
        </w:rPr>
        <w:t xml:space="preserve">, à compter de la date de début de la mise en œuvre, des rapports intermédiaires trimestriels/rapports finals.  </w:t>
      </w:r>
    </w:p>
    <w:p w14:paraId="513E7369" w14:textId="77777777" w:rsidR="00832F98" w:rsidRPr="005107DF" w:rsidRDefault="00832F98"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rapports intermédiaires trimestriels/rapports finals couvriront aussi bien les questions de fond que les aspects financiers du projet.  </w:t>
      </w:r>
    </w:p>
    <w:p w14:paraId="63DE73FC" w14:textId="77777777" w:rsidR="00832F98" w:rsidRPr="005107DF" w:rsidRDefault="00832F98"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 xml:space="preserve">La date limite de présentation des </w:t>
      </w:r>
      <w:r>
        <w:rPr>
          <w:rFonts w:ascii="Times New Roman" w:hAnsi="Times New Roman"/>
          <w:b/>
          <w:color w:val="000000"/>
          <w:sz w:val="24"/>
        </w:rPr>
        <w:t>rapports intermédiaires trimestriels/rapports finals</w:t>
      </w:r>
      <w:r>
        <w:rPr>
          <w:rFonts w:ascii="Times New Roman" w:hAnsi="Times New Roman"/>
          <w:color w:val="000000"/>
          <w:sz w:val="24"/>
        </w:rPr>
        <w:t xml:space="preserve"> ne peut être modifiée. En règle générale, le premier rapport intermédiaire trimestriel couvrira une période de mise en œuvre </w:t>
      </w:r>
      <w:r>
        <w:rPr>
          <w:rFonts w:ascii="Times New Roman" w:hAnsi="Times New Roman"/>
          <w:color w:val="000000"/>
          <w:sz w:val="24"/>
          <w:u w:val="single"/>
        </w:rPr>
        <w:t>effective</w:t>
      </w:r>
      <w:r>
        <w:rPr>
          <w:rFonts w:ascii="Times New Roman" w:hAnsi="Times New Roman"/>
          <w:color w:val="000000"/>
          <w:sz w:val="24"/>
        </w:rPr>
        <w:t xml:space="preserve"> du projet (activités du projet) de moins de trois mois, étant donné que le premier plan de travail évolutif ne sera élaboré qu’une fois que le CRJ sera arrivé dans le pays bénéficiaire.</w:t>
      </w:r>
    </w:p>
    <w:p w14:paraId="68147983" w14:textId="77777777" w:rsidR="00832F98" w:rsidRPr="005107DF" w:rsidRDefault="00832F98"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rPr>
      </w:pPr>
      <w:r>
        <w:rPr>
          <w:rFonts w:ascii="Times New Roman" w:hAnsi="Times New Roman"/>
          <w:color w:val="000000"/>
          <w:sz w:val="24"/>
        </w:rPr>
        <w:t>Dans le mois suivant chaque trimestre, le chef de projet de l’État membre, en coopération avec le chef de projet du bénéficiaire, soumettra le rapport intermédiaire trimestriel à l’autorité concernée (voir le point </w:t>
      </w:r>
      <w:r w:rsidRPr="00452C1A">
        <w:rPr>
          <w:rFonts w:ascii="Times New Roman" w:hAnsi="Times New Roman"/>
          <w:color w:val="000000"/>
          <w:sz w:val="24"/>
        </w:rPr>
        <w:t>6</w:t>
      </w:r>
      <w:r>
        <w:rPr>
          <w:rFonts w:ascii="Times New Roman" w:hAnsi="Times New Roman"/>
          <w:color w:val="000000"/>
          <w:sz w:val="24"/>
        </w:rPr>
        <w:t>.</w:t>
      </w:r>
      <w:r w:rsidRPr="00452C1A">
        <w:rPr>
          <w:rFonts w:ascii="Times New Roman" w:hAnsi="Times New Roman"/>
          <w:color w:val="000000"/>
          <w:sz w:val="24"/>
        </w:rPr>
        <w:t>4</w:t>
      </w:r>
      <w:r>
        <w:rPr>
          <w:rFonts w:ascii="Times New Roman" w:hAnsi="Times New Roman"/>
          <w:color w:val="000000"/>
          <w:sz w:val="24"/>
        </w:rPr>
        <w:t xml:space="preserve"> du manuel de jumelage).   </w:t>
      </w:r>
    </w:p>
    <w:p w14:paraId="7486972A" w14:textId="77777777" w:rsidR="00832F98" w:rsidRPr="005107DF" w:rsidRDefault="00832F98" w:rsidP="00A92DE1">
      <w:pPr>
        <w:numPr>
          <w:ilvl w:val="0"/>
          <w:numId w:val="124"/>
        </w:numPr>
        <w:tabs>
          <w:tab w:val="left" w:pos="284"/>
        </w:tabs>
        <w:spacing w:after="0" w:line="240" w:lineRule="auto"/>
        <w:ind w:left="284" w:hanging="284"/>
        <w:jc w:val="both"/>
        <w:rPr>
          <w:rFonts w:ascii="Times New Roman" w:eastAsia="Times New Roman" w:hAnsi="Times New Roman" w:cs="Times New Roman"/>
          <w:b/>
          <w:color w:val="000000"/>
          <w:sz w:val="24"/>
          <w:szCs w:val="24"/>
        </w:rPr>
      </w:pPr>
      <w:r>
        <w:rPr>
          <w:rFonts w:ascii="Times New Roman" w:hAnsi="Times New Roman"/>
          <w:b/>
          <w:color w:val="000000"/>
          <w:sz w:val="24"/>
        </w:rPr>
        <w:t>Un exemplaire du rapport</w:t>
      </w:r>
      <w:r>
        <w:rPr>
          <w:rFonts w:ascii="Times New Roman" w:hAnsi="Times New Roman"/>
          <w:color w:val="000000"/>
          <w:sz w:val="24"/>
        </w:rPr>
        <w:t xml:space="preserve"> sera adressé dans le même temps à l’équipe de jumelage concernée au siège de la Commission.</w:t>
      </w:r>
    </w:p>
    <w:p w14:paraId="6A621AC5" w14:textId="77777777" w:rsidR="00832F98" w:rsidRPr="005107DF" w:rsidRDefault="00832F98" w:rsidP="00A92DE1">
      <w:pPr>
        <w:numPr>
          <w:ilvl w:val="0"/>
          <w:numId w:val="126"/>
        </w:numPr>
        <w:tabs>
          <w:tab w:val="left" w:pos="284"/>
        </w:tabs>
        <w:spacing w:after="0" w:line="240" w:lineRule="auto"/>
        <w:rPr>
          <w:rFonts w:ascii="Times New Roman" w:eastAsia="Times New Roman" w:hAnsi="Times New Roman" w:cs="Times New Roman"/>
          <w:b/>
          <w:color w:val="000000"/>
          <w:sz w:val="24"/>
          <w:szCs w:val="24"/>
        </w:rPr>
      </w:pPr>
      <w:r>
        <w:rPr>
          <w:rFonts w:ascii="Times New Roman" w:hAnsi="Times New Roman"/>
          <w:color w:val="000000"/>
          <w:sz w:val="24"/>
        </w:rPr>
        <w:t>Le rapport doit être soumis dans la langue du contrat.</w:t>
      </w:r>
    </w:p>
    <w:p w14:paraId="50A9E2CA" w14:textId="77777777" w:rsidR="00832F98" w:rsidRPr="005107DF" w:rsidRDefault="00832F98" w:rsidP="00A92DE1">
      <w:pPr>
        <w:tabs>
          <w:tab w:val="left" w:pos="284"/>
        </w:tabs>
        <w:spacing w:after="0" w:line="240" w:lineRule="auto"/>
        <w:rPr>
          <w:rFonts w:ascii="Times New Roman" w:eastAsia="Times New Roman" w:hAnsi="Times New Roman" w:cs="Times New Roman"/>
          <w:color w:val="000000"/>
          <w:sz w:val="18"/>
          <w:szCs w:val="24"/>
        </w:rPr>
      </w:pPr>
      <w:r>
        <w:rPr>
          <w:rFonts w:ascii="Times New Roman" w:hAnsi="Times New Roman"/>
          <w:color w:val="000000"/>
          <w:sz w:val="18"/>
        </w:rPr>
        <w:t xml:space="preserve"> </w:t>
      </w:r>
    </w:p>
    <w:p w14:paraId="206E3674" w14:textId="77777777" w:rsidR="00832F98" w:rsidRPr="005107DF" w:rsidRDefault="00832F98" w:rsidP="00A92DE1">
      <w:pPr>
        <w:spacing w:after="0" w:line="240" w:lineRule="auto"/>
        <w:rPr>
          <w:rFonts w:ascii="Times New Roman" w:eastAsia="Times New Roman" w:hAnsi="Times New Roman" w:cs="Times New Roman"/>
          <w:color w:val="000000"/>
          <w:sz w:val="18"/>
          <w:szCs w:val="24"/>
        </w:rPr>
      </w:pPr>
    </w:p>
    <w:p w14:paraId="3F2BB62A" w14:textId="77777777" w:rsidR="00832F98" w:rsidRPr="005107DF" w:rsidRDefault="00832F98" w:rsidP="00A92DE1">
      <w:pPr>
        <w:pBdr>
          <w:bottom w:val="single" w:sz="6" w:space="1" w:color="auto"/>
        </w:pBdr>
        <w:tabs>
          <w:tab w:val="left" w:pos="851"/>
        </w:tabs>
        <w:spacing w:after="0" w:line="240" w:lineRule="auto"/>
        <w:rPr>
          <w:rFonts w:ascii="Times New Roman" w:eastAsia="Times New Roman" w:hAnsi="Times New Roman" w:cs="Times New Roman"/>
          <w:b/>
          <w:color w:val="000000"/>
          <w:sz w:val="24"/>
          <w:szCs w:val="24"/>
        </w:rPr>
      </w:pPr>
      <w:r w:rsidRPr="00452C1A">
        <w:rPr>
          <w:rFonts w:ascii="Times New Roman" w:hAnsi="Times New Roman"/>
          <w:b/>
          <w:color w:val="000000"/>
          <w:sz w:val="24"/>
        </w:rPr>
        <w:t>3</w:t>
      </w:r>
      <w:r>
        <w:rPr>
          <w:rFonts w:ascii="Times New Roman" w:hAnsi="Times New Roman"/>
          <w:b/>
          <w:color w:val="000000"/>
          <w:sz w:val="24"/>
        </w:rPr>
        <w:t>.</w:t>
      </w:r>
      <w:r>
        <w:tab/>
      </w:r>
      <w:r>
        <w:rPr>
          <w:rFonts w:ascii="Times New Roman" w:hAnsi="Times New Roman"/>
          <w:b/>
          <w:color w:val="000000"/>
          <w:sz w:val="24"/>
        </w:rPr>
        <w:t>Note</w:t>
      </w:r>
    </w:p>
    <w:p w14:paraId="0AF841AD"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70FC4A35" w14:textId="77777777" w:rsidR="00832F98" w:rsidRPr="005107DF" w:rsidRDefault="00832F98" w:rsidP="00D03D03">
      <w:pPr>
        <w:numPr>
          <w:ilvl w:val="0"/>
          <w:numId w:val="126"/>
        </w:numPr>
        <w:spacing w:after="240" w:line="240" w:lineRule="auto"/>
        <w:jc w:val="both"/>
        <w:rPr>
          <w:rFonts w:ascii="Times New Roman" w:eastAsia="Times New Roman" w:hAnsi="Times New Roman" w:cs="Times New Roman"/>
          <w:sz w:val="24"/>
          <w:szCs w:val="24"/>
        </w:rPr>
      </w:pPr>
      <w:r>
        <w:rPr>
          <w:rFonts w:ascii="Times New Roman" w:hAnsi="Times New Roman"/>
          <w:sz w:val="24"/>
        </w:rPr>
        <w:t>L’approbation du rapport trimestriel par l’administration contractante ne préjuge pas de l’éligibilité des experts ni des autres postes de dépenses, qui ne seront contrôlés qu’au stade de la vérification des dépenses ou dans le cadre d’audits ultérieurs.</w:t>
      </w:r>
    </w:p>
    <w:p w14:paraId="19B7D495" w14:textId="77777777" w:rsidR="00832F98" w:rsidRPr="005107DF" w:rsidRDefault="00832F98" w:rsidP="00D03D03">
      <w:pPr>
        <w:numPr>
          <w:ilvl w:val="0"/>
          <w:numId w:val="126"/>
        </w:numPr>
        <w:tabs>
          <w:tab w:val="left" w:pos="284"/>
        </w:tabs>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L’approbation du </w:t>
      </w:r>
      <w:r>
        <w:rPr>
          <w:rFonts w:ascii="Times New Roman" w:hAnsi="Times New Roman"/>
          <w:b/>
          <w:color w:val="000000"/>
          <w:sz w:val="24"/>
        </w:rPr>
        <w:t>rapport trimestriel</w:t>
      </w:r>
      <w:r>
        <w:rPr>
          <w:rFonts w:ascii="Times New Roman" w:hAnsi="Times New Roman"/>
          <w:color w:val="000000"/>
          <w:sz w:val="24"/>
        </w:rPr>
        <w:t xml:space="preserve"> par l’administration contractante ne porte nullement préjudice au droit de la Commission de suspendre les activités d’un projet, de résilier un contrat ou de prendre toute autre mesure appropriée si des vérifications ultérieures devaient révéler l’existence de problèmes ou de divergences majeures par rapport au plan de travail, au budget ou aux conditions du contrat de subvention de jumelage tels qu’ils ont été approuvés.</w:t>
      </w:r>
    </w:p>
    <w:p w14:paraId="3C631F63" w14:textId="77777777" w:rsidR="00832F98" w:rsidRPr="005107DF" w:rsidRDefault="00832F98" w:rsidP="00D03D03">
      <w:pPr>
        <w:tabs>
          <w:tab w:val="left" w:pos="284"/>
        </w:tabs>
        <w:spacing w:after="0" w:line="240" w:lineRule="auto"/>
        <w:rPr>
          <w:rFonts w:ascii="Times New Roman" w:eastAsia="Times New Roman" w:hAnsi="Times New Roman" w:cs="Times New Roman"/>
          <w:color w:val="000000"/>
          <w:sz w:val="24"/>
          <w:szCs w:val="24"/>
        </w:rPr>
      </w:pPr>
    </w:p>
    <w:p w14:paraId="41B7E8D7" w14:textId="77777777" w:rsidR="00832F98" w:rsidRPr="005107DF" w:rsidRDefault="00832F98" w:rsidP="00A92DE1">
      <w:pPr>
        <w:numPr>
          <w:ilvl w:val="0"/>
          <w:numId w:val="125"/>
        </w:numPr>
        <w:spacing w:after="0" w:line="240" w:lineRule="auto"/>
        <w:ind w:left="274" w:hanging="274"/>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opinions exprimées dans ce rapport ne reflètent pas nécessairement les points de vue de la Commission européenne. </w:t>
      </w:r>
    </w:p>
    <w:p w14:paraId="476C4BB5" w14:textId="77777777" w:rsidR="00832F98" w:rsidRPr="005107DF" w:rsidRDefault="00832F98" w:rsidP="00A92DE1">
      <w:pPr>
        <w:rPr>
          <w:rFonts w:ascii="Times New Roman" w:eastAsia="Times New Roman" w:hAnsi="Times New Roman" w:cs="Times New Roman"/>
          <w:color w:val="000000"/>
          <w:sz w:val="24"/>
          <w:szCs w:val="24"/>
        </w:rPr>
      </w:pPr>
      <w:r>
        <w:br w:type="page"/>
      </w:r>
    </w:p>
    <w:p w14:paraId="20A14329" w14:textId="77777777" w:rsidR="00832F98" w:rsidRPr="005107DF" w:rsidRDefault="00832F98" w:rsidP="00A92DE1">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jc w:val="center"/>
        <w:rPr>
          <w:rFonts w:ascii="Times New Roman" w:eastAsia="Times New Roman" w:hAnsi="Times New Roman" w:cs="Times New Roman"/>
          <w:b/>
          <w:color w:val="000000"/>
          <w:sz w:val="28"/>
          <w:szCs w:val="28"/>
        </w:rPr>
      </w:pPr>
      <w:r>
        <w:rPr>
          <w:rFonts w:ascii="Times New Roman" w:hAnsi="Times New Roman"/>
          <w:b/>
          <w:color w:val="000000"/>
          <w:sz w:val="28"/>
        </w:rPr>
        <w:lastRenderedPageBreak/>
        <w:t xml:space="preserve">Numéro du contrat de subvention de jumelage: </w:t>
      </w:r>
      <w:r>
        <w:tab/>
      </w:r>
      <w:r>
        <w:rPr>
          <w:rFonts w:ascii="Times New Roman" w:hAnsi="Times New Roman"/>
          <w:b/>
          <w:i/>
          <w:color w:val="000000"/>
          <w:sz w:val="28"/>
        </w:rPr>
        <w:t>pays - année - RI - secteur - numéro</w:t>
      </w:r>
    </w:p>
    <w:p w14:paraId="659A3EA7" w14:textId="77777777" w:rsidR="00832F98" w:rsidRPr="005107DF" w:rsidRDefault="00832F98"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rPr>
      </w:pPr>
    </w:p>
    <w:p w14:paraId="696286CD" w14:textId="77777777" w:rsidR="00832F98" w:rsidRPr="005107DF" w:rsidRDefault="00832F98"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rPr>
      </w:pPr>
    </w:p>
    <w:p w14:paraId="03DA432A" w14:textId="77777777" w:rsidR="00832F98" w:rsidRPr="005107DF" w:rsidRDefault="00832F98"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rPr>
      </w:pPr>
    </w:p>
    <w:p w14:paraId="674F49D1" w14:textId="08A4588F" w:rsidR="00832F98" w:rsidRPr="005107DF" w:rsidRDefault="00832F98" w:rsidP="004946B7">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0000"/>
          <w:sz w:val="28"/>
          <w:szCs w:val="28"/>
        </w:rPr>
      </w:pPr>
      <w:r>
        <w:rPr>
          <w:rFonts w:ascii="Times New Roman" w:hAnsi="Times New Roman"/>
          <w:b/>
          <w:color w:val="000000"/>
          <w:sz w:val="28"/>
        </w:rPr>
        <w:t>Section </w:t>
      </w:r>
      <w:r w:rsidRPr="00452C1A">
        <w:rPr>
          <w:rFonts w:ascii="Times New Roman" w:hAnsi="Times New Roman"/>
          <w:b/>
          <w:color w:val="000000"/>
          <w:sz w:val="28"/>
        </w:rPr>
        <w:t>0</w:t>
      </w:r>
      <w:r>
        <w:rPr>
          <w:rFonts w:ascii="Times New Roman" w:hAnsi="Times New Roman"/>
          <w:b/>
          <w:color w:val="000000"/>
          <w:sz w:val="28"/>
        </w:rPr>
        <w:t>:</w:t>
      </w:r>
    </w:p>
    <w:p w14:paraId="67CFD388" w14:textId="77777777" w:rsidR="00832F98" w:rsidRPr="005107DF" w:rsidRDefault="00832F98" w:rsidP="004946B7">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0000"/>
          <w:sz w:val="28"/>
          <w:szCs w:val="28"/>
        </w:rPr>
      </w:pPr>
      <w:r>
        <w:rPr>
          <w:rFonts w:ascii="Times New Roman" w:hAnsi="Times New Roman"/>
          <w:b/>
          <w:color w:val="000000"/>
          <w:sz w:val="28"/>
        </w:rPr>
        <w:t>Synthèse</w:t>
      </w:r>
    </w:p>
    <w:p w14:paraId="2AF2E4DF" w14:textId="77777777" w:rsidR="00832F98" w:rsidRPr="005107DF" w:rsidRDefault="00832F98"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rPr>
      </w:pPr>
    </w:p>
    <w:p w14:paraId="4342F808" w14:textId="77777777" w:rsidR="00832F98" w:rsidRPr="005107DF" w:rsidRDefault="00832F98" w:rsidP="00A92DE1">
      <w:pPr>
        <w:spacing w:after="0" w:line="240" w:lineRule="auto"/>
        <w:rPr>
          <w:rFonts w:ascii="Times New Roman" w:eastAsia="Times New Roman" w:hAnsi="Times New Roman" w:cs="Times New Roman"/>
          <w:color w:val="000000"/>
          <w:sz w:val="28"/>
          <w:szCs w:val="28"/>
        </w:rPr>
      </w:pPr>
    </w:p>
    <w:p w14:paraId="7B322D82" w14:textId="77777777" w:rsidR="00832F98" w:rsidRPr="005107DF" w:rsidRDefault="00832F98" w:rsidP="00A92DE1">
      <w:pPr>
        <w:spacing w:after="0" w:line="240" w:lineRule="auto"/>
        <w:rPr>
          <w:rFonts w:ascii="Times New Roman" w:eastAsia="Times New Roman" w:hAnsi="Times New Roman" w:cs="Times New Roman"/>
          <w:color w:val="000000"/>
          <w:sz w:val="28"/>
          <w:szCs w:val="28"/>
        </w:rPr>
      </w:pPr>
      <w:r w:rsidRPr="00452C1A">
        <w:rPr>
          <w:rFonts w:ascii="Times New Roman" w:hAnsi="Times New Roman"/>
          <w:color w:val="000000"/>
          <w:sz w:val="28"/>
        </w:rPr>
        <w:t>1</w:t>
      </w:r>
      <w:r>
        <w:rPr>
          <w:rFonts w:ascii="Times New Roman" w:hAnsi="Times New Roman"/>
          <w:color w:val="000000"/>
          <w:sz w:val="28"/>
        </w:rPr>
        <w:t xml:space="preserve">. Fournir un résumé de </w:t>
      </w:r>
      <w:r w:rsidRPr="00452C1A">
        <w:rPr>
          <w:rFonts w:ascii="Times New Roman" w:hAnsi="Times New Roman"/>
          <w:color w:val="000000"/>
          <w:sz w:val="28"/>
        </w:rPr>
        <w:t>2</w:t>
      </w:r>
      <w:r>
        <w:rPr>
          <w:rFonts w:ascii="Times New Roman" w:hAnsi="Times New Roman"/>
          <w:color w:val="000000"/>
          <w:sz w:val="28"/>
        </w:rPr>
        <w:t> pages maximum</w:t>
      </w:r>
    </w:p>
    <w:p w14:paraId="4F08D5ED" w14:textId="77777777" w:rsidR="00832F98" w:rsidRPr="005107DF" w:rsidRDefault="00832F98" w:rsidP="00A92DE1">
      <w:pPr>
        <w:spacing w:after="0" w:line="240" w:lineRule="auto"/>
        <w:rPr>
          <w:rFonts w:ascii="Times New Roman" w:eastAsia="Times New Roman" w:hAnsi="Times New Roman" w:cs="Times New Roman"/>
          <w:color w:val="000000"/>
          <w:sz w:val="28"/>
          <w:szCs w:val="28"/>
        </w:rPr>
      </w:pPr>
    </w:p>
    <w:p w14:paraId="2103CF20" w14:textId="77777777" w:rsidR="00832F98" w:rsidRPr="005107DF" w:rsidRDefault="00832F98" w:rsidP="00A92DE1">
      <w:pPr>
        <w:spacing w:after="0" w:line="240" w:lineRule="auto"/>
        <w:rPr>
          <w:rFonts w:ascii="Times New Roman" w:eastAsia="Times New Roman" w:hAnsi="Times New Roman" w:cs="Times New Roman"/>
          <w:color w:val="000000"/>
          <w:sz w:val="28"/>
          <w:szCs w:val="28"/>
        </w:rPr>
      </w:pPr>
      <w:r w:rsidRPr="00452C1A">
        <w:rPr>
          <w:rFonts w:ascii="Times New Roman" w:hAnsi="Times New Roman"/>
          <w:color w:val="000000"/>
          <w:sz w:val="28"/>
        </w:rPr>
        <w:t>2</w:t>
      </w:r>
      <w:r>
        <w:rPr>
          <w:rFonts w:ascii="Times New Roman" w:hAnsi="Times New Roman"/>
          <w:color w:val="000000"/>
          <w:sz w:val="28"/>
        </w:rPr>
        <w:t>. Énumérer les décisions qui doivent être prises par le comité de pilotage</w:t>
      </w:r>
    </w:p>
    <w:p w14:paraId="2A2DB2ED" w14:textId="77777777" w:rsidR="00832F98" w:rsidRPr="005107DF" w:rsidRDefault="00832F98" w:rsidP="00A92DE1">
      <w:pPr>
        <w:spacing w:after="0" w:line="240" w:lineRule="auto"/>
        <w:rPr>
          <w:rFonts w:ascii="Times New Roman" w:eastAsia="Times New Roman" w:hAnsi="Times New Roman" w:cs="Times New Roman"/>
          <w:color w:val="000000"/>
          <w:sz w:val="28"/>
          <w:szCs w:val="28"/>
        </w:rPr>
      </w:pPr>
      <w:r>
        <w:rPr>
          <w:rFonts w:ascii="Times New Roman" w:hAnsi="Times New Roman"/>
          <w:color w:val="000000"/>
          <w:sz w:val="28"/>
        </w:rPr>
        <w:t xml:space="preserve"> </w:t>
      </w:r>
    </w:p>
    <w:p w14:paraId="3635FFB2" w14:textId="77777777" w:rsidR="00832F98" w:rsidRPr="005107DF" w:rsidRDefault="00832F98" w:rsidP="00A92DE1">
      <w:pPr>
        <w:numPr>
          <w:ilvl w:val="0"/>
          <w:numId w:val="246"/>
        </w:numPr>
        <w:spacing w:after="0" w:line="240" w:lineRule="auto"/>
        <w:contextualSpacing/>
        <w:rPr>
          <w:rFonts w:ascii="Times New Roman" w:eastAsia="Times New Roman" w:hAnsi="Times New Roman" w:cs="Times New Roman"/>
          <w:color w:val="000000"/>
          <w:sz w:val="28"/>
          <w:szCs w:val="28"/>
        </w:rPr>
      </w:pPr>
      <w:r>
        <w:rPr>
          <w:rFonts w:ascii="Times New Roman" w:hAnsi="Times New Roman"/>
          <w:color w:val="000000"/>
          <w:sz w:val="28"/>
        </w:rPr>
        <w:t xml:space="preserve">Impact sur l’exécution des plans de travail/rééchelonnement, redéfinition des objectifs, etc. </w:t>
      </w:r>
    </w:p>
    <w:p w14:paraId="509F2216" w14:textId="77777777" w:rsidR="00832F98" w:rsidRPr="005107DF" w:rsidRDefault="00832F98" w:rsidP="00A92DE1">
      <w:pPr>
        <w:numPr>
          <w:ilvl w:val="0"/>
          <w:numId w:val="246"/>
        </w:numPr>
        <w:spacing w:after="0" w:line="240" w:lineRule="auto"/>
        <w:contextualSpacing/>
        <w:rPr>
          <w:rFonts w:ascii="Times New Roman" w:eastAsia="Times New Roman" w:hAnsi="Times New Roman" w:cs="Times New Roman"/>
          <w:color w:val="000000"/>
          <w:sz w:val="28"/>
          <w:szCs w:val="28"/>
        </w:rPr>
      </w:pPr>
      <w:r>
        <w:rPr>
          <w:rFonts w:ascii="Times New Roman" w:hAnsi="Times New Roman"/>
          <w:color w:val="000000"/>
          <w:sz w:val="28"/>
        </w:rPr>
        <w:t>Impact technique</w:t>
      </w:r>
    </w:p>
    <w:p w14:paraId="03EB7858" w14:textId="77777777" w:rsidR="00832F98" w:rsidRPr="005107DF" w:rsidRDefault="00832F98" w:rsidP="00A92DE1">
      <w:pPr>
        <w:numPr>
          <w:ilvl w:val="0"/>
          <w:numId w:val="246"/>
        </w:numPr>
        <w:spacing w:after="0" w:line="240" w:lineRule="auto"/>
        <w:contextualSpacing/>
        <w:rPr>
          <w:rFonts w:ascii="Times New Roman" w:eastAsia="Times New Roman" w:hAnsi="Times New Roman" w:cs="Times New Roman"/>
          <w:i/>
          <w:color w:val="000000"/>
          <w:sz w:val="28"/>
          <w:szCs w:val="28"/>
        </w:rPr>
      </w:pPr>
      <w:r>
        <w:rPr>
          <w:rFonts w:ascii="Times New Roman" w:hAnsi="Times New Roman"/>
          <w:color w:val="000000"/>
          <w:sz w:val="28"/>
        </w:rPr>
        <w:t>Impact financier et budgétaire</w:t>
      </w:r>
    </w:p>
    <w:p w14:paraId="7B746CFB" w14:textId="77777777" w:rsidR="00832F98" w:rsidRPr="005107DF" w:rsidRDefault="00832F98" w:rsidP="00A92DE1">
      <w:pPr>
        <w:spacing w:after="0" w:line="240" w:lineRule="auto"/>
        <w:rPr>
          <w:rFonts w:ascii="Times New Roman" w:eastAsia="Times New Roman" w:hAnsi="Times New Roman" w:cs="Times New Roman"/>
          <w:color w:val="000000"/>
          <w:sz w:val="28"/>
          <w:szCs w:val="28"/>
        </w:rPr>
      </w:pPr>
    </w:p>
    <w:p w14:paraId="3C85CF0C" w14:textId="77777777" w:rsidR="00832F98" w:rsidRPr="005107DF" w:rsidRDefault="00832F98" w:rsidP="00A92DE1">
      <w:pPr>
        <w:spacing w:after="0" w:line="240" w:lineRule="auto"/>
        <w:rPr>
          <w:rFonts w:ascii="Times New Roman" w:eastAsia="Times New Roman" w:hAnsi="Times New Roman" w:cs="Times New Roman"/>
          <w:color w:val="000000"/>
          <w:sz w:val="28"/>
          <w:szCs w:val="28"/>
        </w:rPr>
      </w:pPr>
    </w:p>
    <w:p w14:paraId="7464CE8E" w14:textId="77777777" w:rsidR="00832F98" w:rsidRPr="005107DF" w:rsidRDefault="00832F98"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rPr>
      </w:pPr>
    </w:p>
    <w:p w14:paraId="5A551D90" w14:textId="77777777" w:rsidR="00832F98" w:rsidRPr="005107DF" w:rsidRDefault="00832F98"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color w:val="000000"/>
          <w:sz w:val="28"/>
          <w:szCs w:val="24"/>
        </w:rPr>
      </w:pPr>
      <w:r>
        <w:rPr>
          <w:rFonts w:ascii="Times New Roman" w:hAnsi="Times New Roman"/>
          <w:b/>
          <w:color w:val="000000"/>
          <w:sz w:val="28"/>
        </w:rPr>
        <w:t>Section </w:t>
      </w:r>
      <w:r w:rsidRPr="00452C1A">
        <w:rPr>
          <w:rFonts w:ascii="Times New Roman" w:hAnsi="Times New Roman"/>
          <w:b/>
          <w:color w:val="000000"/>
          <w:sz w:val="28"/>
        </w:rPr>
        <w:t>1</w:t>
      </w:r>
      <w:r>
        <w:rPr>
          <w:rFonts w:ascii="Times New Roman" w:hAnsi="Times New Roman"/>
          <w:b/>
          <w:color w:val="000000"/>
          <w:sz w:val="28"/>
        </w:rPr>
        <w:t xml:space="preserve">: </w:t>
      </w:r>
    </w:p>
    <w:p w14:paraId="0E5C0072" w14:textId="77777777" w:rsidR="00832F98" w:rsidRPr="005107DF" w:rsidRDefault="00832F98"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color w:val="000000"/>
          <w:sz w:val="28"/>
          <w:szCs w:val="24"/>
        </w:rPr>
      </w:pPr>
      <w:r>
        <w:rPr>
          <w:rFonts w:ascii="Times New Roman" w:hAnsi="Times New Roman"/>
          <w:b/>
          <w:color w:val="000000"/>
          <w:sz w:val="28"/>
        </w:rPr>
        <w:t>Informations sur le projet</w:t>
      </w:r>
    </w:p>
    <w:p w14:paraId="7A89D4CD" w14:textId="77777777" w:rsidR="00832F98" w:rsidRPr="005107DF" w:rsidRDefault="00832F98" w:rsidP="00A92DE1">
      <w:pPr>
        <w:numPr>
          <w:ilvl w:val="12"/>
          <w:numId w:val="0"/>
        </w:numPr>
        <w:spacing w:after="0" w:line="240" w:lineRule="auto"/>
        <w:rPr>
          <w:rFonts w:ascii="Times New Roman" w:eastAsia="Times New Roman" w:hAnsi="Times New Roman" w:cs="Times New Roman"/>
          <w:b/>
          <w:color w:val="000000"/>
          <w:sz w:val="24"/>
          <w:szCs w:val="24"/>
        </w:rPr>
      </w:pPr>
    </w:p>
    <w:p w14:paraId="14B5AFF1" w14:textId="77777777" w:rsidR="00832F98" w:rsidRPr="005107DF" w:rsidRDefault="00832F98" w:rsidP="00A92DE1">
      <w:pPr>
        <w:numPr>
          <w:ilvl w:val="12"/>
          <w:numId w:val="0"/>
        </w:numPr>
        <w:spacing w:after="0" w:line="240" w:lineRule="auto"/>
        <w:rPr>
          <w:rFonts w:ascii="Times New Roman" w:eastAsia="Times New Roman" w:hAnsi="Times New Roman" w:cs="Times New Roman"/>
          <w:color w:val="000000"/>
          <w:sz w:val="24"/>
          <w:szCs w:val="24"/>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386"/>
      </w:tblGrid>
      <w:tr w:rsidR="00832F98" w:rsidRPr="005107DF" w14:paraId="15513A67" w14:textId="77777777" w:rsidTr="00A92DE1">
        <w:trPr>
          <w:trHeight w:val="600"/>
        </w:trPr>
        <w:tc>
          <w:tcPr>
            <w:tcW w:w="3898" w:type="dxa"/>
          </w:tcPr>
          <w:p w14:paraId="192B6095"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b/>
                <w:color w:val="000000"/>
                <w:sz w:val="28"/>
                <w:szCs w:val="28"/>
              </w:rPr>
            </w:pPr>
            <w:r>
              <w:rPr>
                <w:rFonts w:ascii="Times New Roman" w:hAnsi="Times New Roman"/>
                <w:b/>
                <w:color w:val="000000"/>
                <w:sz w:val="28"/>
              </w:rPr>
              <w:t>Numéro du contrat de subvention de jumelage:</w:t>
            </w:r>
          </w:p>
        </w:tc>
        <w:tc>
          <w:tcPr>
            <w:tcW w:w="5386" w:type="dxa"/>
          </w:tcPr>
          <w:p w14:paraId="3024F82A"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color w:val="000000"/>
                <w:sz w:val="28"/>
                <w:szCs w:val="28"/>
              </w:rPr>
            </w:pPr>
          </w:p>
        </w:tc>
      </w:tr>
      <w:tr w:rsidR="00832F98" w:rsidRPr="005107DF" w14:paraId="495EADCA" w14:textId="77777777" w:rsidTr="00A92DE1">
        <w:trPr>
          <w:trHeight w:val="600"/>
        </w:trPr>
        <w:tc>
          <w:tcPr>
            <w:tcW w:w="3898" w:type="dxa"/>
          </w:tcPr>
          <w:p w14:paraId="683A3E68"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b/>
                <w:color w:val="000000"/>
                <w:sz w:val="28"/>
                <w:szCs w:val="28"/>
              </w:rPr>
            </w:pPr>
            <w:r>
              <w:rPr>
                <w:rFonts w:ascii="Times New Roman" w:hAnsi="Times New Roman"/>
                <w:b/>
                <w:color w:val="000000"/>
                <w:sz w:val="28"/>
              </w:rPr>
              <w:t>Intitulé du projet:</w:t>
            </w:r>
          </w:p>
        </w:tc>
        <w:tc>
          <w:tcPr>
            <w:tcW w:w="5386" w:type="dxa"/>
          </w:tcPr>
          <w:p w14:paraId="1D791671"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color w:val="000000"/>
                <w:sz w:val="28"/>
                <w:szCs w:val="28"/>
              </w:rPr>
            </w:pPr>
          </w:p>
        </w:tc>
      </w:tr>
      <w:tr w:rsidR="00832F98" w:rsidRPr="005107DF" w14:paraId="3952D84C" w14:textId="77777777" w:rsidTr="00A92DE1">
        <w:trPr>
          <w:trHeight w:val="600"/>
        </w:trPr>
        <w:tc>
          <w:tcPr>
            <w:tcW w:w="3898" w:type="dxa"/>
          </w:tcPr>
          <w:p w14:paraId="503DF5D3"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b/>
                <w:color w:val="000000"/>
                <w:sz w:val="28"/>
                <w:szCs w:val="28"/>
              </w:rPr>
            </w:pPr>
            <w:r>
              <w:rPr>
                <w:rFonts w:ascii="Times New Roman" w:hAnsi="Times New Roman"/>
                <w:b/>
                <w:color w:val="000000"/>
                <w:sz w:val="28"/>
              </w:rPr>
              <w:t>Partenaires de jumelage [État(s) membre(s) et bénéficiaire]:</w:t>
            </w:r>
          </w:p>
        </w:tc>
        <w:tc>
          <w:tcPr>
            <w:tcW w:w="5386" w:type="dxa"/>
          </w:tcPr>
          <w:p w14:paraId="740C7884"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ffData>
                  <w:name w:val="Text242"/>
                  <w:enabled/>
                  <w:calcOnExit w:val="0"/>
                  <w:textInput/>
                </w:ffData>
              </w:fldChar>
            </w:r>
            <w:r>
              <w:rPr>
                <w:rFonts w:ascii="Times New Roman" w:eastAsia="Times New Roman" w:hAnsi="Times New Roman" w:cs="Times New Roman"/>
                <w:color w:val="000000"/>
                <w:sz w:val="28"/>
                <w:szCs w:val="28"/>
              </w:rPr>
              <w:instrText xml:space="preserve"> FORMTEXT </w:instrText>
            </w:r>
            <w:r>
              <w:rPr>
                <w:rFonts w:ascii="Times New Roman" w:eastAsia="Times New Roman" w:hAnsi="Times New Roman" w:cs="Times New Roman"/>
                <w:color w:val="000000"/>
                <w:sz w:val="28"/>
                <w:szCs w:val="28"/>
              </w:rPr>
            </w:r>
            <w:r>
              <w:rPr>
                <w:rFonts w:ascii="Times New Roman" w:eastAsia="Times New Roman" w:hAnsi="Times New Roman" w:cs="Times New Roman"/>
                <w:color w:val="000000"/>
                <w:sz w:val="28"/>
                <w:szCs w:val="28"/>
              </w:rPr>
              <w:fldChar w:fldCharType="separate"/>
            </w:r>
            <w:r>
              <w:rPr>
                <w:rFonts w:ascii="Times New Roman" w:hAnsi="Times New Roman"/>
                <w:color w:val="000000"/>
                <w:sz w:val="28"/>
              </w:rPr>
              <w:t>     </w:t>
            </w:r>
            <w:r>
              <w:fldChar w:fldCharType="end"/>
            </w:r>
          </w:p>
          <w:p w14:paraId="1D784A21"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ffData>
                  <w:name w:val="Text242"/>
                  <w:enabled/>
                  <w:calcOnExit w:val="0"/>
                  <w:textInput/>
                </w:ffData>
              </w:fldChar>
            </w:r>
            <w:r>
              <w:rPr>
                <w:rFonts w:ascii="Times New Roman" w:eastAsia="Times New Roman" w:hAnsi="Times New Roman" w:cs="Times New Roman"/>
                <w:color w:val="000000"/>
                <w:sz w:val="28"/>
                <w:szCs w:val="28"/>
              </w:rPr>
              <w:instrText xml:space="preserve"> FORMTEXT </w:instrText>
            </w:r>
            <w:r>
              <w:rPr>
                <w:rFonts w:ascii="Times New Roman" w:eastAsia="Times New Roman" w:hAnsi="Times New Roman" w:cs="Times New Roman"/>
                <w:color w:val="000000"/>
                <w:sz w:val="28"/>
                <w:szCs w:val="28"/>
              </w:rPr>
            </w:r>
            <w:r>
              <w:rPr>
                <w:rFonts w:ascii="Times New Roman" w:eastAsia="Times New Roman" w:hAnsi="Times New Roman" w:cs="Times New Roman"/>
                <w:color w:val="000000"/>
                <w:sz w:val="28"/>
                <w:szCs w:val="28"/>
              </w:rPr>
              <w:fldChar w:fldCharType="separate"/>
            </w:r>
            <w:r>
              <w:rPr>
                <w:rFonts w:ascii="Times New Roman" w:hAnsi="Times New Roman"/>
                <w:color w:val="000000"/>
                <w:sz w:val="28"/>
              </w:rPr>
              <w:t>     </w:t>
            </w:r>
            <w:r>
              <w:fldChar w:fldCharType="end"/>
            </w:r>
          </w:p>
          <w:p w14:paraId="2AC0964D"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color w:val="000000"/>
                <w:sz w:val="28"/>
                <w:szCs w:val="28"/>
              </w:rPr>
            </w:pPr>
          </w:p>
        </w:tc>
      </w:tr>
      <w:tr w:rsidR="00832F98" w:rsidRPr="005107DF" w14:paraId="70CA5AE9" w14:textId="77777777" w:rsidTr="00A92DE1">
        <w:trPr>
          <w:trHeight w:val="600"/>
        </w:trPr>
        <w:tc>
          <w:tcPr>
            <w:tcW w:w="3898" w:type="dxa"/>
          </w:tcPr>
          <w:p w14:paraId="3A40AAA9"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b/>
                <w:color w:val="000000"/>
                <w:sz w:val="28"/>
                <w:szCs w:val="28"/>
              </w:rPr>
            </w:pPr>
            <w:r>
              <w:rPr>
                <w:rFonts w:ascii="Times New Roman" w:hAnsi="Times New Roman"/>
                <w:b/>
                <w:color w:val="000000"/>
                <w:sz w:val="28"/>
              </w:rPr>
              <w:t>Numéro de rapport:</w:t>
            </w:r>
          </w:p>
        </w:tc>
        <w:tc>
          <w:tcPr>
            <w:tcW w:w="5386" w:type="dxa"/>
          </w:tcPr>
          <w:p w14:paraId="5DDFE112"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ffData>
                  <w:name w:val="Text241"/>
                  <w:enabled/>
                  <w:calcOnExit w:val="0"/>
                  <w:textInput/>
                </w:ffData>
              </w:fldChar>
            </w:r>
            <w:r>
              <w:rPr>
                <w:rFonts w:ascii="Times New Roman" w:eastAsia="Times New Roman" w:hAnsi="Times New Roman" w:cs="Times New Roman"/>
                <w:color w:val="000000"/>
                <w:sz w:val="28"/>
                <w:szCs w:val="28"/>
              </w:rPr>
              <w:instrText xml:space="preserve"> FORMTEXT </w:instrText>
            </w:r>
            <w:r>
              <w:rPr>
                <w:rFonts w:ascii="Times New Roman" w:eastAsia="Times New Roman" w:hAnsi="Times New Roman" w:cs="Times New Roman"/>
                <w:color w:val="000000"/>
                <w:sz w:val="28"/>
                <w:szCs w:val="28"/>
              </w:rPr>
            </w:r>
            <w:r>
              <w:rPr>
                <w:rFonts w:ascii="Times New Roman" w:eastAsia="Times New Roman" w:hAnsi="Times New Roman" w:cs="Times New Roman"/>
                <w:color w:val="000000"/>
                <w:sz w:val="28"/>
                <w:szCs w:val="28"/>
              </w:rPr>
              <w:fldChar w:fldCharType="separate"/>
            </w:r>
            <w:r>
              <w:rPr>
                <w:rFonts w:ascii="Times New Roman" w:hAnsi="Times New Roman"/>
                <w:color w:val="000000"/>
                <w:sz w:val="28"/>
              </w:rPr>
              <w:t>     </w:t>
            </w:r>
            <w:r>
              <w:fldChar w:fldCharType="end"/>
            </w:r>
          </w:p>
        </w:tc>
      </w:tr>
      <w:tr w:rsidR="00832F98" w:rsidRPr="005107DF" w14:paraId="1E28C1F2" w14:textId="77777777" w:rsidTr="00A92DE1">
        <w:trPr>
          <w:trHeight w:val="600"/>
        </w:trPr>
        <w:tc>
          <w:tcPr>
            <w:tcW w:w="3898" w:type="dxa"/>
          </w:tcPr>
          <w:p w14:paraId="1E0E81A6"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b/>
                <w:color w:val="000000"/>
                <w:sz w:val="28"/>
                <w:szCs w:val="28"/>
              </w:rPr>
            </w:pPr>
            <w:r>
              <w:rPr>
                <w:rFonts w:ascii="Times New Roman" w:hAnsi="Times New Roman"/>
                <w:b/>
                <w:color w:val="000000"/>
                <w:sz w:val="28"/>
              </w:rPr>
              <w:t>Période couverte par le rapport:</w:t>
            </w:r>
          </w:p>
        </w:tc>
        <w:tc>
          <w:tcPr>
            <w:tcW w:w="5386" w:type="dxa"/>
          </w:tcPr>
          <w:p w14:paraId="2D909173"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ffData>
                  <w:name w:val="Text242"/>
                  <w:enabled/>
                  <w:calcOnExit w:val="0"/>
                  <w:textInput/>
                </w:ffData>
              </w:fldChar>
            </w:r>
            <w:r>
              <w:rPr>
                <w:rFonts w:ascii="Times New Roman" w:eastAsia="Times New Roman" w:hAnsi="Times New Roman" w:cs="Times New Roman"/>
                <w:color w:val="000000"/>
                <w:sz w:val="28"/>
                <w:szCs w:val="28"/>
              </w:rPr>
              <w:instrText xml:space="preserve"> FORMTEXT </w:instrText>
            </w:r>
            <w:r>
              <w:rPr>
                <w:rFonts w:ascii="Times New Roman" w:eastAsia="Times New Roman" w:hAnsi="Times New Roman" w:cs="Times New Roman"/>
                <w:color w:val="000000"/>
                <w:sz w:val="28"/>
                <w:szCs w:val="28"/>
              </w:rPr>
            </w:r>
            <w:r>
              <w:rPr>
                <w:rFonts w:ascii="Times New Roman" w:eastAsia="Times New Roman" w:hAnsi="Times New Roman" w:cs="Times New Roman"/>
                <w:color w:val="000000"/>
                <w:sz w:val="28"/>
                <w:szCs w:val="28"/>
              </w:rPr>
              <w:fldChar w:fldCharType="separate"/>
            </w:r>
            <w:r>
              <w:rPr>
                <w:rFonts w:ascii="Times New Roman" w:hAnsi="Times New Roman"/>
                <w:color w:val="000000"/>
                <w:sz w:val="28"/>
              </w:rPr>
              <w:t>     </w:t>
            </w:r>
            <w:r>
              <w:fldChar w:fldCharType="end"/>
            </w:r>
          </w:p>
        </w:tc>
      </w:tr>
      <w:tr w:rsidR="00832F98" w:rsidRPr="005107DF" w14:paraId="778FA6DC" w14:textId="77777777" w:rsidTr="00A92DE1">
        <w:trPr>
          <w:trHeight w:val="600"/>
        </w:trPr>
        <w:tc>
          <w:tcPr>
            <w:tcW w:w="3898" w:type="dxa"/>
          </w:tcPr>
          <w:p w14:paraId="1CA51A3D"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b/>
                <w:color w:val="000000"/>
                <w:sz w:val="28"/>
                <w:szCs w:val="28"/>
              </w:rPr>
            </w:pPr>
            <w:r>
              <w:rPr>
                <w:rFonts w:ascii="Times New Roman" w:hAnsi="Times New Roman"/>
                <w:b/>
                <w:color w:val="000000"/>
                <w:sz w:val="28"/>
              </w:rPr>
              <w:t>Durée du projet:</w:t>
            </w:r>
          </w:p>
        </w:tc>
        <w:tc>
          <w:tcPr>
            <w:tcW w:w="5386" w:type="dxa"/>
          </w:tcPr>
          <w:p w14:paraId="04EC47EB"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ffData>
                  <w:name w:val="Text241"/>
                  <w:enabled/>
                  <w:calcOnExit w:val="0"/>
                  <w:textInput/>
                </w:ffData>
              </w:fldChar>
            </w:r>
            <w:r>
              <w:rPr>
                <w:rFonts w:ascii="Times New Roman" w:eastAsia="Times New Roman" w:hAnsi="Times New Roman" w:cs="Times New Roman"/>
                <w:color w:val="000000"/>
                <w:sz w:val="28"/>
                <w:szCs w:val="28"/>
              </w:rPr>
              <w:instrText xml:space="preserve"> FORMTEXT </w:instrText>
            </w:r>
            <w:r>
              <w:rPr>
                <w:rFonts w:ascii="Times New Roman" w:eastAsia="Times New Roman" w:hAnsi="Times New Roman" w:cs="Times New Roman"/>
                <w:color w:val="000000"/>
                <w:sz w:val="28"/>
                <w:szCs w:val="28"/>
              </w:rPr>
            </w:r>
            <w:r>
              <w:rPr>
                <w:rFonts w:ascii="Times New Roman" w:eastAsia="Times New Roman" w:hAnsi="Times New Roman" w:cs="Times New Roman"/>
                <w:color w:val="000000"/>
                <w:sz w:val="28"/>
                <w:szCs w:val="28"/>
              </w:rPr>
              <w:fldChar w:fldCharType="separate"/>
            </w:r>
            <w:r>
              <w:rPr>
                <w:rFonts w:ascii="Times New Roman" w:hAnsi="Times New Roman"/>
                <w:color w:val="000000"/>
                <w:sz w:val="28"/>
              </w:rPr>
              <w:t>     </w:t>
            </w:r>
            <w:r>
              <w:fldChar w:fldCharType="end"/>
            </w:r>
          </w:p>
        </w:tc>
      </w:tr>
      <w:tr w:rsidR="00832F98" w:rsidRPr="005107DF" w14:paraId="3D56A5D7" w14:textId="77777777" w:rsidTr="00A92DE1">
        <w:trPr>
          <w:trHeight w:val="600"/>
        </w:trPr>
        <w:tc>
          <w:tcPr>
            <w:tcW w:w="3898" w:type="dxa"/>
          </w:tcPr>
          <w:p w14:paraId="5D01315E"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b/>
                <w:color w:val="000000"/>
                <w:sz w:val="28"/>
                <w:szCs w:val="28"/>
              </w:rPr>
            </w:pPr>
            <w:r>
              <w:rPr>
                <w:rFonts w:ascii="Times New Roman" w:hAnsi="Times New Roman"/>
                <w:b/>
                <w:color w:val="000000"/>
                <w:sz w:val="28"/>
              </w:rPr>
              <w:t>Auteur du rapport:</w:t>
            </w:r>
          </w:p>
        </w:tc>
        <w:tc>
          <w:tcPr>
            <w:tcW w:w="5386" w:type="dxa"/>
          </w:tcPr>
          <w:p w14:paraId="11CFCF46"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ffData>
                  <w:name w:val="Text242"/>
                  <w:enabled/>
                  <w:calcOnExit w:val="0"/>
                  <w:textInput/>
                </w:ffData>
              </w:fldChar>
            </w:r>
            <w:r>
              <w:rPr>
                <w:rFonts w:ascii="Times New Roman" w:eastAsia="Times New Roman" w:hAnsi="Times New Roman" w:cs="Times New Roman"/>
                <w:color w:val="000000"/>
                <w:sz w:val="28"/>
                <w:szCs w:val="28"/>
              </w:rPr>
              <w:instrText xml:space="preserve"> FORMTEXT </w:instrText>
            </w:r>
            <w:r>
              <w:rPr>
                <w:rFonts w:ascii="Times New Roman" w:eastAsia="Times New Roman" w:hAnsi="Times New Roman" w:cs="Times New Roman"/>
                <w:color w:val="000000"/>
                <w:sz w:val="28"/>
                <w:szCs w:val="28"/>
              </w:rPr>
            </w:r>
            <w:r>
              <w:rPr>
                <w:rFonts w:ascii="Times New Roman" w:eastAsia="Times New Roman" w:hAnsi="Times New Roman" w:cs="Times New Roman"/>
                <w:color w:val="000000"/>
                <w:sz w:val="28"/>
                <w:szCs w:val="28"/>
              </w:rPr>
              <w:fldChar w:fldCharType="separate"/>
            </w:r>
            <w:r>
              <w:rPr>
                <w:rFonts w:ascii="Times New Roman" w:hAnsi="Times New Roman"/>
                <w:color w:val="000000"/>
                <w:sz w:val="28"/>
              </w:rPr>
              <w:t>     </w:t>
            </w:r>
            <w:r>
              <w:fldChar w:fldCharType="end"/>
            </w:r>
          </w:p>
          <w:p w14:paraId="6C4F6806"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color w:val="000000"/>
                <w:sz w:val="28"/>
                <w:szCs w:val="28"/>
              </w:rPr>
            </w:pPr>
          </w:p>
        </w:tc>
      </w:tr>
    </w:tbl>
    <w:p w14:paraId="40250617" w14:textId="77777777" w:rsidR="00832F98" w:rsidRPr="005107DF" w:rsidRDefault="00832F98" w:rsidP="00A92DE1">
      <w:pPr>
        <w:numPr>
          <w:ilvl w:val="12"/>
          <w:numId w:val="0"/>
        </w:numPr>
        <w:spacing w:after="0" w:line="240" w:lineRule="auto"/>
        <w:rPr>
          <w:rFonts w:ascii="Times New Roman" w:eastAsia="Times New Roman" w:hAnsi="Times New Roman" w:cs="Times New Roman"/>
          <w:color w:val="000000"/>
          <w:sz w:val="18"/>
          <w:szCs w:val="24"/>
        </w:rPr>
      </w:pPr>
    </w:p>
    <w:p w14:paraId="67678A27" w14:textId="77777777" w:rsidR="00832F98" w:rsidRPr="005107DF" w:rsidRDefault="00832F98" w:rsidP="00A92DE1">
      <w:pPr>
        <w:numPr>
          <w:ilvl w:val="12"/>
          <w:numId w:val="0"/>
        </w:numPr>
        <w:spacing w:after="0" w:line="240" w:lineRule="auto"/>
        <w:rPr>
          <w:rFonts w:ascii="Times New Roman" w:eastAsia="Times New Roman" w:hAnsi="Times New Roman" w:cs="Times New Roman"/>
          <w:color w:val="000000"/>
          <w:sz w:val="18"/>
          <w:szCs w:val="24"/>
        </w:rPr>
      </w:pPr>
    </w:p>
    <w:p w14:paraId="0A2BE64B" w14:textId="77777777" w:rsidR="00832F98" w:rsidRPr="005107DF" w:rsidRDefault="00832F98">
      <w:pPr>
        <w:rPr>
          <w:rFonts w:ascii="Times New Roman" w:eastAsia="Times New Roman" w:hAnsi="Times New Roman" w:cs="Times New Roman"/>
          <w:color w:val="000000"/>
          <w:sz w:val="18"/>
          <w:szCs w:val="24"/>
        </w:rPr>
      </w:pPr>
      <w:r>
        <w:br w:type="page"/>
      </w:r>
    </w:p>
    <w:p w14:paraId="512E82D8" w14:textId="77777777" w:rsidR="00832F98" w:rsidRPr="005107DF" w:rsidRDefault="00832F98" w:rsidP="00A92DE1">
      <w:pPr>
        <w:numPr>
          <w:ilvl w:val="12"/>
          <w:numId w:val="0"/>
        </w:numPr>
        <w:spacing w:after="0" w:line="240" w:lineRule="auto"/>
        <w:rPr>
          <w:rFonts w:ascii="Times New Roman" w:eastAsia="Times New Roman" w:hAnsi="Times New Roman" w:cs="Times New Roman"/>
          <w:color w:val="000000"/>
          <w:sz w:val="18"/>
          <w:szCs w:val="24"/>
        </w:rPr>
      </w:pPr>
    </w:p>
    <w:p w14:paraId="005E69C5" w14:textId="77777777" w:rsidR="00832F98" w:rsidRPr="005107DF" w:rsidRDefault="00832F98" w:rsidP="00A92DE1">
      <w:pPr>
        <w:tabs>
          <w:tab w:val="left" w:pos="3400"/>
          <w:tab w:val="left" w:pos="4395"/>
        </w:tabs>
        <w:spacing w:after="0" w:line="240" w:lineRule="auto"/>
        <w:jc w:val="center"/>
        <w:rPr>
          <w:rFonts w:ascii="Times New Roman" w:eastAsia="Times New Roman" w:hAnsi="Times New Roman" w:cs="Times New Roman"/>
          <w:color w:val="000000"/>
          <w:sz w:val="24"/>
          <w:szCs w:val="24"/>
        </w:rPr>
      </w:pPr>
    </w:p>
    <w:p w14:paraId="410C611D" w14:textId="77777777" w:rsidR="00832F98" w:rsidRPr="005107DF" w:rsidRDefault="00832F98"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rPr>
      </w:pPr>
      <w:r>
        <w:rPr>
          <w:rFonts w:ascii="Times New Roman" w:hAnsi="Times New Roman"/>
          <w:b/>
          <w:color w:val="000000"/>
          <w:sz w:val="28"/>
        </w:rPr>
        <w:t>Section </w:t>
      </w:r>
      <w:r w:rsidRPr="00452C1A">
        <w:rPr>
          <w:rFonts w:ascii="Times New Roman" w:hAnsi="Times New Roman"/>
          <w:b/>
          <w:color w:val="000000"/>
          <w:sz w:val="28"/>
        </w:rPr>
        <w:t>2</w:t>
      </w:r>
      <w:r>
        <w:rPr>
          <w:rFonts w:ascii="Times New Roman" w:hAnsi="Times New Roman"/>
          <w:b/>
          <w:color w:val="000000"/>
          <w:sz w:val="28"/>
        </w:rPr>
        <w:t xml:space="preserve">: </w:t>
      </w:r>
    </w:p>
    <w:p w14:paraId="12F6785F" w14:textId="77777777" w:rsidR="00832F98" w:rsidRPr="005107DF" w:rsidRDefault="00832F98"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rPr>
      </w:pPr>
      <w:r>
        <w:rPr>
          <w:rFonts w:ascii="Times New Roman" w:hAnsi="Times New Roman"/>
          <w:b/>
          <w:color w:val="000000"/>
          <w:sz w:val="28"/>
        </w:rPr>
        <w:t>Contenu</w:t>
      </w:r>
    </w:p>
    <w:p w14:paraId="1474866B" w14:textId="77777777" w:rsidR="00832F98" w:rsidRPr="005107DF" w:rsidRDefault="00832F98" w:rsidP="00A92DE1">
      <w:pPr>
        <w:numPr>
          <w:ilvl w:val="12"/>
          <w:numId w:val="0"/>
        </w:numPr>
        <w:spacing w:after="0" w:line="240" w:lineRule="auto"/>
        <w:rPr>
          <w:rFonts w:ascii="Times New Roman" w:eastAsia="Times New Roman" w:hAnsi="Times New Roman" w:cs="Times New Roman"/>
          <w:color w:val="000000"/>
          <w:sz w:val="24"/>
          <w:szCs w:val="24"/>
        </w:rPr>
      </w:pPr>
    </w:p>
    <w:p w14:paraId="5555694C" w14:textId="77777777" w:rsidR="00832F98" w:rsidRPr="005107DF" w:rsidRDefault="00832F98" w:rsidP="00A92DE1">
      <w:pPr>
        <w:numPr>
          <w:ilvl w:val="12"/>
          <w:numId w:val="0"/>
        </w:numPr>
        <w:spacing w:after="0" w:line="240" w:lineRule="auto"/>
        <w:rPr>
          <w:rFonts w:ascii="Times New Roman" w:eastAsia="Times New Roman" w:hAnsi="Times New Roman" w:cs="Times New Roman"/>
          <w:color w:val="000000"/>
          <w:sz w:val="24"/>
          <w:szCs w:val="24"/>
        </w:rPr>
      </w:pPr>
    </w:p>
    <w:p w14:paraId="48B56BD0" w14:textId="77777777" w:rsidR="00832F98" w:rsidRPr="005107DF" w:rsidRDefault="00832F98" w:rsidP="00A92DE1">
      <w:pPr>
        <w:numPr>
          <w:ilvl w:val="12"/>
          <w:numId w:val="0"/>
        </w:num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Cette partie décrit les activités du projet. Elle est subdivisée en cinq sections. </w:t>
      </w:r>
    </w:p>
    <w:p w14:paraId="72F5F748" w14:textId="77777777" w:rsidR="00832F98" w:rsidRPr="005107DF" w:rsidRDefault="00832F98" w:rsidP="00A92DE1">
      <w:pPr>
        <w:numPr>
          <w:ilvl w:val="12"/>
          <w:numId w:val="0"/>
        </w:numPr>
        <w:spacing w:after="0" w:line="240" w:lineRule="auto"/>
        <w:rPr>
          <w:rFonts w:ascii="Times New Roman" w:eastAsia="Times New Roman" w:hAnsi="Times New Roman" w:cs="Times New Roman"/>
          <w:color w:val="000000"/>
          <w:sz w:val="24"/>
          <w:szCs w:val="24"/>
        </w:rPr>
      </w:pPr>
    </w:p>
    <w:p w14:paraId="611C747F" w14:textId="77777777" w:rsidR="00832F98" w:rsidRPr="005107DF" w:rsidRDefault="00832F98" w:rsidP="00A92DE1">
      <w:pPr>
        <w:spacing w:after="0" w:line="48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2</w:t>
      </w:r>
      <w:r>
        <w:rPr>
          <w:rFonts w:ascii="Times New Roman" w:hAnsi="Times New Roman"/>
          <w:color w:val="000000"/>
          <w:sz w:val="24"/>
        </w:rPr>
        <w:t>A - CONTEXTE</w:t>
      </w:r>
    </w:p>
    <w:p w14:paraId="1BAE2958" w14:textId="77777777" w:rsidR="00832F98" w:rsidRPr="005107DF" w:rsidRDefault="00832F98" w:rsidP="00A92DE1">
      <w:pPr>
        <w:spacing w:after="0" w:line="48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2</w:t>
      </w:r>
      <w:r>
        <w:rPr>
          <w:rFonts w:ascii="Times New Roman" w:hAnsi="Times New Roman"/>
          <w:color w:val="000000"/>
          <w:sz w:val="24"/>
        </w:rPr>
        <w:t xml:space="preserve">B - OBTENTION DES RÉSULTATS OBLIGATOIRES/PRODUITS: Quels sont les résultats qui ont été obtenus? Quelle influence directe le projet a-t-il eu sur les objectifs/résultats spécifiques et quelle influence indirecte a-t-il eu sur l’objectif global (impact) au cours de la période de référence? </w:t>
      </w:r>
    </w:p>
    <w:p w14:paraId="0374DC74" w14:textId="77777777" w:rsidR="00832F98" w:rsidRPr="005107DF" w:rsidRDefault="00832F98" w:rsidP="00A92DE1">
      <w:pPr>
        <w:spacing w:after="0" w:line="48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2</w:t>
      </w:r>
      <w:r>
        <w:rPr>
          <w:rFonts w:ascii="Times New Roman" w:hAnsi="Times New Roman"/>
          <w:color w:val="000000"/>
          <w:sz w:val="24"/>
        </w:rPr>
        <w:t>C - ACTIVITÉS MENÉES DURANT LA PÉRIODE DE RÉFÉRENCE</w:t>
      </w:r>
    </w:p>
    <w:p w14:paraId="353A0C8F" w14:textId="77777777" w:rsidR="00832F98" w:rsidRPr="005107DF" w:rsidRDefault="00832F98" w:rsidP="00A92DE1">
      <w:pPr>
        <w:spacing w:after="0" w:line="48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2</w:t>
      </w:r>
      <w:r>
        <w:rPr>
          <w:rFonts w:ascii="Times New Roman" w:hAnsi="Times New Roman"/>
          <w:color w:val="000000"/>
          <w:sz w:val="24"/>
        </w:rPr>
        <w:t>D - CALENDRIER ET RETARDS</w:t>
      </w:r>
    </w:p>
    <w:p w14:paraId="0F008931" w14:textId="77777777" w:rsidR="00832F98" w:rsidRPr="005107DF" w:rsidRDefault="00832F98" w:rsidP="00A92DE1">
      <w:pPr>
        <w:spacing w:after="0" w:line="48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2</w:t>
      </w:r>
      <w:r>
        <w:rPr>
          <w:rFonts w:ascii="Times New Roman" w:hAnsi="Times New Roman"/>
          <w:color w:val="000000"/>
          <w:sz w:val="24"/>
        </w:rPr>
        <w:t>E - ÉVALUATION</w:t>
      </w:r>
    </w:p>
    <w:p w14:paraId="229BDBF8" w14:textId="77777777" w:rsidR="00832F98" w:rsidRPr="005107DF" w:rsidRDefault="00832F98" w:rsidP="00A92DE1">
      <w:pPr>
        <w:numPr>
          <w:ilvl w:val="12"/>
          <w:numId w:val="0"/>
        </w:numPr>
        <w:spacing w:after="0" w:line="240" w:lineRule="auto"/>
        <w:ind w:firstLine="30"/>
        <w:rPr>
          <w:rFonts w:ascii="Times New Roman" w:eastAsia="Times New Roman" w:hAnsi="Times New Roman" w:cs="Times New Roman"/>
          <w:color w:val="000000"/>
          <w:sz w:val="18"/>
          <w:szCs w:val="24"/>
        </w:rPr>
      </w:pPr>
    </w:p>
    <w:p w14:paraId="5052714A" w14:textId="77777777" w:rsidR="00832F98" w:rsidRPr="005107DF" w:rsidRDefault="00832F98" w:rsidP="00A92DE1">
      <w:pPr>
        <w:numPr>
          <w:ilvl w:val="12"/>
          <w:numId w:val="0"/>
        </w:numPr>
        <w:spacing w:after="0" w:line="240" w:lineRule="auto"/>
        <w:jc w:val="center"/>
        <w:rPr>
          <w:rFonts w:ascii="Times New Roman" w:eastAsia="Times New Roman" w:hAnsi="Times New Roman" w:cs="Times New Roman"/>
          <w:i/>
          <w:color w:val="000000"/>
          <w:sz w:val="18"/>
          <w:szCs w:val="24"/>
        </w:rPr>
      </w:pPr>
      <w:r>
        <w:rPr>
          <w:rFonts w:ascii="Times New Roman" w:hAnsi="Times New Roman"/>
          <w:i/>
          <w:color w:val="000000"/>
          <w:sz w:val="18"/>
        </w:rPr>
        <w:t>Veuillez noter que le rapport intermédiaire trimestriel couvre l’ensemble des activités exécutées et des résultats enregistrés au cours de la période de référence du projet.</w:t>
      </w:r>
    </w:p>
    <w:p w14:paraId="05D10691" w14:textId="77777777" w:rsidR="00832F98" w:rsidRPr="005107DF" w:rsidRDefault="00832F98" w:rsidP="00A92DE1">
      <w:pPr>
        <w:tabs>
          <w:tab w:val="left" w:pos="567"/>
        </w:tabs>
        <w:spacing w:after="0" w:line="240" w:lineRule="auto"/>
        <w:ind w:left="567" w:hanging="567"/>
        <w:jc w:val="both"/>
        <w:rPr>
          <w:rFonts w:ascii="Times New Roman" w:eastAsia="Times New Roman" w:hAnsi="Times New Roman" w:cs="Times New Roman"/>
          <w:color w:val="000000"/>
          <w:sz w:val="18"/>
          <w:szCs w:val="20"/>
        </w:rPr>
      </w:pPr>
    </w:p>
    <w:p w14:paraId="3EF5A49E" w14:textId="77777777" w:rsidR="00832F98" w:rsidRPr="005107DF" w:rsidRDefault="00832F98" w:rsidP="00A92DE1">
      <w:pPr>
        <w:numPr>
          <w:ilvl w:val="12"/>
          <w:numId w:val="0"/>
        </w:numPr>
        <w:spacing w:after="0" w:line="240" w:lineRule="auto"/>
        <w:rPr>
          <w:rFonts w:ascii="Times New Roman" w:eastAsia="Times New Roman" w:hAnsi="Times New Roman" w:cs="Times New Roman"/>
          <w:b/>
          <w:color w:val="000000"/>
          <w:sz w:val="18"/>
          <w:szCs w:val="24"/>
        </w:rPr>
      </w:pPr>
    </w:p>
    <w:p w14:paraId="70B92739" w14:textId="77777777" w:rsidR="00832F98" w:rsidRPr="005107DF" w:rsidRDefault="00832F98" w:rsidP="00A92DE1">
      <w:pPr>
        <w:numPr>
          <w:ilvl w:val="12"/>
          <w:numId w:val="0"/>
        </w:numPr>
        <w:spacing w:after="0" w:line="240" w:lineRule="auto"/>
        <w:rPr>
          <w:rFonts w:ascii="Times New Roman" w:eastAsia="Times New Roman" w:hAnsi="Times New Roman" w:cs="Times New Roman"/>
          <w:b/>
          <w:color w:val="000000"/>
          <w:sz w:val="18"/>
          <w:szCs w:val="24"/>
          <w:u w:val="single"/>
        </w:rPr>
      </w:pPr>
      <w:r w:rsidRPr="00452C1A">
        <w:rPr>
          <w:rFonts w:ascii="Times New Roman" w:hAnsi="Times New Roman"/>
          <w:b/>
          <w:color w:val="000000"/>
          <w:sz w:val="24"/>
          <w:u w:val="single"/>
        </w:rPr>
        <w:t>2</w:t>
      </w:r>
      <w:r>
        <w:rPr>
          <w:rFonts w:ascii="Times New Roman" w:hAnsi="Times New Roman"/>
          <w:b/>
          <w:color w:val="000000"/>
          <w:sz w:val="24"/>
          <w:u w:val="single"/>
        </w:rPr>
        <w:t>A - CONTEXTE</w:t>
      </w:r>
    </w:p>
    <w:p w14:paraId="0A22B025"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p>
    <w:p w14:paraId="6FCC276C" w14:textId="77777777" w:rsidR="00832F98" w:rsidRPr="005107DF" w:rsidRDefault="00832F98" w:rsidP="007338F0">
      <w:pPr>
        <w:rPr>
          <w:rFonts w:ascii="Times New Roman" w:hAnsi="Times New Roman" w:cs="Times New Roman"/>
          <w:b/>
          <w:sz w:val="24"/>
          <w:szCs w:val="24"/>
        </w:rPr>
      </w:pPr>
      <w:bookmarkStart w:id="1415" w:name="_Toc131833040"/>
      <w:bookmarkStart w:id="1416" w:name="_Toc442374549"/>
      <w:bookmarkStart w:id="1417" w:name="_Toc442375039"/>
      <w:bookmarkStart w:id="1418" w:name="_Toc443320361"/>
      <w:bookmarkStart w:id="1419" w:name="_Toc464460208"/>
      <w:bookmarkStart w:id="1420" w:name="_Toc476063558"/>
      <w:bookmarkStart w:id="1421" w:name="_Toc476068040"/>
      <w:r>
        <w:rPr>
          <w:rFonts w:ascii="Times New Roman" w:hAnsi="Times New Roman"/>
          <w:b/>
          <w:sz w:val="24"/>
        </w:rPr>
        <w:t>Objectifs généraux</w:t>
      </w:r>
      <w:bookmarkEnd w:id="1415"/>
      <w:bookmarkEnd w:id="1416"/>
      <w:bookmarkEnd w:id="1417"/>
      <w:bookmarkEnd w:id="1418"/>
      <w:bookmarkEnd w:id="1419"/>
      <w:bookmarkEnd w:id="1420"/>
      <w:bookmarkEnd w:id="1421"/>
    </w:p>
    <w:p w14:paraId="06114BFB" w14:textId="77777777" w:rsidR="00832F98" w:rsidRPr="005107DF" w:rsidRDefault="00832F98" w:rsidP="00A92DE1">
      <w:pPr>
        <w:tabs>
          <w:tab w:val="left" w:pos="720"/>
        </w:tabs>
        <w:spacing w:after="0" w:line="240" w:lineRule="auto"/>
        <w:rPr>
          <w:rFonts w:ascii="Times New Roman" w:eastAsia="Times New Roman" w:hAnsi="Times New Roman" w:cs="Times New Roman"/>
          <w:sz w:val="24"/>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832F98" w:rsidRPr="005107DF" w14:paraId="2D7FDC70" w14:textId="77777777" w:rsidTr="00C143C7">
        <w:tc>
          <w:tcPr>
            <w:tcW w:w="3708" w:type="dxa"/>
            <w:shd w:val="clear" w:color="auto" w:fill="C0C0C0"/>
          </w:tcPr>
          <w:p w14:paraId="609C8578" w14:textId="77777777" w:rsidR="00832F98" w:rsidRPr="005107DF" w:rsidRDefault="00832F98" w:rsidP="00A92DE1">
            <w:pPr>
              <w:tabs>
                <w:tab w:val="left" w:pos="2268"/>
              </w:tabs>
              <w:spacing w:before="240" w:after="60" w:line="240" w:lineRule="auto"/>
              <w:outlineLvl w:val="6"/>
              <w:rPr>
                <w:rFonts w:ascii="Times New Roman" w:eastAsia="Times New Roman" w:hAnsi="Times New Roman" w:cs="Times New Roman"/>
                <w:sz w:val="20"/>
                <w:szCs w:val="20"/>
              </w:rPr>
            </w:pPr>
            <w:r>
              <w:rPr>
                <w:rFonts w:ascii="Times New Roman" w:hAnsi="Times New Roman"/>
                <w:sz w:val="20"/>
              </w:rPr>
              <w:t>Objectif général et indicateurs de résultat (tels qu’inscrits dans le cadre logique)</w:t>
            </w:r>
          </w:p>
        </w:tc>
        <w:tc>
          <w:tcPr>
            <w:tcW w:w="5400" w:type="dxa"/>
            <w:shd w:val="clear" w:color="auto" w:fill="C0C0C0"/>
          </w:tcPr>
          <w:p w14:paraId="6FB929A7" w14:textId="77777777" w:rsidR="00832F98" w:rsidRPr="005107DF" w:rsidRDefault="00832F98" w:rsidP="00A92DE1">
            <w:pPr>
              <w:tabs>
                <w:tab w:val="left" w:pos="2268"/>
              </w:tabs>
              <w:spacing w:after="0" w:line="240" w:lineRule="auto"/>
              <w:rPr>
                <w:rFonts w:ascii="Times New Roman" w:eastAsia="Times New Roman" w:hAnsi="Times New Roman" w:cs="Times New Roman"/>
                <w:b/>
                <w:sz w:val="20"/>
                <w:szCs w:val="24"/>
              </w:rPr>
            </w:pPr>
            <w:r>
              <w:rPr>
                <w:rFonts w:ascii="Times New Roman" w:hAnsi="Times New Roman"/>
                <w:b/>
                <w:sz w:val="20"/>
              </w:rPr>
              <w:t>État de réalisation/problèmes rencontrés</w:t>
            </w:r>
          </w:p>
        </w:tc>
      </w:tr>
      <w:tr w:rsidR="00832F98" w:rsidRPr="005107DF" w14:paraId="1A230C5C" w14:textId="77777777" w:rsidTr="00C143C7">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1D387667" w14:textId="77777777" w:rsidR="00832F98" w:rsidRPr="005107DF" w:rsidRDefault="00832F98" w:rsidP="00A92DE1">
            <w:pPr>
              <w:spacing w:after="0" w:line="240" w:lineRule="auto"/>
              <w:jc w:val="both"/>
              <w:rPr>
                <w:rFonts w:ascii="Times New Roman" w:eastAsia="Times New Roman" w:hAnsi="Times New Roman" w:cs="Times New Roman"/>
                <w:b/>
                <w:snapToGrid w:val="0"/>
                <w:sz w:val="20"/>
                <w:szCs w:val="24"/>
              </w:rPr>
            </w:pPr>
            <w:r>
              <w:rPr>
                <w:rFonts w:ascii="Times New Roman" w:hAnsi="Times New Roman"/>
                <w:b/>
                <w:snapToGrid w:val="0"/>
                <w:sz w:val="20"/>
              </w:rPr>
              <w:t xml:space="preserve">Objectif général (repris du cadre logique) </w:t>
            </w:r>
          </w:p>
        </w:tc>
      </w:tr>
      <w:tr w:rsidR="00832F98" w:rsidRPr="005107DF" w14:paraId="22EA1719" w14:textId="77777777" w:rsidTr="00C143C7">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4D9DEF13" w14:textId="77777777" w:rsidR="00832F98" w:rsidRPr="005107DF" w:rsidRDefault="00832F98" w:rsidP="00A92DE1">
            <w:pPr>
              <w:tabs>
                <w:tab w:val="left" w:pos="2268"/>
              </w:tabs>
              <w:spacing w:after="0" w:line="240" w:lineRule="auto"/>
              <w:rPr>
                <w:rFonts w:ascii="Times New Roman" w:eastAsia="Times New Roman" w:hAnsi="Times New Roman" w:cs="Times New Roman"/>
                <w:i/>
                <w:sz w:val="20"/>
                <w:szCs w:val="24"/>
              </w:rPr>
            </w:pPr>
            <w:r>
              <w:rPr>
                <w:rFonts w:ascii="Times New Roman" w:hAnsi="Times New Roman"/>
                <w:i/>
                <w:sz w:val="20"/>
              </w:rPr>
              <w:t xml:space="preserve">Indicateur de résultat (repris du cadre logique) </w:t>
            </w:r>
          </w:p>
        </w:tc>
        <w:tc>
          <w:tcPr>
            <w:tcW w:w="5400" w:type="dxa"/>
            <w:tcBorders>
              <w:top w:val="single" w:sz="6" w:space="0" w:color="auto"/>
              <w:left w:val="single" w:sz="6" w:space="0" w:color="auto"/>
              <w:bottom w:val="single" w:sz="6" w:space="0" w:color="auto"/>
              <w:right w:val="single" w:sz="6" w:space="0" w:color="auto"/>
            </w:tcBorders>
          </w:tcPr>
          <w:p w14:paraId="3EE99AF2" w14:textId="77777777" w:rsidR="00832F98" w:rsidRPr="005107DF" w:rsidRDefault="00832F98" w:rsidP="00A92DE1">
            <w:pPr>
              <w:tabs>
                <w:tab w:val="left" w:pos="2268"/>
              </w:tabs>
              <w:spacing w:after="0" w:line="240" w:lineRule="auto"/>
              <w:rPr>
                <w:rFonts w:ascii="Times New Roman" w:eastAsia="Times New Roman" w:hAnsi="Times New Roman" w:cs="Times New Roman"/>
                <w:sz w:val="20"/>
                <w:szCs w:val="20"/>
              </w:rPr>
            </w:pPr>
          </w:p>
        </w:tc>
      </w:tr>
    </w:tbl>
    <w:p w14:paraId="0984E41D" w14:textId="77777777" w:rsidR="00832F98" w:rsidRPr="005107DF" w:rsidRDefault="00832F98" w:rsidP="00A92DE1">
      <w:pPr>
        <w:tabs>
          <w:tab w:val="left" w:pos="720"/>
        </w:tabs>
        <w:spacing w:after="0" w:line="240" w:lineRule="auto"/>
        <w:rPr>
          <w:rFonts w:ascii="Times New Roman" w:eastAsia="Times New Roman" w:hAnsi="Times New Roman" w:cs="Times New Roman"/>
          <w:sz w:val="24"/>
          <w:szCs w:val="20"/>
        </w:rPr>
      </w:pPr>
    </w:p>
    <w:p w14:paraId="4A2FF1B2" w14:textId="77777777" w:rsidR="00832F98" w:rsidRPr="005107DF" w:rsidRDefault="00832F98" w:rsidP="007338F0">
      <w:pPr>
        <w:rPr>
          <w:rFonts w:ascii="Times New Roman" w:hAnsi="Times New Roman" w:cs="Times New Roman"/>
          <w:b/>
          <w:sz w:val="24"/>
          <w:szCs w:val="24"/>
        </w:rPr>
      </w:pPr>
      <w:bookmarkStart w:id="1422" w:name="_Toc476063559"/>
      <w:bookmarkStart w:id="1423" w:name="_Toc476068041"/>
      <w:r>
        <w:rPr>
          <w:rFonts w:ascii="Times New Roman" w:hAnsi="Times New Roman"/>
          <w:b/>
          <w:sz w:val="24"/>
        </w:rPr>
        <w:t>Objectifs spécifiques</w:t>
      </w:r>
      <w:bookmarkEnd w:id="1422"/>
      <w:bookmarkEnd w:id="1423"/>
      <w:r>
        <w:rPr>
          <w:rFonts w:ascii="Times New Roman" w:hAnsi="Times New Roman"/>
          <w:b/>
          <w:sz w:val="24"/>
        </w:rPr>
        <w:t xml:space="preserve"> </w:t>
      </w:r>
    </w:p>
    <w:p w14:paraId="2C58063E" w14:textId="77777777" w:rsidR="00832F98" w:rsidRPr="005107DF" w:rsidRDefault="00832F98" w:rsidP="00A92DE1">
      <w:pPr>
        <w:spacing w:after="0" w:line="240" w:lineRule="auto"/>
        <w:rPr>
          <w:rFonts w:ascii="Times New Roman" w:eastAsia="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832F98" w:rsidRPr="005107DF" w14:paraId="5AB1F13B" w14:textId="77777777" w:rsidTr="00C143C7">
        <w:tc>
          <w:tcPr>
            <w:tcW w:w="3708" w:type="dxa"/>
            <w:shd w:val="clear" w:color="auto" w:fill="C0C0C0"/>
          </w:tcPr>
          <w:p w14:paraId="47F4446D" w14:textId="77777777" w:rsidR="00832F98" w:rsidRPr="005107DF" w:rsidRDefault="00832F98" w:rsidP="00A92DE1">
            <w:pPr>
              <w:tabs>
                <w:tab w:val="left" w:pos="2268"/>
              </w:tabs>
              <w:spacing w:before="240" w:after="60" w:line="240" w:lineRule="auto"/>
              <w:outlineLvl w:val="6"/>
              <w:rPr>
                <w:rFonts w:ascii="Times New Roman" w:eastAsia="Times New Roman" w:hAnsi="Times New Roman" w:cs="Times New Roman"/>
                <w:sz w:val="20"/>
                <w:szCs w:val="20"/>
              </w:rPr>
            </w:pPr>
            <w:r>
              <w:rPr>
                <w:rFonts w:ascii="Times New Roman" w:hAnsi="Times New Roman"/>
                <w:sz w:val="20"/>
              </w:rPr>
              <w:t>Objectifs spécifiques et indicateurs de résultat (tels qu’inscrits dans le cadre logique)</w:t>
            </w:r>
          </w:p>
        </w:tc>
        <w:tc>
          <w:tcPr>
            <w:tcW w:w="5400" w:type="dxa"/>
            <w:shd w:val="clear" w:color="auto" w:fill="C0C0C0"/>
          </w:tcPr>
          <w:p w14:paraId="00F1E384" w14:textId="77777777" w:rsidR="00832F98" w:rsidRPr="005107DF" w:rsidRDefault="00832F98" w:rsidP="00A92DE1">
            <w:pPr>
              <w:tabs>
                <w:tab w:val="left" w:pos="2268"/>
              </w:tabs>
              <w:spacing w:after="0" w:line="240" w:lineRule="auto"/>
              <w:rPr>
                <w:rFonts w:ascii="Times New Roman" w:eastAsia="Times New Roman" w:hAnsi="Times New Roman" w:cs="Times New Roman"/>
                <w:b/>
                <w:sz w:val="20"/>
                <w:szCs w:val="24"/>
              </w:rPr>
            </w:pPr>
            <w:r>
              <w:rPr>
                <w:rFonts w:ascii="Times New Roman" w:hAnsi="Times New Roman"/>
                <w:b/>
                <w:sz w:val="20"/>
              </w:rPr>
              <w:t>État de réalisation/problèmes rencontrés</w:t>
            </w:r>
          </w:p>
        </w:tc>
      </w:tr>
      <w:tr w:rsidR="00832F98" w:rsidRPr="005107DF" w14:paraId="0D328875" w14:textId="77777777" w:rsidTr="00C143C7">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778039B3" w14:textId="77777777" w:rsidR="00832F98" w:rsidRPr="005107DF" w:rsidRDefault="00832F98" w:rsidP="00A92DE1">
            <w:pPr>
              <w:tabs>
                <w:tab w:val="left" w:pos="2268"/>
              </w:tabs>
              <w:spacing w:after="0" w:line="240" w:lineRule="auto"/>
              <w:rPr>
                <w:rFonts w:ascii="Times New Roman" w:eastAsia="Times New Roman" w:hAnsi="Times New Roman" w:cs="Times New Roman"/>
                <w:b/>
                <w:sz w:val="20"/>
                <w:szCs w:val="24"/>
              </w:rPr>
            </w:pPr>
            <w:r>
              <w:rPr>
                <w:rFonts w:ascii="Times New Roman" w:hAnsi="Times New Roman"/>
                <w:b/>
                <w:sz w:val="20"/>
              </w:rPr>
              <w:t>Objectif du projet (repris du cadre logique)</w:t>
            </w:r>
          </w:p>
        </w:tc>
      </w:tr>
      <w:tr w:rsidR="00832F98" w:rsidRPr="005107DF" w14:paraId="05AAC125" w14:textId="77777777" w:rsidTr="00C143C7">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66A9B0DE" w14:textId="77777777" w:rsidR="00832F98" w:rsidRPr="005107DF" w:rsidRDefault="00832F98" w:rsidP="00A92DE1">
            <w:pPr>
              <w:tabs>
                <w:tab w:val="left" w:pos="2268"/>
              </w:tabs>
              <w:spacing w:after="0" w:line="240" w:lineRule="auto"/>
              <w:rPr>
                <w:rFonts w:ascii="Times New Roman" w:eastAsia="Times New Roman" w:hAnsi="Times New Roman" w:cs="Times New Roman"/>
                <w:i/>
                <w:sz w:val="20"/>
                <w:szCs w:val="24"/>
              </w:rPr>
            </w:pPr>
            <w:r>
              <w:rPr>
                <w:rFonts w:ascii="Times New Roman" w:hAnsi="Times New Roman"/>
                <w:i/>
                <w:sz w:val="20"/>
              </w:rPr>
              <w:t>Indicateur de résultat (repris du cadre logique)</w:t>
            </w:r>
          </w:p>
        </w:tc>
        <w:tc>
          <w:tcPr>
            <w:tcW w:w="5400" w:type="dxa"/>
            <w:tcBorders>
              <w:top w:val="single" w:sz="6" w:space="0" w:color="auto"/>
              <w:left w:val="single" w:sz="6" w:space="0" w:color="auto"/>
              <w:bottom w:val="single" w:sz="6" w:space="0" w:color="auto"/>
              <w:right w:val="single" w:sz="6" w:space="0" w:color="auto"/>
            </w:tcBorders>
          </w:tcPr>
          <w:p w14:paraId="16F30F9D" w14:textId="77777777" w:rsidR="00832F98" w:rsidRPr="005107DF" w:rsidRDefault="00832F98" w:rsidP="00A92DE1">
            <w:pPr>
              <w:tabs>
                <w:tab w:val="left" w:pos="2268"/>
              </w:tabs>
              <w:spacing w:after="0" w:line="240" w:lineRule="auto"/>
              <w:rPr>
                <w:rFonts w:ascii="Times New Roman" w:eastAsia="Times New Roman" w:hAnsi="Times New Roman" w:cs="Times New Roman"/>
                <w:sz w:val="20"/>
                <w:szCs w:val="20"/>
              </w:rPr>
            </w:pPr>
          </w:p>
        </w:tc>
      </w:tr>
    </w:tbl>
    <w:p w14:paraId="02C06A62" w14:textId="77777777" w:rsidR="00832F98" w:rsidRPr="005107DF" w:rsidRDefault="00832F98" w:rsidP="00A92DE1">
      <w:pPr>
        <w:tabs>
          <w:tab w:val="left" w:pos="720"/>
        </w:tabs>
        <w:spacing w:after="0" w:line="240" w:lineRule="auto"/>
        <w:rPr>
          <w:rFonts w:ascii="Times New Roman" w:eastAsia="Times New Roman" w:hAnsi="Times New Roman" w:cs="Times New Roman"/>
          <w:sz w:val="24"/>
          <w:szCs w:val="20"/>
        </w:rPr>
      </w:pPr>
    </w:p>
    <w:p w14:paraId="2ABDDF16"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p>
    <w:p w14:paraId="51240C49"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Évolution des politiques et évolutions sectorielles</w:t>
      </w:r>
    </w:p>
    <w:p w14:paraId="6EF82D53"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41EFBD11" w14:textId="77777777" w:rsidR="00832F98" w:rsidRPr="005107DF" w:rsidRDefault="00832F98" w:rsidP="00A92DE1">
      <w:pPr>
        <w:numPr>
          <w:ilvl w:val="0"/>
          <w:numId w:val="127"/>
        </w:num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Conclusions/accords résultant du dialogue politique</w:t>
      </w:r>
    </w:p>
    <w:p w14:paraId="25350F04" w14:textId="77777777" w:rsidR="00832F98" w:rsidRPr="005107DF" w:rsidRDefault="00832F98" w:rsidP="00A92DE1">
      <w:pPr>
        <w:numPr>
          <w:ilvl w:val="0"/>
          <w:numId w:val="127"/>
        </w:num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lastRenderedPageBreak/>
        <w:t>Évolution de la réforme sectorielle et participation du CRJ, des responsables de volets ou des experts aux groupes de suivi de la réforme/de coordination des donateurs</w:t>
      </w:r>
    </w:p>
    <w:p w14:paraId="7F8DDE1F" w14:textId="77777777" w:rsidR="00832F98" w:rsidRPr="005107DF" w:rsidRDefault="00832F98" w:rsidP="00A92DE1">
      <w:pPr>
        <w:numPr>
          <w:ilvl w:val="0"/>
          <w:numId w:val="127"/>
        </w:num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Autres actions/initiatives en rapport avec l’objectif général et les objectifs spécifiques du projet et/ou les synergies/chevauchements avec les résultats obligatoires/produits définis pour le projet </w:t>
      </w:r>
    </w:p>
    <w:p w14:paraId="008F4B05" w14:textId="77777777" w:rsidR="00832F98" w:rsidRPr="005107DF" w:rsidRDefault="00832F98" w:rsidP="00A92DE1">
      <w:pPr>
        <w:numPr>
          <w:ilvl w:val="0"/>
          <w:numId w:val="127"/>
        </w:num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Quels sont les principaux développements intervenus dans le pays bénéficiaire pendant la période de référence dans le domaine de réforme concerné?</w:t>
      </w:r>
    </w:p>
    <w:p w14:paraId="143DA6C2"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1C330CD6"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Hypothèses du projet</w:t>
      </w:r>
    </w:p>
    <w:p w14:paraId="6D804119"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6C4E4BFC" w14:textId="77777777" w:rsidR="00832F98" w:rsidRPr="005107DF" w:rsidRDefault="00832F98" w:rsidP="00A92DE1">
      <w:pPr>
        <w:numPr>
          <w:ilvl w:val="0"/>
          <w:numId w:val="128"/>
        </w:num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Quelles sont les hypothèses initiales du projet qui ont été réalisées (article </w:t>
      </w:r>
      <w:r w:rsidRPr="00452C1A">
        <w:rPr>
          <w:rFonts w:ascii="Times New Roman" w:hAnsi="Times New Roman"/>
          <w:i/>
          <w:color w:val="000000"/>
          <w:sz w:val="24"/>
        </w:rPr>
        <w:t>2</w:t>
      </w:r>
      <w:r>
        <w:rPr>
          <w:rFonts w:ascii="Times New Roman" w:hAnsi="Times New Roman"/>
          <w:i/>
          <w:color w:val="000000"/>
          <w:sz w:val="24"/>
        </w:rPr>
        <w:t xml:space="preserve"> du plan de travail)? </w:t>
      </w:r>
    </w:p>
    <w:p w14:paraId="12C5FA5C" w14:textId="77777777" w:rsidR="00832F98" w:rsidRPr="005107DF" w:rsidRDefault="00832F98" w:rsidP="00A92DE1">
      <w:pPr>
        <w:numPr>
          <w:ilvl w:val="0"/>
          <w:numId w:val="129"/>
        </w:num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Quelles sont les hypothèses qui devraient se réaliser prochainement? </w:t>
      </w:r>
    </w:p>
    <w:p w14:paraId="50225FFB" w14:textId="77777777" w:rsidR="00832F98" w:rsidRPr="005107DF" w:rsidRDefault="00832F98" w:rsidP="00A92DE1">
      <w:pPr>
        <w:numPr>
          <w:ilvl w:val="0"/>
          <w:numId w:val="130"/>
        </w:num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Des événements rendant impossible la réalisation de certaines hypothèses sont-ils survenus? (en cas de réponse positive, une réorientation du projet s’impose)</w:t>
      </w:r>
    </w:p>
    <w:p w14:paraId="51C901BD"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27549C88"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u w:val="single"/>
        </w:rPr>
      </w:pPr>
      <w:r w:rsidRPr="00452C1A">
        <w:rPr>
          <w:rFonts w:ascii="Times New Roman" w:hAnsi="Times New Roman"/>
          <w:b/>
          <w:color w:val="000000"/>
          <w:sz w:val="24"/>
          <w:u w:val="single"/>
        </w:rPr>
        <w:t>2</w:t>
      </w:r>
      <w:r>
        <w:rPr>
          <w:rFonts w:ascii="Times New Roman" w:hAnsi="Times New Roman"/>
          <w:b/>
          <w:color w:val="000000"/>
          <w:sz w:val="24"/>
          <w:u w:val="single"/>
        </w:rPr>
        <w:t>B - OBTENTION DES RÉSULTATS OBLIGATOIRES/PRODUITS</w:t>
      </w:r>
    </w:p>
    <w:p w14:paraId="7405E452" w14:textId="77777777" w:rsidR="00832F98" w:rsidRPr="005107DF" w:rsidRDefault="00832F98" w:rsidP="00A92DE1">
      <w:pPr>
        <w:spacing w:after="0" w:line="240" w:lineRule="auto"/>
        <w:rPr>
          <w:rFonts w:ascii="Times New Roman" w:eastAsia="Times New Roman" w:hAnsi="Times New Roman" w:cs="Times New Roman"/>
          <w:i/>
          <w:color w:val="000000"/>
          <w:sz w:val="24"/>
          <w:szCs w:val="24"/>
        </w:rPr>
      </w:pPr>
    </w:p>
    <w:p w14:paraId="2115129B" w14:textId="77777777" w:rsidR="00832F98" w:rsidRPr="005107DF" w:rsidRDefault="00832F98" w:rsidP="00A92DE1">
      <w:pPr>
        <w:numPr>
          <w:ilvl w:val="0"/>
          <w:numId w:val="131"/>
        </w:numPr>
        <w:spacing w:after="0" w:line="240" w:lineRule="auto"/>
        <w:jc w:val="both"/>
        <w:rPr>
          <w:rFonts w:ascii="Times New Roman" w:eastAsia="Times New Roman" w:hAnsi="Times New Roman" w:cs="Times New Roman"/>
          <w:color w:val="000000"/>
          <w:sz w:val="24"/>
          <w:szCs w:val="24"/>
        </w:rPr>
      </w:pPr>
      <w:r>
        <w:rPr>
          <w:rFonts w:ascii="Times New Roman" w:hAnsi="Times New Roman"/>
          <w:i/>
          <w:color w:val="000000"/>
          <w:sz w:val="24"/>
        </w:rPr>
        <w:t>Énumérez tous les objectifs qui ont été atteints au cours de la période de référence pour chaque volet et indiquez les résultats obligatoires/produits qui ont été obtenus ou qui sont proches de l’être ainsi que les réalisations qui ont été ou devraient être directement influencées. La probabilité d’une influence indirecte sur l’impact doit également être évaluée. .</w:t>
      </w:r>
    </w:p>
    <w:p w14:paraId="40777EAE" w14:textId="77777777" w:rsidR="00832F98" w:rsidRPr="005107DF" w:rsidRDefault="00832F98" w:rsidP="007338F0">
      <w:pPr>
        <w:spacing w:after="0" w:line="240" w:lineRule="auto"/>
        <w:ind w:left="360"/>
        <w:jc w:val="both"/>
        <w:rPr>
          <w:rFonts w:ascii="Times New Roman" w:eastAsia="SimSun" w:hAnsi="Times New Roman" w:cs="Times New Roman"/>
          <w:color w:val="000000"/>
          <w:sz w:val="20"/>
          <w:szCs w:val="20"/>
        </w:rPr>
      </w:pPr>
      <w:bookmarkStart w:id="1424" w:name="_Toc131833047"/>
    </w:p>
    <w:p w14:paraId="43439FCB" w14:textId="77777777" w:rsidR="00832F98" w:rsidRPr="005107DF" w:rsidRDefault="00832F98" w:rsidP="007338F0">
      <w:pPr>
        <w:spacing w:after="0" w:line="240" w:lineRule="auto"/>
        <w:rPr>
          <w:rFonts w:ascii="Times New Roman" w:eastAsia="Times New Roman" w:hAnsi="Times New Roman" w:cs="Times New Roman"/>
          <w:b/>
          <w:color w:val="000000"/>
          <w:sz w:val="24"/>
          <w:szCs w:val="24"/>
        </w:rPr>
      </w:pPr>
      <w:bookmarkStart w:id="1425" w:name="_Toc442374551"/>
      <w:bookmarkStart w:id="1426" w:name="_Toc442375041"/>
      <w:bookmarkStart w:id="1427" w:name="_Toc443320363"/>
      <w:bookmarkStart w:id="1428" w:name="_Toc464460210"/>
      <w:bookmarkStart w:id="1429" w:name="_Toc476063560"/>
      <w:bookmarkStart w:id="1430" w:name="_Toc476068042"/>
      <w:r>
        <w:rPr>
          <w:rFonts w:ascii="Times New Roman" w:hAnsi="Times New Roman"/>
          <w:b/>
          <w:color w:val="000000"/>
          <w:sz w:val="24"/>
        </w:rPr>
        <w:t>Résultats atteints pour les différents volets</w:t>
      </w:r>
      <w:bookmarkEnd w:id="1424"/>
      <w:bookmarkEnd w:id="1425"/>
      <w:bookmarkEnd w:id="1426"/>
      <w:bookmarkEnd w:id="1427"/>
      <w:bookmarkEnd w:id="1428"/>
      <w:bookmarkEnd w:id="1429"/>
      <w:bookmarkEnd w:id="1430"/>
      <w:r>
        <w:rPr>
          <w:rFonts w:ascii="Times New Roman" w:hAnsi="Times New Roman"/>
          <w:b/>
          <w:color w:val="000000"/>
          <w:sz w:val="24"/>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08"/>
        <w:gridCol w:w="5400"/>
      </w:tblGrid>
      <w:tr w:rsidR="00832F98" w:rsidRPr="005107DF" w14:paraId="6A7C5EBE" w14:textId="77777777" w:rsidTr="00C143C7">
        <w:tc>
          <w:tcPr>
            <w:tcW w:w="3708" w:type="dxa"/>
            <w:tcBorders>
              <w:top w:val="single" w:sz="6" w:space="0" w:color="auto"/>
              <w:left w:val="single" w:sz="6" w:space="0" w:color="auto"/>
              <w:bottom w:val="single" w:sz="6" w:space="0" w:color="auto"/>
              <w:right w:val="single" w:sz="6" w:space="0" w:color="auto"/>
            </w:tcBorders>
            <w:shd w:val="clear" w:color="auto" w:fill="C0C0C0"/>
          </w:tcPr>
          <w:p w14:paraId="14560CA2" w14:textId="77777777" w:rsidR="00832F98" w:rsidRPr="005107DF" w:rsidRDefault="00832F98" w:rsidP="00A92DE1">
            <w:pPr>
              <w:tabs>
                <w:tab w:val="left" w:pos="2268"/>
              </w:tabs>
              <w:autoSpaceDE w:val="0"/>
              <w:autoSpaceDN w:val="0"/>
              <w:adjustRightInd w:val="0"/>
              <w:spacing w:before="240" w:after="60" w:line="240" w:lineRule="auto"/>
              <w:rPr>
                <w:rFonts w:ascii="Times New Roman" w:eastAsia="Times New Roman" w:hAnsi="Times New Roman" w:cs="Times New Roman"/>
                <w:sz w:val="20"/>
                <w:szCs w:val="20"/>
                <w:highlight w:val="yellow"/>
              </w:rPr>
            </w:pPr>
            <w:r>
              <w:rPr>
                <w:rFonts w:ascii="Times New Roman" w:hAnsi="Times New Roman"/>
                <w:sz w:val="20"/>
              </w:rPr>
              <w:t>Résultats et indicateurs de résultat (tels qu’inscrits dans le cadre logique)</w:t>
            </w:r>
          </w:p>
        </w:tc>
        <w:tc>
          <w:tcPr>
            <w:tcW w:w="5400" w:type="dxa"/>
            <w:tcBorders>
              <w:top w:val="single" w:sz="6" w:space="0" w:color="auto"/>
              <w:left w:val="single" w:sz="6" w:space="0" w:color="auto"/>
              <w:bottom w:val="single" w:sz="6" w:space="0" w:color="auto"/>
              <w:right w:val="single" w:sz="6" w:space="0" w:color="auto"/>
            </w:tcBorders>
            <w:shd w:val="clear" w:color="auto" w:fill="C0C0C0"/>
          </w:tcPr>
          <w:p w14:paraId="442F6D2E" w14:textId="77777777" w:rsidR="00832F98" w:rsidRPr="005107DF" w:rsidRDefault="00832F98" w:rsidP="00A92DE1">
            <w:pPr>
              <w:tabs>
                <w:tab w:val="left" w:pos="2268"/>
              </w:tabs>
              <w:autoSpaceDE w:val="0"/>
              <w:autoSpaceDN w:val="0"/>
              <w:adjustRightInd w:val="0"/>
              <w:spacing w:after="240" w:line="240" w:lineRule="auto"/>
              <w:jc w:val="both"/>
              <w:rPr>
                <w:rFonts w:ascii="Times New Roman" w:eastAsia="Times New Roman" w:hAnsi="Times New Roman" w:cs="Times New Roman"/>
                <w:b/>
                <w:bCs/>
                <w:sz w:val="20"/>
                <w:szCs w:val="20"/>
                <w:highlight w:val="yellow"/>
              </w:rPr>
            </w:pPr>
            <w:r>
              <w:rPr>
                <w:rFonts w:ascii="Times New Roman" w:hAnsi="Times New Roman"/>
                <w:b/>
                <w:sz w:val="20"/>
              </w:rPr>
              <w:t>État de réalisation/problèmes rencontrés</w:t>
            </w:r>
          </w:p>
        </w:tc>
      </w:tr>
      <w:tr w:rsidR="00832F98" w:rsidRPr="005107DF" w14:paraId="2BB31916" w14:textId="77777777" w:rsidTr="00C143C7">
        <w:tc>
          <w:tcPr>
            <w:tcW w:w="9108" w:type="dxa"/>
            <w:gridSpan w:val="2"/>
            <w:tcBorders>
              <w:top w:val="single" w:sz="6" w:space="0" w:color="auto"/>
              <w:left w:val="single" w:sz="6" w:space="0" w:color="auto"/>
              <w:bottom w:val="single" w:sz="6" w:space="0" w:color="auto"/>
              <w:right w:val="single" w:sz="6" w:space="0" w:color="auto"/>
            </w:tcBorders>
          </w:tcPr>
          <w:p w14:paraId="404B817B" w14:textId="77777777" w:rsidR="00832F98" w:rsidRPr="005107DF" w:rsidRDefault="00832F98" w:rsidP="00A92DE1">
            <w:pPr>
              <w:tabs>
                <w:tab w:val="left" w:pos="2268"/>
              </w:tabs>
              <w:autoSpaceDE w:val="0"/>
              <w:autoSpaceDN w:val="0"/>
              <w:adjustRightInd w:val="0"/>
              <w:spacing w:after="240" w:line="240" w:lineRule="auto"/>
              <w:jc w:val="both"/>
              <w:rPr>
                <w:rFonts w:ascii="Times New Roman" w:eastAsia="Times New Roman" w:hAnsi="Times New Roman" w:cs="Times New Roman"/>
                <w:sz w:val="20"/>
                <w:szCs w:val="20"/>
                <w:highlight w:val="yellow"/>
              </w:rPr>
            </w:pPr>
            <w:r>
              <w:rPr>
                <w:rFonts w:ascii="Times New Roman" w:hAnsi="Times New Roman"/>
                <w:b/>
                <w:sz w:val="20"/>
              </w:rPr>
              <w:t>Résultat </w:t>
            </w:r>
            <w:r w:rsidRPr="00452C1A">
              <w:rPr>
                <w:rFonts w:ascii="Times New Roman" w:hAnsi="Times New Roman"/>
                <w:b/>
                <w:sz w:val="20"/>
              </w:rPr>
              <w:t>1</w:t>
            </w:r>
            <w:r>
              <w:rPr>
                <w:rFonts w:ascii="Times New Roman" w:hAnsi="Times New Roman"/>
                <w:b/>
                <w:sz w:val="20"/>
              </w:rPr>
              <w:t xml:space="preserve"> (repris du cadre logique)</w:t>
            </w:r>
          </w:p>
        </w:tc>
      </w:tr>
      <w:tr w:rsidR="00832F98" w:rsidRPr="005107DF" w14:paraId="37F3A58F" w14:textId="77777777" w:rsidTr="00C143C7">
        <w:tc>
          <w:tcPr>
            <w:tcW w:w="3708" w:type="dxa"/>
            <w:tcBorders>
              <w:top w:val="single" w:sz="6" w:space="0" w:color="auto"/>
              <w:left w:val="single" w:sz="6" w:space="0" w:color="auto"/>
              <w:bottom w:val="single" w:sz="6" w:space="0" w:color="auto"/>
              <w:right w:val="single" w:sz="6" w:space="0" w:color="auto"/>
            </w:tcBorders>
          </w:tcPr>
          <w:p w14:paraId="10D62CD3" w14:textId="77777777" w:rsidR="00832F98" w:rsidRPr="005107DF" w:rsidRDefault="00832F98" w:rsidP="00A92DE1">
            <w:pPr>
              <w:tabs>
                <w:tab w:val="left" w:pos="2268"/>
              </w:tabs>
              <w:autoSpaceDE w:val="0"/>
              <w:autoSpaceDN w:val="0"/>
              <w:adjustRightInd w:val="0"/>
              <w:spacing w:after="240" w:line="240" w:lineRule="auto"/>
              <w:jc w:val="both"/>
              <w:rPr>
                <w:rFonts w:ascii="Times New Roman" w:eastAsia="Times New Roman" w:hAnsi="Times New Roman" w:cs="Times New Roman"/>
                <w:i/>
                <w:iCs/>
                <w:sz w:val="20"/>
                <w:szCs w:val="20"/>
                <w:highlight w:val="yellow"/>
              </w:rPr>
            </w:pPr>
            <w:r>
              <w:rPr>
                <w:rFonts w:ascii="Times New Roman" w:hAnsi="Times New Roman"/>
                <w:i/>
                <w:sz w:val="20"/>
              </w:rPr>
              <w:t>Indicateur de résultat (repris du cadre logique)</w:t>
            </w:r>
          </w:p>
        </w:tc>
        <w:tc>
          <w:tcPr>
            <w:tcW w:w="5400" w:type="dxa"/>
            <w:tcBorders>
              <w:top w:val="single" w:sz="6" w:space="0" w:color="auto"/>
              <w:left w:val="single" w:sz="6" w:space="0" w:color="auto"/>
              <w:bottom w:val="single" w:sz="6" w:space="0" w:color="auto"/>
              <w:right w:val="single" w:sz="6" w:space="0" w:color="auto"/>
            </w:tcBorders>
          </w:tcPr>
          <w:p w14:paraId="0382473D" w14:textId="77777777" w:rsidR="00832F98" w:rsidRPr="005107DF" w:rsidRDefault="00832F98" w:rsidP="00A92DE1">
            <w:pPr>
              <w:tabs>
                <w:tab w:val="left" w:pos="2268"/>
              </w:tabs>
              <w:autoSpaceDE w:val="0"/>
              <w:autoSpaceDN w:val="0"/>
              <w:adjustRightInd w:val="0"/>
              <w:spacing w:after="0" w:line="240" w:lineRule="auto"/>
              <w:rPr>
                <w:rFonts w:ascii="Times New Roman" w:eastAsia="Times New Roman" w:hAnsi="Times New Roman" w:cs="Times New Roman"/>
                <w:sz w:val="20"/>
                <w:szCs w:val="20"/>
                <w:highlight w:val="yellow"/>
              </w:rPr>
            </w:pPr>
          </w:p>
        </w:tc>
      </w:tr>
      <w:tr w:rsidR="00832F98" w:rsidRPr="005107DF" w14:paraId="7688B796" w14:textId="77777777" w:rsidTr="00C143C7">
        <w:tc>
          <w:tcPr>
            <w:tcW w:w="9108" w:type="dxa"/>
            <w:gridSpan w:val="2"/>
            <w:tcBorders>
              <w:top w:val="single" w:sz="6" w:space="0" w:color="auto"/>
              <w:left w:val="single" w:sz="6" w:space="0" w:color="auto"/>
              <w:bottom w:val="single" w:sz="6" w:space="0" w:color="auto"/>
              <w:right w:val="single" w:sz="6" w:space="0" w:color="auto"/>
            </w:tcBorders>
          </w:tcPr>
          <w:p w14:paraId="192333D8" w14:textId="77777777" w:rsidR="00832F98" w:rsidRPr="005107DF" w:rsidRDefault="00832F98" w:rsidP="00A92DE1">
            <w:pPr>
              <w:tabs>
                <w:tab w:val="left" w:pos="2268"/>
              </w:tabs>
              <w:autoSpaceDE w:val="0"/>
              <w:autoSpaceDN w:val="0"/>
              <w:adjustRightInd w:val="0"/>
              <w:spacing w:after="240" w:line="240" w:lineRule="auto"/>
              <w:jc w:val="both"/>
              <w:rPr>
                <w:rFonts w:ascii="Times New Roman" w:eastAsia="Times New Roman" w:hAnsi="Times New Roman" w:cs="Times New Roman"/>
                <w:sz w:val="20"/>
                <w:szCs w:val="20"/>
                <w:highlight w:val="yellow"/>
              </w:rPr>
            </w:pPr>
            <w:r>
              <w:rPr>
                <w:rFonts w:ascii="Times New Roman" w:hAnsi="Times New Roman"/>
                <w:b/>
                <w:sz w:val="20"/>
              </w:rPr>
              <w:t>Résultat</w:t>
            </w:r>
            <w:r>
              <w:t> </w:t>
            </w:r>
            <w:r w:rsidRPr="00452C1A">
              <w:rPr>
                <w:rFonts w:ascii="Times New Roman" w:hAnsi="Times New Roman"/>
                <w:b/>
                <w:sz w:val="24"/>
              </w:rPr>
              <w:t>2</w:t>
            </w:r>
            <w:r>
              <w:rPr>
                <w:rFonts w:ascii="Times New Roman" w:hAnsi="Times New Roman"/>
                <w:b/>
                <w:sz w:val="20"/>
              </w:rPr>
              <w:t xml:space="preserve"> (repris du cadre logique)</w:t>
            </w:r>
          </w:p>
        </w:tc>
      </w:tr>
      <w:tr w:rsidR="00832F98" w:rsidRPr="005107DF" w14:paraId="0ABA4B35" w14:textId="77777777" w:rsidTr="00C143C7">
        <w:tc>
          <w:tcPr>
            <w:tcW w:w="3708" w:type="dxa"/>
            <w:tcBorders>
              <w:top w:val="single" w:sz="6" w:space="0" w:color="auto"/>
              <w:left w:val="single" w:sz="6" w:space="0" w:color="auto"/>
              <w:bottom w:val="single" w:sz="6" w:space="0" w:color="auto"/>
              <w:right w:val="single" w:sz="6" w:space="0" w:color="auto"/>
            </w:tcBorders>
          </w:tcPr>
          <w:p w14:paraId="75F7F8B0" w14:textId="77777777" w:rsidR="00832F98" w:rsidRPr="005107DF" w:rsidRDefault="00832F98" w:rsidP="00A92DE1">
            <w:pPr>
              <w:tabs>
                <w:tab w:val="left" w:pos="2268"/>
              </w:tabs>
              <w:autoSpaceDE w:val="0"/>
              <w:autoSpaceDN w:val="0"/>
              <w:adjustRightInd w:val="0"/>
              <w:spacing w:after="240" w:line="240" w:lineRule="auto"/>
              <w:jc w:val="both"/>
              <w:rPr>
                <w:rFonts w:ascii="Times New Roman" w:eastAsia="Times New Roman" w:hAnsi="Times New Roman" w:cs="Times New Roman"/>
                <w:i/>
                <w:iCs/>
                <w:sz w:val="20"/>
                <w:szCs w:val="20"/>
                <w:highlight w:val="yellow"/>
              </w:rPr>
            </w:pPr>
            <w:r>
              <w:rPr>
                <w:rFonts w:ascii="Times New Roman" w:hAnsi="Times New Roman"/>
                <w:i/>
                <w:sz w:val="20"/>
              </w:rPr>
              <w:t>Indicateur de résultat (repris du cadre logique)</w:t>
            </w:r>
          </w:p>
        </w:tc>
        <w:tc>
          <w:tcPr>
            <w:tcW w:w="5400" w:type="dxa"/>
            <w:tcBorders>
              <w:top w:val="single" w:sz="6" w:space="0" w:color="auto"/>
              <w:left w:val="single" w:sz="6" w:space="0" w:color="auto"/>
              <w:bottom w:val="single" w:sz="6" w:space="0" w:color="auto"/>
              <w:right w:val="single" w:sz="6" w:space="0" w:color="auto"/>
            </w:tcBorders>
          </w:tcPr>
          <w:p w14:paraId="450C7A3D" w14:textId="77777777" w:rsidR="00832F98" w:rsidRPr="005107DF" w:rsidRDefault="00832F98" w:rsidP="00A92DE1">
            <w:pPr>
              <w:tabs>
                <w:tab w:val="left" w:pos="2268"/>
              </w:tabs>
              <w:autoSpaceDE w:val="0"/>
              <w:autoSpaceDN w:val="0"/>
              <w:adjustRightInd w:val="0"/>
              <w:spacing w:after="0" w:line="240" w:lineRule="auto"/>
              <w:rPr>
                <w:rFonts w:ascii="Times New Roman" w:eastAsia="Times New Roman" w:hAnsi="Times New Roman" w:cs="Times New Roman"/>
                <w:sz w:val="20"/>
                <w:szCs w:val="20"/>
                <w:highlight w:val="yellow"/>
              </w:rPr>
            </w:pPr>
          </w:p>
        </w:tc>
      </w:tr>
    </w:tbl>
    <w:p w14:paraId="27E3E9F3" w14:textId="77777777" w:rsidR="00832F98" w:rsidRPr="005107DF" w:rsidRDefault="00832F98" w:rsidP="00A92DE1">
      <w:pPr>
        <w:autoSpaceDE w:val="0"/>
        <w:autoSpaceDN w:val="0"/>
        <w:adjustRightInd w:val="0"/>
        <w:spacing w:after="0" w:line="240" w:lineRule="auto"/>
        <w:rPr>
          <w:rFonts w:ascii="Times New Roman" w:eastAsia="Times New Roman" w:hAnsi="Times New Roman" w:cs="Times New Roman"/>
          <w:color w:val="0000FF"/>
          <w:sz w:val="20"/>
          <w:szCs w:val="20"/>
        </w:rPr>
      </w:pPr>
    </w:p>
    <w:p w14:paraId="6D92E3DE"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p>
    <w:p w14:paraId="373CBEA0" w14:textId="776BCEE8" w:rsidR="00832F98" w:rsidRPr="005107DF" w:rsidRDefault="00832F98" w:rsidP="00A92DE1">
      <w:pPr>
        <w:spacing w:after="0" w:line="240" w:lineRule="auto"/>
        <w:rPr>
          <w:rFonts w:ascii="Times New Roman" w:eastAsia="Times New Roman" w:hAnsi="Times New Roman" w:cs="Times New Roman"/>
          <w:b/>
          <w:color w:val="000000"/>
          <w:sz w:val="24"/>
          <w:szCs w:val="24"/>
          <w:u w:val="single"/>
        </w:rPr>
      </w:pPr>
      <w:r w:rsidRPr="00452C1A">
        <w:rPr>
          <w:rFonts w:ascii="Times New Roman" w:hAnsi="Times New Roman"/>
          <w:b/>
          <w:color w:val="000000"/>
          <w:sz w:val="24"/>
          <w:u w:val="single"/>
        </w:rPr>
        <w:t>2</w:t>
      </w:r>
      <w:r w:rsidR="004A5792">
        <w:rPr>
          <w:rFonts w:ascii="Times New Roman" w:hAnsi="Times New Roman"/>
          <w:b/>
          <w:color w:val="000000"/>
          <w:sz w:val="24"/>
          <w:u w:val="single"/>
        </w:rPr>
        <w:t>C -</w:t>
      </w:r>
      <w:r>
        <w:rPr>
          <w:rFonts w:ascii="Times New Roman" w:hAnsi="Times New Roman"/>
          <w:b/>
          <w:color w:val="000000"/>
          <w:sz w:val="24"/>
          <w:u w:val="single"/>
        </w:rPr>
        <w:t xml:space="preserve"> ACTIVITÉS MENÉES DURANT LA PÉRIODE DE RÉFÉRENCE</w:t>
      </w:r>
    </w:p>
    <w:p w14:paraId="3069C715" w14:textId="77777777" w:rsidR="00832F98" w:rsidRPr="005107DF" w:rsidRDefault="00832F98" w:rsidP="00A92DE1">
      <w:pPr>
        <w:spacing w:after="0" w:line="240" w:lineRule="auto"/>
        <w:rPr>
          <w:rFonts w:ascii="Times New Roman" w:eastAsia="Times New Roman" w:hAnsi="Times New Roman" w:cs="Times New Roman"/>
          <w:i/>
          <w:color w:val="000000"/>
          <w:sz w:val="24"/>
          <w:szCs w:val="24"/>
        </w:rPr>
      </w:pPr>
    </w:p>
    <w:p w14:paraId="65074AFE" w14:textId="77777777" w:rsidR="00832F98" w:rsidRPr="005107DF" w:rsidRDefault="00832F98" w:rsidP="00A92DE1">
      <w:pPr>
        <w:numPr>
          <w:ilvl w:val="0"/>
          <w:numId w:val="248"/>
        </w:numPr>
        <w:spacing w:after="0" w:line="240" w:lineRule="auto"/>
        <w:rPr>
          <w:rFonts w:ascii="Times New Roman" w:eastAsia="Times New Roman" w:hAnsi="Times New Roman" w:cs="Times New Roman"/>
          <w:color w:val="000000"/>
          <w:sz w:val="24"/>
          <w:szCs w:val="24"/>
        </w:rPr>
      </w:pPr>
      <w:r>
        <w:rPr>
          <w:rFonts w:ascii="Times New Roman" w:hAnsi="Times New Roman"/>
          <w:i/>
          <w:color w:val="000000"/>
          <w:sz w:val="24"/>
        </w:rPr>
        <w:t>Énumérez, sous la rubrique budgétaire «Résultats obligatoires/produits», toutes les activités, volet par volet, qui ont été réalisées durant la période de référence dans l’ordre où elles figurent dans le plan de travail, en indiquant leur numéro de référence</w:t>
      </w:r>
      <w:r>
        <w:rPr>
          <w:rFonts w:ascii="Times New Roman" w:hAnsi="Times New Roman"/>
          <w:color w:val="000000"/>
          <w:sz w:val="24"/>
        </w:rPr>
        <w:t>.</w:t>
      </w:r>
    </w:p>
    <w:p w14:paraId="63D4CE5C" w14:textId="77777777" w:rsidR="00832F98" w:rsidRPr="005107DF" w:rsidRDefault="00832F98" w:rsidP="00A92DE1">
      <w:pPr>
        <w:numPr>
          <w:ilvl w:val="0"/>
          <w:numId w:val="248"/>
        </w:numPr>
        <w:spacing w:after="0" w:line="240" w:lineRule="auto"/>
        <w:contextualSpacing/>
        <w:rPr>
          <w:rFonts w:ascii="Times New Roman" w:eastAsia="Times New Roman" w:hAnsi="Times New Roman" w:cs="Times New Roman"/>
          <w:i/>
          <w:color w:val="000000"/>
          <w:sz w:val="24"/>
          <w:szCs w:val="24"/>
        </w:rPr>
      </w:pPr>
      <w:r>
        <w:rPr>
          <w:rFonts w:ascii="Times New Roman" w:hAnsi="Times New Roman"/>
          <w:i/>
          <w:color w:val="000000"/>
          <w:sz w:val="24"/>
        </w:rPr>
        <w:t>Sous la rubrique budgétaire «Coûts horizontaux», énumérez, pour chaque sous-rubrique, les activités qui ont été réalisées au cours de la période de référence, en particulier les activités de communication et de visibilité, les voyages d’étude, etc.</w:t>
      </w:r>
    </w:p>
    <w:p w14:paraId="75FD8253" w14:textId="77777777" w:rsidR="00832F98" w:rsidRPr="005107DF" w:rsidRDefault="00832F98" w:rsidP="00A92DE1">
      <w:pPr>
        <w:numPr>
          <w:ilvl w:val="0"/>
          <w:numId w:val="248"/>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Pour chaque activité, veuillez préciser les détails suivants:</w:t>
      </w:r>
    </w:p>
    <w:p w14:paraId="197DA15E" w14:textId="77777777" w:rsidR="00832F98" w:rsidRPr="005107DF" w:rsidRDefault="00832F98" w:rsidP="00A92DE1">
      <w:pPr>
        <w:numPr>
          <w:ilvl w:val="0"/>
          <w:numId w:val="247"/>
        </w:numPr>
        <w:spacing w:after="0" w:line="240" w:lineRule="auto"/>
        <w:contextualSpacing/>
        <w:rPr>
          <w:rFonts w:ascii="Times New Roman" w:eastAsia="Times New Roman" w:hAnsi="Times New Roman" w:cs="Times New Roman"/>
          <w:i/>
          <w:color w:val="000000"/>
          <w:sz w:val="24"/>
          <w:szCs w:val="24"/>
        </w:rPr>
      </w:pPr>
      <w:r>
        <w:rPr>
          <w:rFonts w:ascii="Times New Roman" w:hAnsi="Times New Roman"/>
          <w:i/>
          <w:color w:val="000000"/>
          <w:sz w:val="24"/>
        </w:rPr>
        <w:t>numéro de référence et intitulé de l’activité (tel qu’indiqué à l’article </w:t>
      </w:r>
      <w:r w:rsidRPr="00452C1A">
        <w:rPr>
          <w:rFonts w:ascii="Times New Roman" w:hAnsi="Times New Roman"/>
          <w:i/>
          <w:color w:val="000000"/>
          <w:sz w:val="24"/>
        </w:rPr>
        <w:t>3</w:t>
      </w:r>
      <w:r>
        <w:rPr>
          <w:rFonts w:ascii="Times New Roman" w:hAnsi="Times New Roman"/>
          <w:i/>
          <w:color w:val="000000"/>
          <w:sz w:val="24"/>
        </w:rPr>
        <w:t xml:space="preserve"> du plan de travail); </w:t>
      </w:r>
    </w:p>
    <w:p w14:paraId="03A44654" w14:textId="77777777" w:rsidR="00832F98" w:rsidRPr="005107DF" w:rsidRDefault="00832F98" w:rsidP="00A92DE1">
      <w:pPr>
        <w:numPr>
          <w:ilvl w:val="0"/>
          <w:numId w:val="247"/>
        </w:numPr>
        <w:spacing w:after="0" w:line="240" w:lineRule="auto"/>
        <w:contextualSpacing/>
        <w:rPr>
          <w:rFonts w:ascii="Times New Roman" w:eastAsia="Times New Roman" w:hAnsi="Times New Roman" w:cs="Times New Roman"/>
          <w:i/>
          <w:color w:val="000000"/>
          <w:sz w:val="24"/>
          <w:szCs w:val="24"/>
        </w:rPr>
      </w:pPr>
      <w:r>
        <w:rPr>
          <w:rFonts w:ascii="Times New Roman" w:hAnsi="Times New Roman"/>
          <w:i/>
          <w:color w:val="000000"/>
          <w:sz w:val="24"/>
        </w:rPr>
        <w:t xml:space="preserve">nom des experts de l’État membre qui ont réalisé l’activité; </w:t>
      </w:r>
    </w:p>
    <w:p w14:paraId="502ABA50" w14:textId="77777777" w:rsidR="00832F98" w:rsidRPr="005107DF" w:rsidRDefault="00832F98" w:rsidP="00A92DE1">
      <w:pPr>
        <w:numPr>
          <w:ilvl w:val="0"/>
          <w:numId w:val="247"/>
        </w:numPr>
        <w:spacing w:after="0" w:line="240" w:lineRule="auto"/>
        <w:contextualSpacing/>
        <w:rPr>
          <w:rFonts w:ascii="Times New Roman" w:eastAsia="Times New Roman" w:hAnsi="Times New Roman" w:cs="Times New Roman"/>
          <w:i/>
          <w:color w:val="000000"/>
          <w:sz w:val="24"/>
          <w:szCs w:val="24"/>
        </w:rPr>
      </w:pPr>
      <w:r>
        <w:rPr>
          <w:rFonts w:ascii="Times New Roman" w:hAnsi="Times New Roman"/>
          <w:i/>
          <w:color w:val="000000"/>
          <w:sz w:val="24"/>
        </w:rPr>
        <w:t xml:space="preserve">nombre d’experts du bénéficiaire qui ont participé et leur service d’origine;  </w:t>
      </w:r>
    </w:p>
    <w:p w14:paraId="123A78F0" w14:textId="77777777" w:rsidR="00832F98" w:rsidRPr="005107DF" w:rsidRDefault="00832F98" w:rsidP="00A92DE1">
      <w:pPr>
        <w:numPr>
          <w:ilvl w:val="0"/>
          <w:numId w:val="247"/>
        </w:numPr>
        <w:spacing w:after="0" w:line="240" w:lineRule="auto"/>
        <w:contextualSpacing/>
        <w:rPr>
          <w:rFonts w:ascii="Times New Roman" w:eastAsia="Times New Roman" w:hAnsi="Times New Roman" w:cs="Times New Roman"/>
          <w:i/>
          <w:color w:val="000000"/>
          <w:sz w:val="24"/>
          <w:szCs w:val="24"/>
        </w:rPr>
      </w:pPr>
      <w:r>
        <w:rPr>
          <w:rFonts w:ascii="Times New Roman" w:hAnsi="Times New Roman"/>
          <w:i/>
          <w:color w:val="000000"/>
          <w:sz w:val="24"/>
        </w:rPr>
        <w:t xml:space="preserve">durée de l’activité. </w:t>
      </w:r>
    </w:p>
    <w:p w14:paraId="683E5BE9" w14:textId="77777777" w:rsidR="00832F98" w:rsidRPr="005107DF" w:rsidRDefault="00832F98" w:rsidP="00A92DE1">
      <w:pPr>
        <w:spacing w:after="0" w:line="240" w:lineRule="auto"/>
        <w:rPr>
          <w:rFonts w:ascii="Times New Roman" w:eastAsia="Times New Roman" w:hAnsi="Times New Roman" w:cs="Times New Roman"/>
          <w:i/>
          <w:color w:val="000000"/>
          <w:sz w:val="24"/>
          <w:szCs w:val="24"/>
        </w:rPr>
      </w:pPr>
    </w:p>
    <w:p w14:paraId="3B58F9D9" w14:textId="442B9593" w:rsidR="00832F98" w:rsidRPr="005107DF" w:rsidRDefault="00832F98" w:rsidP="00A92DE1">
      <w:pPr>
        <w:spacing w:after="0" w:line="240" w:lineRule="auto"/>
        <w:rPr>
          <w:rFonts w:ascii="Times New Roman" w:eastAsia="Times New Roman" w:hAnsi="Times New Roman" w:cs="Times New Roman"/>
          <w:b/>
          <w:color w:val="000000"/>
          <w:sz w:val="24"/>
          <w:szCs w:val="24"/>
          <w:u w:val="single"/>
        </w:rPr>
      </w:pPr>
      <w:r w:rsidRPr="00452C1A">
        <w:rPr>
          <w:rFonts w:ascii="Times New Roman" w:hAnsi="Times New Roman"/>
          <w:b/>
          <w:color w:val="000000"/>
          <w:sz w:val="24"/>
          <w:u w:val="single"/>
        </w:rPr>
        <w:t>2</w:t>
      </w:r>
      <w:r w:rsidR="004A5792">
        <w:rPr>
          <w:rFonts w:ascii="Times New Roman" w:hAnsi="Times New Roman"/>
          <w:b/>
          <w:color w:val="000000"/>
          <w:sz w:val="24"/>
          <w:u w:val="single"/>
        </w:rPr>
        <w:t xml:space="preserve">D - </w:t>
      </w:r>
      <w:r>
        <w:rPr>
          <w:rFonts w:ascii="Times New Roman" w:hAnsi="Times New Roman"/>
          <w:b/>
          <w:color w:val="000000"/>
          <w:sz w:val="24"/>
          <w:u w:val="single"/>
        </w:rPr>
        <w:t>CALENDRIER ET RETARDS</w:t>
      </w:r>
    </w:p>
    <w:p w14:paraId="5F75CB81"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p>
    <w:p w14:paraId="450CED41"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Respect du calendrier</w:t>
      </w:r>
    </w:p>
    <w:p w14:paraId="1BF6A4D7" w14:textId="77777777" w:rsidR="00832F98" w:rsidRPr="005107DF" w:rsidRDefault="00832F98" w:rsidP="00A92DE1">
      <w:pPr>
        <w:spacing w:after="0" w:line="240" w:lineRule="auto"/>
        <w:rPr>
          <w:rFonts w:ascii="Times New Roman" w:eastAsia="Times New Roman" w:hAnsi="Times New Roman" w:cs="Times New Roman"/>
          <w:i/>
          <w:color w:val="000000"/>
          <w:sz w:val="24"/>
          <w:szCs w:val="24"/>
        </w:rPr>
      </w:pPr>
    </w:p>
    <w:p w14:paraId="601E97DB" w14:textId="77777777" w:rsidR="00832F98" w:rsidRPr="005107DF" w:rsidRDefault="00832F98" w:rsidP="007338F0">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Veuillez reproduire le calendrier établi à l’article </w:t>
      </w:r>
      <w:r w:rsidRPr="00452C1A">
        <w:rPr>
          <w:rFonts w:ascii="Times New Roman" w:hAnsi="Times New Roman"/>
          <w:i/>
          <w:color w:val="000000"/>
          <w:sz w:val="24"/>
        </w:rPr>
        <w:t>4</w:t>
      </w:r>
      <w:r>
        <w:rPr>
          <w:rFonts w:ascii="Times New Roman" w:hAnsi="Times New Roman"/>
          <w:i/>
          <w:color w:val="000000"/>
          <w:sz w:val="24"/>
        </w:rPr>
        <w:t xml:space="preserve"> du plan de travail et marquer d’une croix dans la case correspondante toutes les activités menées entre le début du projet et la fin de la période de référence,  afin d’offrir au lecteur une vision claire des retards enregistrés. </w:t>
      </w:r>
    </w:p>
    <w:p w14:paraId="10B49EE7" w14:textId="77777777" w:rsidR="00832F98" w:rsidRPr="005107DF" w:rsidRDefault="00832F98" w:rsidP="00A92DE1">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Signalez les activités ayant plus de trois mois de retard.</w:t>
      </w:r>
    </w:p>
    <w:p w14:paraId="7C40BE6F" w14:textId="77777777" w:rsidR="00832F98" w:rsidRPr="005107DF" w:rsidRDefault="00832F98" w:rsidP="00A92DE1">
      <w:pPr>
        <w:spacing w:after="0" w:line="240" w:lineRule="auto"/>
        <w:rPr>
          <w:rFonts w:ascii="Times New Roman" w:eastAsia="Times New Roman" w:hAnsi="Times New Roman" w:cs="Times New Roman"/>
          <w:color w:val="000000"/>
          <w:sz w:val="18"/>
          <w:szCs w:val="24"/>
        </w:rPr>
      </w:pPr>
    </w:p>
    <w:p w14:paraId="5AD6A335" w14:textId="77777777" w:rsidR="00832F98" w:rsidRPr="005107DF" w:rsidRDefault="00832F98" w:rsidP="00A92DE1">
      <w:pPr>
        <w:spacing w:after="0" w:line="240" w:lineRule="auto"/>
        <w:rPr>
          <w:rFonts w:ascii="Times New Roman" w:eastAsia="Times New Roman" w:hAnsi="Times New Roman" w:cs="Times New Roman"/>
          <w:b/>
          <w:color w:val="000000"/>
          <w:sz w:val="18"/>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567"/>
        <w:gridCol w:w="567"/>
        <w:gridCol w:w="567"/>
        <w:gridCol w:w="567"/>
        <w:gridCol w:w="567"/>
        <w:gridCol w:w="567"/>
        <w:gridCol w:w="567"/>
        <w:gridCol w:w="567"/>
        <w:gridCol w:w="567"/>
        <w:gridCol w:w="567"/>
        <w:gridCol w:w="567"/>
        <w:gridCol w:w="567"/>
      </w:tblGrid>
      <w:tr w:rsidR="00832F98" w:rsidRPr="005107DF" w14:paraId="2C09383A" w14:textId="77777777" w:rsidTr="007338F0">
        <w:tc>
          <w:tcPr>
            <w:tcW w:w="1985" w:type="dxa"/>
            <w:tcBorders>
              <w:top w:val="double" w:sz="4" w:space="0" w:color="auto"/>
              <w:left w:val="double" w:sz="4" w:space="0" w:color="auto"/>
              <w:bottom w:val="double" w:sz="4" w:space="0" w:color="auto"/>
              <w:right w:val="double" w:sz="4" w:space="0" w:color="auto"/>
            </w:tcBorders>
          </w:tcPr>
          <w:p w14:paraId="773FFDE5"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Mois du projet</w:t>
            </w:r>
          </w:p>
        </w:tc>
        <w:tc>
          <w:tcPr>
            <w:tcW w:w="567" w:type="dxa"/>
            <w:tcBorders>
              <w:top w:val="double" w:sz="4" w:space="0" w:color="auto"/>
              <w:left w:val="double" w:sz="4" w:space="0" w:color="auto"/>
              <w:bottom w:val="double" w:sz="4" w:space="0" w:color="auto"/>
              <w:right w:val="double" w:sz="4" w:space="0" w:color="auto"/>
            </w:tcBorders>
          </w:tcPr>
          <w:p w14:paraId="6CFC2BA1"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1</w:t>
            </w:r>
          </w:p>
        </w:tc>
        <w:tc>
          <w:tcPr>
            <w:tcW w:w="567" w:type="dxa"/>
            <w:tcBorders>
              <w:top w:val="double" w:sz="4" w:space="0" w:color="auto"/>
              <w:left w:val="double" w:sz="4" w:space="0" w:color="auto"/>
              <w:bottom w:val="double" w:sz="4" w:space="0" w:color="auto"/>
              <w:right w:val="double" w:sz="4" w:space="0" w:color="auto"/>
            </w:tcBorders>
          </w:tcPr>
          <w:p w14:paraId="2122BFFE"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2</w:t>
            </w:r>
          </w:p>
        </w:tc>
        <w:tc>
          <w:tcPr>
            <w:tcW w:w="567" w:type="dxa"/>
            <w:tcBorders>
              <w:top w:val="double" w:sz="4" w:space="0" w:color="auto"/>
              <w:left w:val="double" w:sz="4" w:space="0" w:color="auto"/>
              <w:bottom w:val="double" w:sz="4" w:space="0" w:color="auto"/>
              <w:right w:val="double" w:sz="4" w:space="0" w:color="auto"/>
            </w:tcBorders>
          </w:tcPr>
          <w:p w14:paraId="4D2C3A88"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3</w:t>
            </w:r>
          </w:p>
        </w:tc>
        <w:tc>
          <w:tcPr>
            <w:tcW w:w="567" w:type="dxa"/>
            <w:tcBorders>
              <w:top w:val="double" w:sz="4" w:space="0" w:color="auto"/>
              <w:left w:val="double" w:sz="4" w:space="0" w:color="auto"/>
              <w:bottom w:val="double" w:sz="4" w:space="0" w:color="auto"/>
              <w:right w:val="double" w:sz="4" w:space="0" w:color="auto"/>
            </w:tcBorders>
          </w:tcPr>
          <w:p w14:paraId="34CE4348"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4</w:t>
            </w:r>
          </w:p>
        </w:tc>
        <w:tc>
          <w:tcPr>
            <w:tcW w:w="567" w:type="dxa"/>
            <w:tcBorders>
              <w:top w:val="double" w:sz="4" w:space="0" w:color="auto"/>
              <w:left w:val="double" w:sz="4" w:space="0" w:color="auto"/>
              <w:bottom w:val="double" w:sz="4" w:space="0" w:color="auto"/>
              <w:right w:val="double" w:sz="4" w:space="0" w:color="auto"/>
            </w:tcBorders>
          </w:tcPr>
          <w:p w14:paraId="67F7ECC2"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5</w:t>
            </w:r>
          </w:p>
        </w:tc>
        <w:tc>
          <w:tcPr>
            <w:tcW w:w="567" w:type="dxa"/>
            <w:tcBorders>
              <w:top w:val="double" w:sz="4" w:space="0" w:color="auto"/>
              <w:left w:val="double" w:sz="4" w:space="0" w:color="auto"/>
              <w:bottom w:val="double" w:sz="4" w:space="0" w:color="auto"/>
              <w:right w:val="double" w:sz="4" w:space="0" w:color="auto"/>
            </w:tcBorders>
          </w:tcPr>
          <w:p w14:paraId="2D42B2E2"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6</w:t>
            </w:r>
          </w:p>
        </w:tc>
        <w:tc>
          <w:tcPr>
            <w:tcW w:w="567" w:type="dxa"/>
            <w:tcBorders>
              <w:top w:val="double" w:sz="4" w:space="0" w:color="auto"/>
              <w:left w:val="double" w:sz="4" w:space="0" w:color="auto"/>
              <w:bottom w:val="double" w:sz="4" w:space="0" w:color="auto"/>
              <w:right w:val="double" w:sz="4" w:space="0" w:color="auto"/>
            </w:tcBorders>
          </w:tcPr>
          <w:p w14:paraId="72D54ADC"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7</w:t>
            </w:r>
          </w:p>
        </w:tc>
        <w:tc>
          <w:tcPr>
            <w:tcW w:w="567" w:type="dxa"/>
            <w:tcBorders>
              <w:top w:val="double" w:sz="4" w:space="0" w:color="auto"/>
              <w:left w:val="double" w:sz="4" w:space="0" w:color="auto"/>
              <w:bottom w:val="double" w:sz="4" w:space="0" w:color="auto"/>
              <w:right w:val="double" w:sz="4" w:space="0" w:color="auto"/>
            </w:tcBorders>
          </w:tcPr>
          <w:p w14:paraId="7BA5D40D"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8</w:t>
            </w:r>
          </w:p>
        </w:tc>
        <w:tc>
          <w:tcPr>
            <w:tcW w:w="567" w:type="dxa"/>
            <w:tcBorders>
              <w:top w:val="double" w:sz="4" w:space="0" w:color="auto"/>
              <w:left w:val="double" w:sz="4" w:space="0" w:color="auto"/>
              <w:bottom w:val="double" w:sz="4" w:space="0" w:color="auto"/>
              <w:right w:val="double" w:sz="4" w:space="0" w:color="auto"/>
            </w:tcBorders>
          </w:tcPr>
          <w:p w14:paraId="23C4F9ED"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9</w:t>
            </w:r>
          </w:p>
        </w:tc>
        <w:tc>
          <w:tcPr>
            <w:tcW w:w="567" w:type="dxa"/>
            <w:tcBorders>
              <w:top w:val="double" w:sz="4" w:space="0" w:color="auto"/>
              <w:left w:val="double" w:sz="4" w:space="0" w:color="auto"/>
              <w:bottom w:val="double" w:sz="4" w:space="0" w:color="auto"/>
              <w:right w:val="double" w:sz="4" w:space="0" w:color="auto"/>
            </w:tcBorders>
          </w:tcPr>
          <w:p w14:paraId="56B4AEAC"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10</w:t>
            </w:r>
          </w:p>
        </w:tc>
        <w:tc>
          <w:tcPr>
            <w:tcW w:w="567" w:type="dxa"/>
            <w:tcBorders>
              <w:top w:val="double" w:sz="4" w:space="0" w:color="auto"/>
              <w:left w:val="double" w:sz="4" w:space="0" w:color="auto"/>
              <w:bottom w:val="double" w:sz="4" w:space="0" w:color="auto"/>
              <w:right w:val="double" w:sz="4" w:space="0" w:color="auto"/>
            </w:tcBorders>
          </w:tcPr>
          <w:p w14:paraId="6C9DD173"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11</w:t>
            </w:r>
          </w:p>
        </w:tc>
        <w:tc>
          <w:tcPr>
            <w:tcW w:w="567" w:type="dxa"/>
            <w:tcBorders>
              <w:top w:val="double" w:sz="4" w:space="0" w:color="auto"/>
              <w:left w:val="double" w:sz="4" w:space="0" w:color="auto"/>
              <w:bottom w:val="double" w:sz="4" w:space="0" w:color="auto"/>
              <w:right w:val="double" w:sz="4" w:space="0" w:color="auto"/>
            </w:tcBorders>
          </w:tcPr>
          <w:p w14:paraId="7D79283A"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12</w:t>
            </w:r>
          </w:p>
        </w:tc>
      </w:tr>
      <w:tr w:rsidR="00832F98" w:rsidRPr="005107DF" w14:paraId="49BE483C" w14:textId="77777777" w:rsidTr="007338F0">
        <w:trPr>
          <w:cantSplit/>
        </w:trPr>
        <w:tc>
          <w:tcPr>
            <w:tcW w:w="8789" w:type="dxa"/>
            <w:gridSpan w:val="13"/>
            <w:tcBorders>
              <w:top w:val="double" w:sz="4" w:space="0" w:color="auto"/>
              <w:bottom w:val="single" w:sz="4" w:space="0" w:color="auto"/>
            </w:tcBorders>
            <w:shd w:val="pct10" w:color="auto" w:fill="FFFFFF"/>
          </w:tcPr>
          <w:p w14:paraId="78BEC5FC"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CRJ et coûts connexes</w:t>
            </w:r>
          </w:p>
        </w:tc>
      </w:tr>
      <w:tr w:rsidR="00832F98" w:rsidRPr="005107DF" w14:paraId="4C27C3E2" w14:textId="77777777" w:rsidTr="007338F0">
        <w:trPr>
          <w:cantSplit/>
        </w:trPr>
        <w:tc>
          <w:tcPr>
            <w:tcW w:w="8789" w:type="dxa"/>
            <w:gridSpan w:val="13"/>
            <w:tcBorders>
              <w:top w:val="double" w:sz="4" w:space="0" w:color="auto"/>
              <w:bottom w:val="single" w:sz="4" w:space="0" w:color="auto"/>
            </w:tcBorders>
            <w:shd w:val="pct10" w:color="auto" w:fill="FFFFFF"/>
          </w:tcPr>
          <w:p w14:paraId="23E61105"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 xml:space="preserve">Coûts horizontaux </w:t>
            </w:r>
          </w:p>
        </w:tc>
      </w:tr>
      <w:tr w:rsidR="00832F98" w:rsidRPr="005107DF" w14:paraId="0DE440D4" w14:textId="77777777" w:rsidTr="007338F0">
        <w:trPr>
          <w:cantSplit/>
        </w:trPr>
        <w:tc>
          <w:tcPr>
            <w:tcW w:w="8789" w:type="dxa"/>
            <w:gridSpan w:val="13"/>
            <w:tcBorders>
              <w:top w:val="double" w:sz="4" w:space="0" w:color="auto"/>
              <w:bottom w:val="single" w:sz="4" w:space="0" w:color="auto"/>
            </w:tcBorders>
            <w:shd w:val="pct10" w:color="auto" w:fill="FFFFFF"/>
          </w:tcPr>
          <w:p w14:paraId="2C92917D"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Volet </w:t>
            </w:r>
            <w:r w:rsidRPr="00452C1A">
              <w:rPr>
                <w:rFonts w:ascii="Times New Roman" w:hAnsi="Times New Roman"/>
                <w:b/>
                <w:color w:val="000000"/>
                <w:sz w:val="24"/>
              </w:rPr>
              <w:t>1</w:t>
            </w:r>
            <w:r>
              <w:rPr>
                <w:rFonts w:ascii="Times New Roman" w:hAnsi="Times New Roman"/>
                <w:b/>
                <w:color w:val="000000"/>
                <w:sz w:val="24"/>
              </w:rPr>
              <w:t>-&gt;N</w:t>
            </w:r>
          </w:p>
        </w:tc>
      </w:tr>
      <w:tr w:rsidR="00832F98" w:rsidRPr="005107DF" w14:paraId="65CC0F0F" w14:textId="77777777" w:rsidTr="007338F0">
        <w:trPr>
          <w:cantSplit/>
        </w:trPr>
        <w:tc>
          <w:tcPr>
            <w:tcW w:w="1985" w:type="dxa"/>
            <w:shd w:val="pct10" w:color="auto" w:fill="FFFFFF"/>
          </w:tcPr>
          <w:p w14:paraId="0897C562"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 xml:space="preserve">Activité </w:t>
            </w:r>
            <w:r w:rsidRPr="00452C1A">
              <w:rPr>
                <w:rFonts w:ascii="Times New Roman" w:hAnsi="Times New Roman"/>
                <w:b/>
                <w:color w:val="000000"/>
                <w:sz w:val="24"/>
              </w:rPr>
              <w:t>1</w:t>
            </w:r>
            <w:r>
              <w:rPr>
                <w:rFonts w:ascii="Times New Roman" w:hAnsi="Times New Roman"/>
                <w:b/>
                <w:color w:val="000000"/>
                <w:sz w:val="24"/>
              </w:rPr>
              <w:t>.</w:t>
            </w:r>
            <w:r w:rsidRPr="00452C1A">
              <w:rPr>
                <w:rFonts w:ascii="Times New Roman" w:hAnsi="Times New Roman"/>
                <w:b/>
                <w:color w:val="000000"/>
                <w:sz w:val="24"/>
              </w:rPr>
              <w:t>1</w:t>
            </w:r>
          </w:p>
        </w:tc>
        <w:tc>
          <w:tcPr>
            <w:tcW w:w="567" w:type="dxa"/>
          </w:tcPr>
          <w:p w14:paraId="417BF534"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Borders>
              <w:bottom w:val="single" w:sz="4" w:space="0" w:color="auto"/>
            </w:tcBorders>
          </w:tcPr>
          <w:p w14:paraId="4B7A92FF"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386628F0"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423D5308"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Borders>
              <w:bottom w:val="single" w:sz="4" w:space="0" w:color="auto"/>
              <w:right w:val="triple" w:sz="4" w:space="0" w:color="auto"/>
            </w:tcBorders>
          </w:tcPr>
          <w:p w14:paraId="45A73D90"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Borders>
              <w:left w:val="nil"/>
            </w:tcBorders>
          </w:tcPr>
          <w:p w14:paraId="3BF1871E"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3BD96084"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1D5880E5"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67559BF8"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5A4D5D92"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650B9A21"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0924DA01"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r>
      <w:tr w:rsidR="00832F98" w:rsidRPr="005107DF" w14:paraId="6400D6D8" w14:textId="77777777" w:rsidTr="007338F0">
        <w:trPr>
          <w:cantSplit/>
          <w:trHeight w:val="265"/>
        </w:trPr>
        <w:tc>
          <w:tcPr>
            <w:tcW w:w="1985" w:type="dxa"/>
            <w:shd w:val="pct10" w:color="auto" w:fill="FFFFFF"/>
          </w:tcPr>
          <w:p w14:paraId="606AA337"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Activité </w:t>
            </w:r>
            <w:r w:rsidRPr="00452C1A">
              <w:rPr>
                <w:rFonts w:ascii="Times New Roman" w:hAnsi="Times New Roman"/>
                <w:b/>
                <w:color w:val="000000"/>
                <w:sz w:val="24"/>
              </w:rPr>
              <w:t>1</w:t>
            </w:r>
            <w:r>
              <w:rPr>
                <w:rFonts w:ascii="Times New Roman" w:hAnsi="Times New Roman"/>
                <w:b/>
                <w:color w:val="000000"/>
                <w:sz w:val="24"/>
              </w:rPr>
              <w:t>.N</w:t>
            </w:r>
          </w:p>
        </w:tc>
        <w:tc>
          <w:tcPr>
            <w:tcW w:w="567" w:type="dxa"/>
          </w:tcPr>
          <w:p w14:paraId="76045CFA"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206FE785"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0011A72C"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4046EBE5"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Borders>
              <w:top w:val="single" w:sz="4" w:space="0" w:color="auto"/>
              <w:bottom w:val="single" w:sz="4" w:space="0" w:color="auto"/>
              <w:right w:val="triple" w:sz="4" w:space="0" w:color="auto"/>
            </w:tcBorders>
          </w:tcPr>
          <w:p w14:paraId="7BD490C6"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Borders>
              <w:left w:val="nil"/>
            </w:tcBorders>
          </w:tcPr>
          <w:p w14:paraId="24C2E894"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646137ED"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00AB67DA"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4ABBC720"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20D2E18F"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5523DC1A"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5BBFB147"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r>
    </w:tbl>
    <w:p w14:paraId="0F3F0572"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GB" w:eastAsia="en-GB" w:bidi="ar-SA"/>
        </w:rPr>
        <mc:AlternateContent>
          <mc:Choice Requires="wps">
            <w:drawing>
              <wp:anchor distT="0" distB="0" distL="114300" distR="114300" simplePos="0" relativeHeight="251660288" behindDoc="0" locked="0" layoutInCell="0" allowOverlap="1" wp14:anchorId="6F2C1BD8" wp14:editId="0A3517B8">
                <wp:simplePos x="0" y="0"/>
                <wp:positionH relativeFrom="column">
                  <wp:posOffset>0</wp:posOffset>
                </wp:positionH>
                <wp:positionV relativeFrom="paragraph">
                  <wp:posOffset>156210</wp:posOffset>
                </wp:positionV>
                <wp:extent cx="457200" cy="182880"/>
                <wp:effectExtent l="6985" t="5715" r="12065"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EEA44" id="Rectangle 4" o:spid="_x0000_s1026" style="position:absolute;margin-left:0;margin-top:12.3pt;width:36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" o:allowincell="f" fillcolor="silver"/>
            </w:pict>
          </mc:Fallback>
        </mc:AlternateContent>
      </w:r>
    </w:p>
    <w:p w14:paraId="7FC0AC3E"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r>
        <w:tab/>
      </w:r>
      <w:r>
        <w:tab/>
      </w:r>
      <w:r>
        <w:rPr>
          <w:rFonts w:ascii="Times New Roman" w:hAnsi="Times New Roman"/>
          <w:color w:val="000000"/>
          <w:sz w:val="24"/>
        </w:rPr>
        <w:t>Activité/action planifiée</w:t>
      </w:r>
    </w:p>
    <w:p w14:paraId="1D9CD1D1"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GB" w:eastAsia="en-GB" w:bidi="ar-SA"/>
        </w:rPr>
        <mc:AlternateContent>
          <mc:Choice Requires="wps">
            <w:drawing>
              <wp:anchor distT="0" distB="0" distL="114300" distR="114300" simplePos="0" relativeHeight="251661312" behindDoc="0" locked="0" layoutInCell="0" allowOverlap="1" wp14:anchorId="31DBB733" wp14:editId="550FF2B2">
                <wp:simplePos x="0" y="0"/>
                <wp:positionH relativeFrom="column">
                  <wp:posOffset>0</wp:posOffset>
                </wp:positionH>
                <wp:positionV relativeFrom="paragraph">
                  <wp:posOffset>34290</wp:posOffset>
                </wp:positionV>
                <wp:extent cx="457200" cy="182880"/>
                <wp:effectExtent l="6985" t="5715" r="12065" b="1143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0C12D" id="Rectangle 3" o:spid="_x0000_s1026" style="position:absolute;margin-left:0;margin-top:2.7pt;width:36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" o:allowincell="f" filled="f" fillcolor="silver"/>
            </w:pict>
          </mc:Fallback>
        </mc:AlternateContent>
      </w:r>
      <w:r>
        <w:rPr>
          <w:rFonts w:ascii="Times New Roman" w:hAnsi="Times New Roman"/>
          <w:color w:val="000000"/>
          <w:sz w:val="24"/>
        </w:rPr>
        <w:t xml:space="preserve">    </w:t>
      </w:r>
      <w:r>
        <w:rPr>
          <w:rFonts w:ascii="Times New Roman" w:hAnsi="Times New Roman"/>
          <w:b/>
          <w:color w:val="000000"/>
          <w:sz w:val="24"/>
        </w:rPr>
        <w:t>X</w:t>
      </w:r>
      <w:r>
        <w:tab/>
      </w:r>
      <w:r>
        <w:tab/>
      </w:r>
      <w:r>
        <w:rPr>
          <w:rFonts w:ascii="Times New Roman" w:hAnsi="Times New Roman"/>
          <w:color w:val="000000"/>
          <w:sz w:val="24"/>
        </w:rPr>
        <w:t>Activité/action réalisée</w:t>
      </w:r>
    </w:p>
    <w:p w14:paraId="242A0C2E" w14:textId="77777777" w:rsidR="00832F98" w:rsidRPr="005107DF" w:rsidRDefault="00832F98" w:rsidP="00A92DE1">
      <w:pPr>
        <w:tabs>
          <w:tab w:val="center" w:pos="4153"/>
          <w:tab w:val="right" w:pos="8306"/>
        </w:tabs>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noProof/>
          <w:color w:val="000000"/>
          <w:sz w:val="24"/>
          <w:szCs w:val="20"/>
          <w:lang w:val="en-GB" w:eastAsia="en-GB" w:bidi="ar-SA"/>
        </w:rPr>
        <mc:AlternateContent>
          <mc:Choice Requires="wps">
            <w:drawing>
              <wp:anchor distT="0" distB="0" distL="114300" distR="114300" simplePos="0" relativeHeight="251662336" behindDoc="0" locked="0" layoutInCell="0" allowOverlap="1" wp14:anchorId="5FDE8854" wp14:editId="7720ED68">
                <wp:simplePos x="0" y="0"/>
                <wp:positionH relativeFrom="column">
                  <wp:posOffset>0</wp:posOffset>
                </wp:positionH>
                <wp:positionV relativeFrom="paragraph">
                  <wp:posOffset>87630</wp:posOffset>
                </wp:positionV>
                <wp:extent cx="457200" cy="175260"/>
                <wp:effectExtent l="6985" t="5715" r="12065" b="95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52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75AFB" id="Rectangle 14" o:spid="_x0000_s1026" style="position:absolute;margin-left:0;margin-top:6.9pt;width:36pt;height:1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" o:allowincell="f" fillcolor="black"/>
            </w:pict>
          </mc:Fallback>
        </mc:AlternateContent>
      </w:r>
      <w:r>
        <w:tab/>
      </w:r>
      <w:r>
        <w:tab/>
      </w:r>
      <w:r>
        <w:rPr>
          <w:rFonts w:ascii="Times New Roman" w:hAnsi="Times New Roman"/>
          <w:color w:val="000000"/>
          <w:sz w:val="24"/>
        </w:rPr>
        <w:t>Activité/action en retard de plus de trois mois</w:t>
      </w:r>
    </w:p>
    <w:p w14:paraId="7C21FE99" w14:textId="77777777" w:rsidR="00832F98" w:rsidRPr="005107DF" w:rsidRDefault="00832F98" w:rsidP="00A92DE1">
      <w:pPr>
        <w:tabs>
          <w:tab w:val="center" w:pos="4153"/>
          <w:tab w:val="right" w:pos="8306"/>
        </w:tabs>
        <w:spacing w:after="0" w:line="240" w:lineRule="auto"/>
        <w:jc w:val="both"/>
        <w:rPr>
          <w:rFonts w:ascii="Times New Roman" w:eastAsia="Times New Roman" w:hAnsi="Times New Roman" w:cs="Times New Roman"/>
          <w:color w:val="000000"/>
          <w:sz w:val="24"/>
          <w:szCs w:val="20"/>
        </w:rPr>
      </w:pPr>
    </w:p>
    <w:p w14:paraId="3F313522"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u w:val="single"/>
        </w:rPr>
      </w:pPr>
    </w:p>
    <w:p w14:paraId="5DD03570"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Récupération des retards</w:t>
      </w:r>
    </w:p>
    <w:p w14:paraId="179EEC98"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u w:val="single"/>
        </w:rPr>
      </w:pPr>
    </w:p>
    <w:p w14:paraId="46E75411" w14:textId="77777777" w:rsidR="00832F98" w:rsidRPr="005107DF" w:rsidRDefault="00832F98" w:rsidP="00A92DE1">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Pour toutes les activités ayant accumulé un retard de plus de trois mois, veuillez justifier ce retard et préciser quand ces activités auront lieu.</w:t>
      </w:r>
    </w:p>
    <w:p w14:paraId="3390E9A4" w14:textId="77777777" w:rsidR="00832F98" w:rsidRPr="005107DF" w:rsidRDefault="00832F98" w:rsidP="00A92DE1">
      <w:pPr>
        <w:tabs>
          <w:tab w:val="center" w:pos="4153"/>
          <w:tab w:val="right" w:pos="8306"/>
        </w:tabs>
        <w:spacing w:after="0" w:line="240" w:lineRule="auto"/>
        <w:jc w:val="both"/>
        <w:rPr>
          <w:rFonts w:ascii="Times New Roman" w:eastAsia="Times New Roman" w:hAnsi="Times New Roman" w:cs="Times New Roman"/>
          <w:color w:val="000000"/>
          <w:sz w:val="24"/>
          <w:szCs w:val="20"/>
        </w:rPr>
      </w:pPr>
    </w:p>
    <w:p w14:paraId="59600DC5" w14:textId="60D32A2D" w:rsidR="00832F98" w:rsidRPr="005107DF" w:rsidRDefault="00832F98" w:rsidP="00A92DE1">
      <w:pPr>
        <w:spacing w:after="0" w:line="240" w:lineRule="auto"/>
        <w:rPr>
          <w:rFonts w:ascii="Times New Roman" w:eastAsia="Times New Roman" w:hAnsi="Times New Roman" w:cs="Times New Roman"/>
          <w:b/>
          <w:color w:val="000000"/>
          <w:sz w:val="24"/>
          <w:szCs w:val="24"/>
          <w:u w:val="single"/>
        </w:rPr>
      </w:pPr>
      <w:r w:rsidRPr="00452C1A">
        <w:rPr>
          <w:rFonts w:ascii="Times New Roman" w:hAnsi="Times New Roman"/>
          <w:b/>
          <w:color w:val="000000"/>
          <w:sz w:val="24"/>
          <w:u w:val="single"/>
        </w:rPr>
        <w:t>2</w:t>
      </w:r>
      <w:r w:rsidR="004A5792" w:rsidRPr="004A5792">
        <w:rPr>
          <w:rFonts w:ascii="Times New Roman" w:hAnsi="Times New Roman"/>
          <w:b/>
          <w:color w:val="000000"/>
          <w:sz w:val="24"/>
          <w:u w:val="single"/>
          <w:vertAlign w:val="superscript"/>
        </w:rPr>
        <w:t>E</w:t>
      </w:r>
      <w:r w:rsidR="004A5792">
        <w:rPr>
          <w:rFonts w:ascii="Times New Roman" w:hAnsi="Times New Roman"/>
          <w:b/>
          <w:color w:val="000000"/>
          <w:sz w:val="24"/>
          <w:u w:val="single"/>
        </w:rPr>
        <w:t xml:space="preserve"> - </w:t>
      </w:r>
      <w:r>
        <w:rPr>
          <w:rFonts w:ascii="Times New Roman" w:hAnsi="Times New Roman"/>
          <w:b/>
          <w:color w:val="000000"/>
          <w:sz w:val="24"/>
          <w:u w:val="single"/>
        </w:rPr>
        <w:t xml:space="preserve">ÉVALUATION </w:t>
      </w:r>
    </w:p>
    <w:p w14:paraId="54FD2C8F"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p>
    <w:p w14:paraId="0FA35CAB"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Évaluation globale de l’état d’avancement du projet</w:t>
      </w:r>
    </w:p>
    <w:p w14:paraId="0926C31F"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u w:val="single"/>
        </w:rPr>
      </w:pPr>
    </w:p>
    <w:p w14:paraId="2F183C2D" w14:textId="77777777" w:rsidR="00832F98" w:rsidRPr="005107DF" w:rsidRDefault="00832F98" w:rsidP="00A92DE1">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 xml:space="preserve">Évaluation globale des progrès réalisés au cours de la période de référence. </w:t>
      </w:r>
    </w:p>
    <w:p w14:paraId="4FC961DD"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7BBC3B1D"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 xml:space="preserve">Divers </w:t>
      </w:r>
    </w:p>
    <w:p w14:paraId="7F34D3F2"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u w:val="single"/>
        </w:rPr>
      </w:pPr>
    </w:p>
    <w:p w14:paraId="28B3FA67" w14:textId="77777777" w:rsidR="00832F98" w:rsidRPr="005107DF" w:rsidRDefault="00832F98" w:rsidP="00A92DE1">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Indiquez les problèmes particuliers (s’il y a lieu) survenus dans le cadre de la gestion du projet ou de la coopération entre les acteurs concernés et les moyens de les résoudre et d’accroître le rayonnement du projet.</w:t>
      </w:r>
    </w:p>
    <w:p w14:paraId="1B9A1544"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012E8F00" w14:textId="77777777" w:rsidR="00832F98" w:rsidRPr="005107DF" w:rsidRDefault="00832F98"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rPr>
      </w:pPr>
    </w:p>
    <w:p w14:paraId="72309670" w14:textId="77777777" w:rsidR="00832F98" w:rsidRPr="005107DF" w:rsidRDefault="00832F98"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rPr>
      </w:pPr>
      <w:r>
        <w:rPr>
          <w:rFonts w:ascii="Times New Roman" w:hAnsi="Times New Roman"/>
          <w:b/>
          <w:color w:val="000000"/>
          <w:sz w:val="28"/>
        </w:rPr>
        <w:t xml:space="preserve">Section </w:t>
      </w:r>
      <w:r w:rsidRPr="00452C1A">
        <w:rPr>
          <w:rFonts w:ascii="Times New Roman" w:hAnsi="Times New Roman"/>
          <w:b/>
          <w:color w:val="000000"/>
          <w:sz w:val="28"/>
        </w:rPr>
        <w:t>3</w:t>
      </w:r>
      <w:r>
        <w:rPr>
          <w:rFonts w:ascii="Times New Roman" w:hAnsi="Times New Roman"/>
          <w:b/>
          <w:color w:val="000000"/>
          <w:sz w:val="28"/>
        </w:rPr>
        <w:t>: Dépenses</w:t>
      </w:r>
    </w:p>
    <w:p w14:paraId="4D0843AB" w14:textId="77777777" w:rsidR="00832F98" w:rsidRPr="005107DF" w:rsidRDefault="00832F98" w:rsidP="00A92DE1">
      <w:pPr>
        <w:tabs>
          <w:tab w:val="center" w:pos="4153"/>
          <w:tab w:val="right" w:pos="8306"/>
        </w:tabs>
        <w:spacing w:after="0" w:line="240" w:lineRule="auto"/>
        <w:jc w:val="both"/>
        <w:rPr>
          <w:rFonts w:ascii="Times New Roman" w:eastAsia="Times New Roman" w:hAnsi="Times New Roman" w:cs="Times New Roman"/>
          <w:color w:val="000000"/>
          <w:sz w:val="24"/>
          <w:szCs w:val="20"/>
        </w:rPr>
      </w:pPr>
    </w:p>
    <w:p w14:paraId="5118DB99" w14:textId="77777777" w:rsidR="00832F98" w:rsidRPr="005107DF" w:rsidRDefault="00832F98" w:rsidP="00A92DE1">
      <w:pPr>
        <w:rPr>
          <w:rFonts w:ascii="Times New Roman" w:hAnsi="Times New Roman" w:cs="Times New Roman"/>
        </w:rPr>
      </w:pPr>
      <w:r>
        <w:rPr>
          <w:rFonts w:ascii="Times New Roman" w:hAnsi="Times New Roman"/>
          <w:color w:val="000000"/>
          <w:sz w:val="24"/>
        </w:rPr>
        <w:t>Indiquez les montants totaux décaissés au cours de la période de référence, en les ventilant par rubrique budgétaire et, à l’intérieur de chaque rubrique, par principale catégorie de coûts - conformément à l’annexe A</w:t>
      </w:r>
      <w:r w:rsidRPr="00452C1A">
        <w:rPr>
          <w:rFonts w:ascii="Times New Roman" w:hAnsi="Times New Roman"/>
          <w:color w:val="000000"/>
          <w:sz w:val="24"/>
        </w:rPr>
        <w:t>3</w:t>
      </w:r>
      <w:r>
        <w:rPr>
          <w:rFonts w:ascii="Times New Roman" w:hAnsi="Times New Roman"/>
          <w:color w:val="000000"/>
          <w:sz w:val="24"/>
        </w:rPr>
        <w:t xml:space="preserve"> du contrat de subvention de jumelage.</w:t>
      </w:r>
    </w:p>
    <w:p w14:paraId="41AD6CAD" w14:textId="77777777" w:rsidR="00832F98" w:rsidRPr="005107DF" w:rsidRDefault="00832F98">
      <w:pPr>
        <w:rPr>
          <w:rFonts w:ascii="Times New Roman" w:eastAsia="Times New Roman" w:hAnsi="Times New Roman" w:cs="Times New Roman"/>
          <w:szCs w:val="20"/>
        </w:rPr>
      </w:pPr>
      <w:r>
        <w:br w:type="page"/>
      </w:r>
    </w:p>
    <w:p w14:paraId="352EF87F"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431" w:name="_Toc442374552"/>
      <w:bookmarkStart w:id="1432" w:name="_Toc442375042"/>
      <w:bookmarkStart w:id="1433" w:name="_Toc443320364"/>
      <w:bookmarkStart w:id="1434" w:name="_Toc464460211"/>
      <w:bookmarkStart w:id="1435" w:name="_Toc476063561"/>
      <w:bookmarkStart w:id="1436" w:name="_Toc476068043"/>
      <w:bookmarkStart w:id="1437" w:name="_Toc517434481"/>
      <w:bookmarkStart w:id="1438" w:name="_Toc2861048"/>
      <w:r>
        <w:rPr>
          <w:sz w:val="32"/>
        </w:rPr>
        <w:lastRenderedPageBreak/>
        <w:t>ANNEXE C</w:t>
      </w:r>
      <w:r w:rsidRPr="00452C1A">
        <w:rPr>
          <w:sz w:val="32"/>
        </w:rPr>
        <w:t>5</w:t>
      </w:r>
      <w:r>
        <w:rPr>
          <w:sz w:val="32"/>
        </w:rPr>
        <w:t>: Rapport de jumelage final</w:t>
      </w:r>
      <w:bookmarkEnd w:id="1431"/>
      <w:bookmarkEnd w:id="1432"/>
      <w:bookmarkEnd w:id="1433"/>
      <w:bookmarkEnd w:id="1434"/>
      <w:bookmarkEnd w:id="1435"/>
      <w:bookmarkEnd w:id="1436"/>
      <w:bookmarkEnd w:id="1437"/>
      <w:bookmarkEnd w:id="1438"/>
    </w:p>
    <w:p w14:paraId="65FFFD32" w14:textId="77777777" w:rsidR="00832F98" w:rsidRPr="005107DF" w:rsidRDefault="00832F98" w:rsidP="00A92DE1">
      <w:pPr>
        <w:spacing w:after="0" w:line="240" w:lineRule="auto"/>
        <w:rPr>
          <w:rFonts w:ascii="Times New Roman" w:eastAsia="Times New Roman" w:hAnsi="Times New Roman" w:cs="Times New Roman"/>
          <w:sz w:val="2"/>
          <w:szCs w:val="2"/>
        </w:rPr>
      </w:pPr>
    </w:p>
    <w:p w14:paraId="28A157EF" w14:textId="77777777" w:rsidR="00832F98" w:rsidRPr="005107DF" w:rsidRDefault="00832F98" w:rsidP="00A92DE1">
      <w:pPr>
        <w:shd w:val="clear" w:color="FF0000" w:fill="auto"/>
        <w:spacing w:after="0" w:line="240" w:lineRule="auto"/>
        <w:jc w:val="center"/>
        <w:outlineLvl w:val="0"/>
        <w:rPr>
          <w:rFonts w:ascii="Times New Roman" w:eastAsia="Times New Roman" w:hAnsi="Times New Roman" w:cs="Times New Roman"/>
          <w:sz w:val="24"/>
          <w:szCs w:val="24"/>
        </w:rPr>
      </w:pPr>
    </w:p>
    <w:p w14:paraId="50B72D76" w14:textId="77777777" w:rsidR="00832F98" w:rsidRPr="005107DF" w:rsidRDefault="00832F98" w:rsidP="007338F0">
      <w:pPr>
        <w:jc w:val="center"/>
        <w:rPr>
          <w:rFonts w:ascii="Times New Roman" w:hAnsi="Times New Roman" w:cs="Times New Roman"/>
        </w:rPr>
      </w:pPr>
      <w:r>
        <w:rPr>
          <w:rFonts w:ascii="Times New Roman" w:hAnsi="Times New Roman" w:cs="Times New Roman"/>
          <w:noProof/>
          <w:lang w:val="en-GB" w:eastAsia="en-GB" w:bidi="ar-SA"/>
        </w:rPr>
        <w:drawing>
          <wp:inline distT="0" distB="0" distL="0" distR="0" wp14:anchorId="4540A864" wp14:editId="5C88D6AC">
            <wp:extent cx="1333500" cy="914400"/>
            <wp:effectExtent l="19050" t="19050" r="19050" b="19050"/>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solidFill>
                      <a:srgbClr val="FFFFFF"/>
                    </a:solidFill>
                    <a:ln w="6350" cmpd="sng">
                      <a:solidFill>
                        <a:srgbClr val="FFFFFF"/>
                      </a:solidFill>
                      <a:miter lim="800000"/>
                      <a:headEnd/>
                      <a:tailEnd/>
                    </a:ln>
                    <a:effectLst/>
                  </pic:spPr>
                </pic:pic>
              </a:graphicData>
            </a:graphic>
          </wp:inline>
        </w:drawing>
      </w:r>
    </w:p>
    <w:p w14:paraId="1E57E634" w14:textId="77777777" w:rsidR="00832F98" w:rsidRPr="005107DF" w:rsidRDefault="00832F98" w:rsidP="007338F0">
      <w:pPr>
        <w:jc w:val="center"/>
        <w:rPr>
          <w:rFonts w:ascii="Times New Roman" w:hAnsi="Times New Roman" w:cs="Times New Roman"/>
          <w:sz w:val="28"/>
          <w:szCs w:val="28"/>
        </w:rPr>
      </w:pPr>
    </w:p>
    <w:p w14:paraId="2D2726AB" w14:textId="77777777" w:rsidR="00832F98" w:rsidRPr="005107DF" w:rsidRDefault="00832F98" w:rsidP="007338F0">
      <w:pPr>
        <w:jc w:val="center"/>
        <w:rPr>
          <w:rFonts w:ascii="Times New Roman" w:hAnsi="Times New Roman" w:cs="Times New Roman"/>
          <w:sz w:val="28"/>
          <w:szCs w:val="28"/>
        </w:rPr>
      </w:pPr>
      <w:bookmarkStart w:id="1439" w:name="_Toc442374555"/>
      <w:bookmarkStart w:id="1440" w:name="_Toc442375045"/>
      <w:bookmarkStart w:id="1441" w:name="_Toc443320367"/>
      <w:bookmarkStart w:id="1442" w:name="_Toc464460214"/>
      <w:bookmarkStart w:id="1443" w:name="_Toc476063564"/>
      <w:bookmarkStart w:id="1444" w:name="_Toc476068046"/>
      <w:r>
        <w:rPr>
          <w:rFonts w:ascii="Times New Roman" w:hAnsi="Times New Roman"/>
          <w:sz w:val="28"/>
        </w:rPr>
        <w:t>COMMISSION EUROPÉENNE</w:t>
      </w:r>
      <w:bookmarkEnd w:id="1439"/>
      <w:bookmarkEnd w:id="1440"/>
      <w:bookmarkEnd w:id="1441"/>
      <w:bookmarkEnd w:id="1442"/>
      <w:bookmarkEnd w:id="1443"/>
      <w:bookmarkEnd w:id="1444"/>
    </w:p>
    <w:p w14:paraId="5203366D" w14:textId="77777777" w:rsidR="00832F98" w:rsidRPr="005107DF" w:rsidRDefault="00832F98" w:rsidP="00A92DE1">
      <w:pPr>
        <w:spacing w:after="0" w:line="240" w:lineRule="auto"/>
        <w:jc w:val="center"/>
        <w:outlineLvl w:val="0"/>
        <w:rPr>
          <w:rFonts w:ascii="Times New Roman" w:eastAsia="Times New Roman" w:hAnsi="Times New Roman" w:cs="Times New Roman"/>
          <w:sz w:val="24"/>
          <w:szCs w:val="24"/>
        </w:rPr>
      </w:pPr>
    </w:p>
    <w:p w14:paraId="604BD84D" w14:textId="77777777" w:rsidR="00832F98" w:rsidRPr="005107DF" w:rsidRDefault="00832F98"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rPr>
      </w:pPr>
      <w:bookmarkStart w:id="1445" w:name="_Toc442374556"/>
      <w:bookmarkStart w:id="1446" w:name="_Toc442375046"/>
      <w:bookmarkStart w:id="1447" w:name="_Toc443320368"/>
      <w:bookmarkStart w:id="1448" w:name="_Toc464460215"/>
      <w:bookmarkStart w:id="1449" w:name="_Toc476063565"/>
      <w:bookmarkStart w:id="1450" w:name="_Toc476068047"/>
      <w:r>
        <w:rPr>
          <w:rFonts w:ascii="Times New Roman" w:hAnsi="Times New Roman"/>
          <w:sz w:val="28"/>
        </w:rPr>
        <w:t>PROJETS DE JUMELAGE</w:t>
      </w:r>
      <w:bookmarkEnd w:id="1445"/>
      <w:bookmarkEnd w:id="1446"/>
      <w:bookmarkEnd w:id="1447"/>
      <w:bookmarkEnd w:id="1448"/>
      <w:bookmarkEnd w:id="1449"/>
      <w:bookmarkEnd w:id="1450"/>
    </w:p>
    <w:p w14:paraId="58B5E09B" w14:textId="77777777" w:rsidR="00832F98" w:rsidRPr="005107DF" w:rsidRDefault="00832F98"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rPr>
      </w:pPr>
      <w:bookmarkStart w:id="1451" w:name="_Toc442374557"/>
      <w:bookmarkStart w:id="1452" w:name="_Toc442375047"/>
      <w:bookmarkStart w:id="1453" w:name="_Toc443320369"/>
      <w:bookmarkStart w:id="1454" w:name="_Toc464460216"/>
      <w:bookmarkStart w:id="1455" w:name="_Toc476063566"/>
      <w:bookmarkStart w:id="1456" w:name="_Toc476068048"/>
      <w:r>
        <w:rPr>
          <w:rFonts w:ascii="Times New Roman" w:hAnsi="Times New Roman"/>
          <w:sz w:val="28"/>
        </w:rPr>
        <w:t>RAPPORT FINAL</w:t>
      </w:r>
      <w:bookmarkEnd w:id="1451"/>
      <w:bookmarkEnd w:id="1452"/>
      <w:bookmarkEnd w:id="1453"/>
      <w:bookmarkEnd w:id="1454"/>
      <w:bookmarkEnd w:id="1455"/>
      <w:bookmarkEnd w:id="1456"/>
    </w:p>
    <w:p w14:paraId="547683F5" w14:textId="77777777" w:rsidR="00832F98" w:rsidRPr="005107DF" w:rsidRDefault="00832F98"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p>
    <w:p w14:paraId="61B12C30" w14:textId="77777777" w:rsidR="00832F98" w:rsidRPr="005107DF" w:rsidRDefault="00832F98"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bookmarkStart w:id="1457" w:name="_Toc442374558"/>
      <w:bookmarkStart w:id="1458" w:name="_Toc442375048"/>
      <w:bookmarkStart w:id="1459" w:name="_Toc443320370"/>
      <w:bookmarkStart w:id="1460" w:name="_Toc464460217"/>
      <w:bookmarkStart w:id="1461" w:name="_Toc476063567"/>
      <w:bookmarkStart w:id="1462" w:name="_Toc476068049"/>
      <w:r>
        <w:rPr>
          <w:rFonts w:ascii="Times New Roman" w:hAnsi="Times New Roman"/>
          <w:sz w:val="28"/>
        </w:rPr>
        <w:t>Intitulé du projet:</w:t>
      </w:r>
      <w:bookmarkEnd w:id="1457"/>
      <w:bookmarkEnd w:id="1458"/>
      <w:bookmarkEnd w:id="1459"/>
      <w:bookmarkEnd w:id="1460"/>
      <w:bookmarkEnd w:id="1461"/>
      <w:bookmarkEnd w:id="1462"/>
    </w:p>
    <w:p w14:paraId="64F913A3" w14:textId="77777777" w:rsidR="00832F98" w:rsidRPr="005107DF" w:rsidRDefault="00832F98"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bookmarkStart w:id="1463" w:name="_Toc442374559"/>
      <w:bookmarkStart w:id="1464" w:name="_Toc442375049"/>
      <w:bookmarkStart w:id="1465" w:name="_Toc443320371"/>
      <w:bookmarkStart w:id="1466" w:name="_Toc464460218"/>
      <w:bookmarkStart w:id="1467" w:name="_Toc476063568"/>
      <w:bookmarkStart w:id="1468" w:name="_Toc476068050"/>
      <w:r>
        <w:rPr>
          <w:rFonts w:ascii="Times New Roman" w:hAnsi="Times New Roman"/>
          <w:sz w:val="28"/>
        </w:rPr>
        <w:t>Partenaires:</w:t>
      </w:r>
      <w:bookmarkEnd w:id="1463"/>
      <w:bookmarkEnd w:id="1464"/>
      <w:bookmarkEnd w:id="1465"/>
      <w:bookmarkEnd w:id="1466"/>
      <w:bookmarkEnd w:id="1467"/>
      <w:bookmarkEnd w:id="1468"/>
    </w:p>
    <w:p w14:paraId="42734B20" w14:textId="77777777" w:rsidR="00832F98" w:rsidRPr="005107DF" w:rsidRDefault="00832F98"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bookmarkStart w:id="1469" w:name="_Toc442374560"/>
      <w:bookmarkStart w:id="1470" w:name="_Toc442375050"/>
      <w:bookmarkStart w:id="1471" w:name="_Toc443320372"/>
      <w:bookmarkStart w:id="1472" w:name="_Toc464460219"/>
      <w:bookmarkStart w:id="1473" w:name="_Toc476063569"/>
      <w:bookmarkStart w:id="1474" w:name="_Toc476068051"/>
      <w:r>
        <w:rPr>
          <w:rFonts w:ascii="Times New Roman" w:hAnsi="Times New Roman"/>
          <w:sz w:val="28"/>
        </w:rPr>
        <w:t>Date:</w:t>
      </w:r>
      <w:bookmarkEnd w:id="1469"/>
      <w:bookmarkEnd w:id="1470"/>
      <w:bookmarkEnd w:id="1471"/>
      <w:bookmarkEnd w:id="1472"/>
      <w:bookmarkEnd w:id="1473"/>
      <w:bookmarkEnd w:id="1474"/>
      <w:r>
        <w:rPr>
          <w:rFonts w:ascii="Times New Roman" w:hAnsi="Times New Roman"/>
          <w:sz w:val="28"/>
        </w:rPr>
        <w:t xml:space="preserve"> </w:t>
      </w:r>
    </w:p>
    <w:p w14:paraId="5C15EE94" w14:textId="77777777" w:rsidR="00832F98" w:rsidRPr="005107DF" w:rsidRDefault="00832F98" w:rsidP="00A92DE1">
      <w:pPr>
        <w:tabs>
          <w:tab w:val="left" w:pos="-567"/>
          <w:tab w:val="left" w:pos="0"/>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left="142" w:right="-142"/>
        <w:jc w:val="both"/>
        <w:rPr>
          <w:rFonts w:ascii="Times New Roman" w:eastAsia="Times New Roman" w:hAnsi="Times New Roman" w:cs="Times New Roman"/>
          <w:i/>
          <w:sz w:val="24"/>
          <w:szCs w:val="24"/>
        </w:rPr>
      </w:pPr>
    </w:p>
    <w:p w14:paraId="506E8971" w14:textId="77777777" w:rsidR="00832F98" w:rsidRPr="005107DF" w:rsidRDefault="00832F98" w:rsidP="00A92DE1">
      <w:pPr>
        <w:pBdr>
          <w:top w:val="single" w:sz="4" w:space="1" w:color="auto"/>
          <w:left w:val="single" w:sz="4" w:space="3"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b/>
          <w:i/>
          <w:sz w:val="20"/>
          <w:szCs w:val="20"/>
        </w:rPr>
      </w:pPr>
      <w:r>
        <w:rPr>
          <w:rFonts w:ascii="Times New Roman" w:hAnsi="Times New Roman"/>
          <w:b/>
          <w:i/>
          <w:sz w:val="24"/>
        </w:rPr>
        <w:t xml:space="preserve">Numéro du projet de jumelage: </w:t>
      </w:r>
      <w:r>
        <w:tab/>
      </w:r>
    </w:p>
    <w:p w14:paraId="3B9BA08C" w14:textId="77777777" w:rsidR="00832F98" w:rsidRPr="005107DF" w:rsidRDefault="00832F98"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jc w:val="both"/>
        <w:rPr>
          <w:rFonts w:ascii="Times New Roman" w:eastAsia="Times New Roman" w:hAnsi="Times New Roman" w:cs="Times New Roman"/>
          <w:sz w:val="24"/>
          <w:szCs w:val="24"/>
        </w:rPr>
      </w:pPr>
    </w:p>
    <w:p w14:paraId="5C6AF54C" w14:textId="77777777" w:rsidR="00832F98" w:rsidRPr="005107DF" w:rsidRDefault="00832F98" w:rsidP="00A92DE1">
      <w:pPr>
        <w:spacing w:after="0" w:line="240" w:lineRule="auto"/>
        <w:ind w:right="-142"/>
        <w:jc w:val="both"/>
        <w:rPr>
          <w:rFonts w:ascii="Times New Roman" w:eastAsia="Times New Roman" w:hAnsi="Times New Roman" w:cs="Times New Roman"/>
          <w:sz w:val="24"/>
          <w:szCs w:val="24"/>
        </w:rPr>
      </w:pPr>
    </w:p>
    <w:p w14:paraId="0E5147AB" w14:textId="77777777" w:rsidR="00832F98" w:rsidRPr="005107DF" w:rsidRDefault="00832F98" w:rsidP="00A92DE1">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i/>
          <w:sz w:val="24"/>
          <w:szCs w:val="24"/>
        </w:rPr>
      </w:pPr>
      <w:r>
        <w:rPr>
          <w:rFonts w:ascii="Times New Roman" w:hAnsi="Times New Roman"/>
          <w:b/>
          <w:i/>
          <w:sz w:val="24"/>
        </w:rPr>
        <w:t>Numéro du contrat de subvention de</w:t>
      </w:r>
      <w:r>
        <w:rPr>
          <w:rFonts w:ascii="Times New Roman" w:hAnsi="Times New Roman"/>
          <w:i/>
          <w:color w:val="000000"/>
          <w:sz w:val="24"/>
        </w:rPr>
        <w:t xml:space="preserve"> </w:t>
      </w:r>
      <w:r>
        <w:rPr>
          <w:rFonts w:ascii="Times New Roman" w:hAnsi="Times New Roman"/>
          <w:b/>
          <w:i/>
          <w:sz w:val="24"/>
        </w:rPr>
        <w:t>jumelage:</w:t>
      </w:r>
    </w:p>
    <w:p w14:paraId="5F37238A" w14:textId="77777777" w:rsidR="00832F98" w:rsidRPr="005107DF" w:rsidRDefault="00832F98"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jc w:val="both"/>
        <w:rPr>
          <w:rFonts w:ascii="Times New Roman" w:eastAsia="Times New Roman" w:hAnsi="Times New Roman" w:cs="Times New Roman"/>
          <w:sz w:val="24"/>
          <w:szCs w:val="24"/>
        </w:rPr>
      </w:pPr>
    </w:p>
    <w:p w14:paraId="615B5CB7" w14:textId="77777777" w:rsidR="00832F98" w:rsidRPr="005107DF" w:rsidRDefault="00832F98" w:rsidP="00A92DE1">
      <w:pPr>
        <w:spacing w:after="0" w:line="240" w:lineRule="auto"/>
        <w:jc w:val="both"/>
        <w:rPr>
          <w:rFonts w:ascii="Times New Roman" w:eastAsia="Times New Roman" w:hAnsi="Times New Roman" w:cs="Times New Roman"/>
          <w:sz w:val="24"/>
          <w:szCs w:val="24"/>
        </w:rPr>
      </w:pPr>
    </w:p>
    <w:p w14:paraId="0900D4CA" w14:textId="77777777" w:rsidR="00832F98" w:rsidRPr="005107DF" w:rsidRDefault="00832F98" w:rsidP="00A92DE1">
      <w:pPr>
        <w:pBdr>
          <w:bottom w:val="single" w:sz="6" w:space="1" w:color="auto"/>
        </w:pBdr>
        <w:spacing w:after="0" w:line="240" w:lineRule="auto"/>
        <w:ind w:left="851" w:hanging="851"/>
        <w:jc w:val="both"/>
        <w:rPr>
          <w:rFonts w:ascii="Times New Roman" w:eastAsia="Times New Roman" w:hAnsi="Times New Roman" w:cs="Times New Roman"/>
          <w:b/>
          <w:sz w:val="24"/>
          <w:szCs w:val="24"/>
        </w:rPr>
      </w:pPr>
      <w:r w:rsidRPr="00452C1A">
        <w:rPr>
          <w:rFonts w:ascii="Times New Roman" w:hAnsi="Times New Roman"/>
          <w:b/>
          <w:sz w:val="24"/>
        </w:rPr>
        <w:t>1</w:t>
      </w:r>
      <w:r>
        <w:rPr>
          <w:rFonts w:ascii="Times New Roman" w:hAnsi="Times New Roman"/>
          <w:b/>
          <w:sz w:val="24"/>
        </w:rPr>
        <w:t>.</w:t>
      </w:r>
      <w:r>
        <w:tab/>
      </w:r>
      <w:r>
        <w:rPr>
          <w:rFonts w:ascii="Times New Roman" w:hAnsi="Times New Roman"/>
          <w:b/>
          <w:sz w:val="24"/>
        </w:rPr>
        <w:t>Synthèse</w:t>
      </w:r>
    </w:p>
    <w:p w14:paraId="7FF009F8" w14:textId="77777777" w:rsidR="00832F98" w:rsidRPr="005107DF" w:rsidRDefault="00832F98" w:rsidP="00A92DE1">
      <w:pPr>
        <w:spacing w:after="0" w:line="240" w:lineRule="auto"/>
        <w:jc w:val="both"/>
        <w:rPr>
          <w:rFonts w:ascii="Times New Roman" w:eastAsia="Times New Roman" w:hAnsi="Times New Roman" w:cs="Times New Roman"/>
          <w:sz w:val="24"/>
          <w:szCs w:val="24"/>
        </w:rPr>
      </w:pPr>
    </w:p>
    <w:p w14:paraId="36BB5EF6" w14:textId="77777777" w:rsidR="00832F98" w:rsidRPr="005107DF" w:rsidRDefault="00832F98" w:rsidP="00A92DE1">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Le </w:t>
      </w:r>
      <w:r>
        <w:rPr>
          <w:rFonts w:ascii="Times New Roman" w:hAnsi="Times New Roman"/>
          <w:b/>
          <w:sz w:val="24"/>
        </w:rPr>
        <w:t>rapport final</w:t>
      </w:r>
      <w:r>
        <w:rPr>
          <w:rFonts w:ascii="Times New Roman" w:hAnsi="Times New Roman"/>
          <w:sz w:val="24"/>
        </w:rPr>
        <w:t xml:space="preserve"> du projet se compose des sections suivantes:</w:t>
      </w:r>
    </w:p>
    <w:p w14:paraId="4D36E48C" w14:textId="77777777" w:rsidR="00832F98" w:rsidRPr="005107DF" w:rsidRDefault="00832F98" w:rsidP="00A92DE1">
      <w:pPr>
        <w:spacing w:after="0" w:line="240" w:lineRule="auto"/>
        <w:jc w:val="both"/>
        <w:rPr>
          <w:rFonts w:ascii="Times New Roman" w:eastAsia="Times New Roman" w:hAnsi="Times New Roman" w:cs="Times New Roman"/>
          <w:sz w:val="24"/>
          <w:szCs w:val="24"/>
        </w:rPr>
      </w:pPr>
    </w:p>
    <w:p w14:paraId="4DEABF40" w14:textId="77777777" w:rsidR="00832F98" w:rsidRPr="005107DF" w:rsidRDefault="00832F98" w:rsidP="00A92DE1">
      <w:pPr>
        <w:spacing w:after="0" w:line="240" w:lineRule="auto"/>
        <w:ind w:left="1138" w:hanging="1138"/>
        <w:jc w:val="both"/>
        <w:rPr>
          <w:rFonts w:ascii="Times New Roman" w:eastAsia="Times New Roman" w:hAnsi="Times New Roman" w:cs="Times New Roman"/>
          <w:b/>
          <w:sz w:val="24"/>
          <w:szCs w:val="24"/>
        </w:rPr>
      </w:pPr>
      <w:r>
        <w:rPr>
          <w:rFonts w:ascii="Times New Roman" w:hAnsi="Times New Roman"/>
          <w:b/>
          <w:sz w:val="24"/>
        </w:rPr>
        <w:t>Section </w:t>
      </w:r>
      <w:r w:rsidRPr="00452C1A">
        <w:rPr>
          <w:rFonts w:ascii="Times New Roman" w:hAnsi="Times New Roman"/>
          <w:b/>
          <w:sz w:val="24"/>
        </w:rPr>
        <w:t>0</w:t>
      </w:r>
      <w:r>
        <w:tab/>
      </w:r>
      <w:r>
        <w:rPr>
          <w:rFonts w:ascii="Times New Roman" w:hAnsi="Times New Roman"/>
          <w:sz w:val="24"/>
        </w:rPr>
        <w:t>Engagements pris par le bénéficiaire pour garantir la pérennité des résultats</w:t>
      </w:r>
      <w:r>
        <w:rPr>
          <w:rFonts w:ascii="Times New Roman" w:hAnsi="Times New Roman"/>
          <w:b/>
          <w:sz w:val="24"/>
        </w:rPr>
        <w:t xml:space="preserve"> </w:t>
      </w:r>
    </w:p>
    <w:p w14:paraId="41B7E5C6" w14:textId="77777777" w:rsidR="00832F98" w:rsidRPr="005107DF" w:rsidRDefault="00832F98" w:rsidP="00A92DE1">
      <w:pPr>
        <w:spacing w:after="0" w:line="240" w:lineRule="auto"/>
        <w:ind w:left="1138" w:hanging="1138"/>
        <w:jc w:val="both"/>
        <w:rPr>
          <w:rFonts w:ascii="Times New Roman" w:eastAsia="Times New Roman" w:hAnsi="Times New Roman" w:cs="Times New Roman"/>
          <w:sz w:val="24"/>
          <w:szCs w:val="24"/>
        </w:rPr>
      </w:pPr>
      <w:r>
        <w:rPr>
          <w:rFonts w:ascii="Times New Roman" w:hAnsi="Times New Roman"/>
          <w:b/>
          <w:sz w:val="24"/>
        </w:rPr>
        <w:t>Section </w:t>
      </w:r>
      <w:r w:rsidRPr="00452C1A">
        <w:rPr>
          <w:rFonts w:ascii="Times New Roman" w:hAnsi="Times New Roman"/>
          <w:b/>
          <w:sz w:val="24"/>
        </w:rPr>
        <w:t>1</w:t>
      </w:r>
      <w:r>
        <w:tab/>
      </w:r>
      <w:r>
        <w:rPr>
          <w:rFonts w:ascii="Times New Roman" w:hAnsi="Times New Roman"/>
          <w:sz w:val="24"/>
        </w:rPr>
        <w:t xml:space="preserve">Informations de base sur le projet </w:t>
      </w:r>
    </w:p>
    <w:p w14:paraId="46F6A982" w14:textId="77777777" w:rsidR="00832F98" w:rsidRPr="005107DF" w:rsidRDefault="00832F98" w:rsidP="00A92DE1">
      <w:pPr>
        <w:spacing w:after="0" w:line="240" w:lineRule="auto"/>
        <w:ind w:left="1138" w:hanging="1138"/>
        <w:jc w:val="both"/>
        <w:rPr>
          <w:rFonts w:ascii="Times New Roman" w:eastAsia="Times New Roman" w:hAnsi="Times New Roman" w:cs="Times New Roman"/>
          <w:sz w:val="24"/>
          <w:szCs w:val="24"/>
        </w:rPr>
      </w:pPr>
      <w:r>
        <w:rPr>
          <w:rFonts w:ascii="Times New Roman" w:hAnsi="Times New Roman"/>
          <w:b/>
          <w:sz w:val="24"/>
        </w:rPr>
        <w:t>Section </w:t>
      </w:r>
      <w:r w:rsidRPr="00452C1A">
        <w:rPr>
          <w:rFonts w:ascii="Times New Roman" w:hAnsi="Times New Roman"/>
          <w:b/>
          <w:sz w:val="24"/>
        </w:rPr>
        <w:t>2</w:t>
      </w:r>
      <w:r>
        <w:tab/>
      </w:r>
      <w:r>
        <w:rPr>
          <w:rFonts w:ascii="Times New Roman" w:hAnsi="Times New Roman"/>
          <w:sz w:val="24"/>
        </w:rPr>
        <w:t xml:space="preserve">Contenu: obtention des résultats obligatoires/produits </w:t>
      </w:r>
    </w:p>
    <w:p w14:paraId="7FD1AC20" w14:textId="77777777" w:rsidR="00832F98" w:rsidRPr="005107DF" w:rsidRDefault="00832F98" w:rsidP="00A92DE1">
      <w:pPr>
        <w:spacing w:after="0" w:line="240" w:lineRule="auto"/>
        <w:ind w:left="1138" w:hanging="1138"/>
        <w:rPr>
          <w:rFonts w:ascii="Times New Roman" w:eastAsia="Times New Roman" w:hAnsi="Times New Roman" w:cs="Times New Roman"/>
          <w:sz w:val="24"/>
          <w:szCs w:val="24"/>
        </w:rPr>
      </w:pPr>
      <w:r>
        <w:rPr>
          <w:rFonts w:ascii="Times New Roman" w:hAnsi="Times New Roman"/>
          <w:b/>
          <w:sz w:val="24"/>
        </w:rPr>
        <w:t>Section </w:t>
      </w:r>
      <w:r w:rsidRPr="00452C1A">
        <w:rPr>
          <w:rFonts w:ascii="Times New Roman" w:hAnsi="Times New Roman"/>
          <w:b/>
          <w:sz w:val="24"/>
        </w:rPr>
        <w:t>3</w:t>
      </w:r>
      <w:r>
        <w:tab/>
      </w:r>
      <w:r>
        <w:rPr>
          <w:rFonts w:ascii="Times New Roman" w:hAnsi="Times New Roman"/>
          <w:sz w:val="24"/>
        </w:rPr>
        <w:t>Dépenses: rapport financier final</w:t>
      </w:r>
    </w:p>
    <w:p w14:paraId="29C547E7" w14:textId="77777777" w:rsidR="00832F98" w:rsidRPr="005107DF" w:rsidRDefault="00832F98" w:rsidP="00A92DE1">
      <w:pPr>
        <w:pBdr>
          <w:bottom w:val="single" w:sz="6" w:space="1" w:color="auto"/>
        </w:pBdr>
        <w:tabs>
          <w:tab w:val="left" w:pos="851"/>
        </w:tabs>
        <w:spacing w:after="0" w:line="240" w:lineRule="auto"/>
        <w:jc w:val="both"/>
        <w:rPr>
          <w:rFonts w:ascii="Times New Roman" w:eastAsia="Times New Roman" w:hAnsi="Times New Roman" w:cs="Times New Roman"/>
          <w:b/>
          <w:sz w:val="24"/>
          <w:szCs w:val="24"/>
        </w:rPr>
      </w:pPr>
    </w:p>
    <w:p w14:paraId="10644190" w14:textId="77777777" w:rsidR="00832F98" w:rsidRPr="005107DF" w:rsidRDefault="00832F98" w:rsidP="00A92DE1">
      <w:pPr>
        <w:pBdr>
          <w:bottom w:val="single" w:sz="6" w:space="1" w:color="auto"/>
        </w:pBdr>
        <w:tabs>
          <w:tab w:val="left" w:pos="851"/>
        </w:tabs>
        <w:spacing w:after="0" w:line="240" w:lineRule="auto"/>
        <w:jc w:val="both"/>
        <w:rPr>
          <w:rFonts w:ascii="Times New Roman" w:eastAsia="Times New Roman" w:hAnsi="Times New Roman" w:cs="Times New Roman"/>
          <w:b/>
          <w:sz w:val="24"/>
          <w:szCs w:val="24"/>
        </w:rPr>
      </w:pPr>
      <w:r w:rsidRPr="00452C1A">
        <w:rPr>
          <w:rFonts w:ascii="Times New Roman" w:hAnsi="Times New Roman"/>
          <w:b/>
          <w:sz w:val="24"/>
        </w:rPr>
        <w:t>2</w:t>
      </w:r>
      <w:r>
        <w:rPr>
          <w:rFonts w:ascii="Times New Roman" w:hAnsi="Times New Roman"/>
          <w:b/>
          <w:sz w:val="24"/>
        </w:rPr>
        <w:t>.</w:t>
      </w:r>
      <w:r>
        <w:tab/>
      </w:r>
      <w:r>
        <w:rPr>
          <w:rFonts w:ascii="Times New Roman" w:hAnsi="Times New Roman"/>
          <w:b/>
          <w:sz w:val="24"/>
        </w:rPr>
        <w:t>Indications générales</w:t>
      </w:r>
    </w:p>
    <w:p w14:paraId="7133E037" w14:textId="77777777" w:rsidR="00832F98" w:rsidRPr="005107DF" w:rsidRDefault="00832F98" w:rsidP="00A92DE1">
      <w:pPr>
        <w:spacing w:after="0" w:line="240" w:lineRule="auto"/>
        <w:jc w:val="both"/>
        <w:rPr>
          <w:rFonts w:ascii="Times New Roman" w:eastAsia="Times New Roman" w:hAnsi="Times New Roman" w:cs="Times New Roman"/>
          <w:sz w:val="24"/>
          <w:szCs w:val="24"/>
        </w:rPr>
      </w:pPr>
    </w:p>
    <w:p w14:paraId="6E2D92F1" w14:textId="77777777" w:rsidR="00832F98" w:rsidRPr="005107DF" w:rsidRDefault="00832F98" w:rsidP="00A92DE1">
      <w:pPr>
        <w:numPr>
          <w:ilvl w:val="0"/>
          <w:numId w:val="53"/>
        </w:numPr>
        <w:tabs>
          <w:tab w:val="left" w:pos="540"/>
        </w:tabs>
        <w:spacing w:after="0" w:line="240" w:lineRule="auto"/>
        <w:jc w:val="both"/>
        <w:rPr>
          <w:rFonts w:ascii="Times New Roman" w:eastAsia="Times New Roman" w:hAnsi="Times New Roman" w:cs="Times New Roman"/>
          <w:sz w:val="24"/>
          <w:szCs w:val="24"/>
        </w:rPr>
      </w:pPr>
      <w:r>
        <w:rPr>
          <w:rFonts w:ascii="Times New Roman" w:hAnsi="Times New Roman"/>
          <w:sz w:val="24"/>
        </w:rPr>
        <w:t>Le rapport final sera présenté dans les trois mois suivant la période de mise en œuvre du projet (plan de travail), telle qu’elle est définie à l’article </w:t>
      </w:r>
      <w:r w:rsidRPr="00452C1A">
        <w:rPr>
          <w:rFonts w:ascii="Times New Roman" w:hAnsi="Times New Roman"/>
          <w:sz w:val="24"/>
        </w:rPr>
        <w:t>2</w:t>
      </w:r>
      <w:r>
        <w:rPr>
          <w:rFonts w:ascii="Times New Roman" w:hAnsi="Times New Roman"/>
          <w:sz w:val="24"/>
        </w:rPr>
        <w:t xml:space="preserve"> des conditions générales du contrat de subvention de jumelage</w:t>
      </w:r>
      <w:r>
        <w:rPr>
          <w:rFonts w:ascii="Times New Roman" w:hAnsi="Times New Roman"/>
          <w:color w:val="000000"/>
          <w:sz w:val="24"/>
        </w:rPr>
        <w:t xml:space="preserve"> </w:t>
      </w:r>
      <w:r>
        <w:rPr>
          <w:rFonts w:ascii="Times New Roman" w:hAnsi="Times New Roman"/>
          <w:sz w:val="24"/>
        </w:rPr>
        <w:t>(annexe A</w:t>
      </w:r>
      <w:r w:rsidRPr="00452C1A">
        <w:rPr>
          <w:rFonts w:ascii="Times New Roman" w:hAnsi="Times New Roman"/>
          <w:sz w:val="24"/>
        </w:rPr>
        <w:t>2</w:t>
      </w:r>
      <w:r>
        <w:rPr>
          <w:rFonts w:ascii="Times New Roman" w:hAnsi="Times New Roman"/>
          <w:sz w:val="24"/>
        </w:rPr>
        <w:t>) et au plus tard avant la fin de la durée légale.</w:t>
      </w:r>
    </w:p>
    <w:p w14:paraId="656B1638" w14:textId="77777777" w:rsidR="00832F98" w:rsidRPr="005107DF" w:rsidRDefault="00832F98" w:rsidP="00A92DE1">
      <w:pPr>
        <w:numPr>
          <w:ilvl w:val="0"/>
          <w:numId w:val="53"/>
        </w:numPr>
        <w:tabs>
          <w:tab w:val="left" w:pos="540"/>
        </w:tabs>
        <w:spacing w:after="0" w:line="240" w:lineRule="auto"/>
        <w:ind w:left="540" w:hanging="540"/>
        <w:jc w:val="both"/>
        <w:rPr>
          <w:rFonts w:ascii="Times New Roman" w:eastAsia="Times New Roman" w:hAnsi="Times New Roman" w:cs="Times New Roman"/>
          <w:sz w:val="24"/>
          <w:szCs w:val="24"/>
        </w:rPr>
      </w:pPr>
      <w:r>
        <w:rPr>
          <w:rFonts w:ascii="Times New Roman" w:hAnsi="Times New Roman"/>
          <w:sz w:val="24"/>
        </w:rPr>
        <w:t xml:space="preserve">Le rapport final portera aussi bien sur les questions de fond que sur les aspects financiers du projet. Le rapport financier final sera accompagné d’un rapport de </w:t>
      </w:r>
      <w:r>
        <w:rPr>
          <w:rFonts w:ascii="Times New Roman" w:hAnsi="Times New Roman"/>
          <w:sz w:val="24"/>
        </w:rPr>
        <w:lastRenderedPageBreak/>
        <w:t>vérification des dépenses établi par un auditeur indépendant et agréé, conformément au modèle présenté à l’annexe A</w:t>
      </w:r>
      <w:r w:rsidRPr="00452C1A">
        <w:rPr>
          <w:rFonts w:ascii="Times New Roman" w:hAnsi="Times New Roman"/>
          <w:sz w:val="24"/>
        </w:rPr>
        <w:t>6</w:t>
      </w:r>
      <w:r>
        <w:rPr>
          <w:rFonts w:ascii="Times New Roman" w:hAnsi="Times New Roman"/>
          <w:sz w:val="24"/>
        </w:rPr>
        <w:t xml:space="preserve"> du contrat de subvention de jumelage. </w:t>
      </w:r>
    </w:p>
    <w:p w14:paraId="5840471F" w14:textId="77777777" w:rsidR="00832F98" w:rsidRPr="005107DF" w:rsidRDefault="00832F98" w:rsidP="00A92DE1">
      <w:pPr>
        <w:numPr>
          <w:ilvl w:val="0"/>
          <w:numId w:val="53"/>
        </w:numPr>
        <w:tabs>
          <w:tab w:val="left" w:pos="540"/>
        </w:tabs>
        <w:spacing w:after="0" w:line="240" w:lineRule="auto"/>
        <w:ind w:left="540" w:hanging="540"/>
        <w:jc w:val="both"/>
        <w:rPr>
          <w:rFonts w:ascii="Times New Roman" w:eastAsia="Times New Roman" w:hAnsi="Times New Roman" w:cs="Times New Roman"/>
          <w:sz w:val="24"/>
          <w:szCs w:val="24"/>
        </w:rPr>
      </w:pPr>
      <w:r>
        <w:rPr>
          <w:rFonts w:ascii="Times New Roman" w:hAnsi="Times New Roman"/>
          <w:sz w:val="24"/>
        </w:rPr>
        <w:t>Les chefs de projet de l’État membre et du bénéficiaire rédigent, cosignent et soumettent conjointement le rapport final à l’autorité concernée (voir le point </w:t>
      </w:r>
      <w:r w:rsidRPr="00452C1A">
        <w:rPr>
          <w:rFonts w:ascii="Times New Roman" w:hAnsi="Times New Roman"/>
          <w:sz w:val="24"/>
        </w:rPr>
        <w:t>6</w:t>
      </w:r>
      <w:r>
        <w:rPr>
          <w:rFonts w:ascii="Times New Roman" w:hAnsi="Times New Roman"/>
          <w:sz w:val="24"/>
        </w:rPr>
        <w:t>.</w:t>
      </w:r>
      <w:r w:rsidRPr="00452C1A">
        <w:rPr>
          <w:rFonts w:ascii="Times New Roman" w:hAnsi="Times New Roman"/>
          <w:sz w:val="24"/>
        </w:rPr>
        <w:t>4</w:t>
      </w:r>
      <w:r>
        <w:rPr>
          <w:rFonts w:ascii="Times New Roman" w:hAnsi="Times New Roman"/>
          <w:sz w:val="24"/>
        </w:rPr>
        <w:t xml:space="preserve"> du manuel de jumelage).   </w:t>
      </w:r>
    </w:p>
    <w:p w14:paraId="34F555DE" w14:textId="77777777" w:rsidR="00832F98" w:rsidRPr="005107DF" w:rsidRDefault="00832F98" w:rsidP="00A92DE1">
      <w:pPr>
        <w:numPr>
          <w:ilvl w:val="0"/>
          <w:numId w:val="53"/>
        </w:numPr>
        <w:tabs>
          <w:tab w:val="left" w:pos="540"/>
          <w:tab w:val="left" w:pos="3402"/>
          <w:tab w:val="left" w:pos="4395"/>
        </w:tabs>
        <w:spacing w:after="0" w:line="240" w:lineRule="auto"/>
        <w:ind w:left="540" w:hanging="540"/>
        <w:jc w:val="both"/>
        <w:rPr>
          <w:rFonts w:ascii="Times New Roman" w:eastAsia="Times New Roman" w:hAnsi="Times New Roman" w:cs="Times New Roman"/>
          <w:b/>
          <w:sz w:val="24"/>
          <w:szCs w:val="24"/>
        </w:rPr>
      </w:pPr>
      <w:r>
        <w:rPr>
          <w:rFonts w:ascii="Times New Roman" w:hAnsi="Times New Roman"/>
          <w:sz w:val="24"/>
        </w:rPr>
        <w:t xml:space="preserve">Un exemplaire du rapport est envoyé dans le même temps pour information à l’équipe de coordination du jumelage au siège de la Commission. Veuillez consulter les exigences précises concernant la procédure de présentation du rapport final dans le manuel de jumelage. </w:t>
      </w:r>
    </w:p>
    <w:p w14:paraId="42EBE4D0" w14:textId="77777777" w:rsidR="00832F98" w:rsidRPr="005107DF" w:rsidRDefault="00832F98" w:rsidP="00A92DE1">
      <w:pPr>
        <w:numPr>
          <w:ilvl w:val="0"/>
          <w:numId w:val="53"/>
        </w:numPr>
        <w:tabs>
          <w:tab w:val="left" w:pos="540"/>
          <w:tab w:val="left" w:pos="3402"/>
          <w:tab w:val="left" w:pos="4395"/>
        </w:tabs>
        <w:spacing w:after="0" w:line="240" w:lineRule="auto"/>
        <w:ind w:left="540" w:hanging="540"/>
        <w:jc w:val="both"/>
        <w:rPr>
          <w:rFonts w:ascii="Times New Roman" w:eastAsia="Times New Roman" w:hAnsi="Times New Roman" w:cs="Times New Roman"/>
          <w:b/>
          <w:sz w:val="24"/>
          <w:szCs w:val="24"/>
        </w:rPr>
      </w:pPr>
      <w:r>
        <w:rPr>
          <w:rFonts w:ascii="Times New Roman" w:hAnsi="Times New Roman"/>
          <w:sz w:val="24"/>
        </w:rPr>
        <w:t>Le rapport doit être soumis dans la langue du contrat</w:t>
      </w:r>
      <w:r>
        <w:rPr>
          <w:rFonts w:ascii="Times New Roman" w:hAnsi="Times New Roman"/>
          <w:b/>
          <w:sz w:val="24"/>
        </w:rPr>
        <w:t>.</w:t>
      </w:r>
    </w:p>
    <w:p w14:paraId="6EB5DE1F" w14:textId="77777777" w:rsidR="00832F98" w:rsidRPr="005107DF" w:rsidRDefault="00832F98" w:rsidP="00A92DE1">
      <w:pPr>
        <w:tabs>
          <w:tab w:val="left" w:pos="284"/>
        </w:tabs>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 </w:t>
      </w:r>
    </w:p>
    <w:p w14:paraId="52172DF1" w14:textId="77777777" w:rsidR="00832F98" w:rsidRPr="005107DF" w:rsidRDefault="00832F98" w:rsidP="00A92DE1">
      <w:pPr>
        <w:spacing w:after="0" w:line="240" w:lineRule="auto"/>
        <w:jc w:val="both"/>
        <w:rPr>
          <w:rFonts w:ascii="Times New Roman" w:eastAsia="Times New Roman" w:hAnsi="Times New Roman" w:cs="Times New Roman"/>
          <w:sz w:val="24"/>
          <w:szCs w:val="24"/>
        </w:rPr>
      </w:pPr>
    </w:p>
    <w:p w14:paraId="5E4A58EE" w14:textId="77777777" w:rsidR="00832F98" w:rsidRPr="005107DF" w:rsidRDefault="00832F98" w:rsidP="00A92DE1">
      <w:pPr>
        <w:pBdr>
          <w:bottom w:val="single" w:sz="6" w:space="1" w:color="auto"/>
        </w:pBdr>
        <w:tabs>
          <w:tab w:val="left" w:pos="851"/>
        </w:tabs>
        <w:spacing w:after="0" w:line="240" w:lineRule="auto"/>
        <w:jc w:val="both"/>
        <w:rPr>
          <w:rFonts w:ascii="Times New Roman" w:eastAsia="Times New Roman" w:hAnsi="Times New Roman" w:cs="Times New Roman"/>
          <w:b/>
          <w:sz w:val="24"/>
          <w:szCs w:val="24"/>
        </w:rPr>
      </w:pPr>
      <w:r w:rsidRPr="00452C1A">
        <w:rPr>
          <w:rFonts w:ascii="Times New Roman" w:hAnsi="Times New Roman"/>
          <w:b/>
          <w:sz w:val="24"/>
        </w:rPr>
        <w:t>3</w:t>
      </w:r>
      <w:r>
        <w:rPr>
          <w:rFonts w:ascii="Times New Roman" w:hAnsi="Times New Roman"/>
          <w:b/>
          <w:sz w:val="24"/>
        </w:rPr>
        <w:t>.</w:t>
      </w:r>
      <w:r>
        <w:tab/>
      </w:r>
      <w:r>
        <w:rPr>
          <w:rFonts w:ascii="Times New Roman" w:hAnsi="Times New Roman"/>
          <w:b/>
          <w:sz w:val="24"/>
        </w:rPr>
        <w:t>Note</w:t>
      </w:r>
    </w:p>
    <w:p w14:paraId="65428F41" w14:textId="77777777" w:rsidR="00832F98" w:rsidRPr="005107DF" w:rsidRDefault="00832F98" w:rsidP="00A92DE1">
      <w:pPr>
        <w:spacing w:after="0" w:line="240" w:lineRule="auto"/>
        <w:jc w:val="both"/>
        <w:rPr>
          <w:rFonts w:ascii="Times New Roman" w:eastAsia="Times New Roman" w:hAnsi="Times New Roman" w:cs="Times New Roman"/>
          <w:sz w:val="24"/>
          <w:szCs w:val="24"/>
        </w:rPr>
      </w:pPr>
    </w:p>
    <w:p w14:paraId="457EA6ED" w14:textId="77777777" w:rsidR="00832F98" w:rsidRPr="005107DF" w:rsidRDefault="00832F98" w:rsidP="00A92DE1">
      <w:pPr>
        <w:numPr>
          <w:ilvl w:val="0"/>
          <w:numId w:val="125"/>
        </w:numPr>
        <w:tabs>
          <w:tab w:val="clear" w:pos="908"/>
          <w:tab w:val="num" w:pos="540"/>
        </w:tabs>
        <w:spacing w:after="0" w:line="240" w:lineRule="auto"/>
        <w:ind w:left="540" w:hanging="540"/>
        <w:jc w:val="both"/>
        <w:rPr>
          <w:rFonts w:ascii="Times New Roman" w:eastAsia="Times New Roman" w:hAnsi="Times New Roman" w:cs="Times New Roman"/>
          <w:sz w:val="24"/>
          <w:szCs w:val="24"/>
        </w:rPr>
      </w:pPr>
      <w:r>
        <w:rPr>
          <w:rFonts w:ascii="Times New Roman" w:hAnsi="Times New Roman"/>
          <w:sz w:val="24"/>
        </w:rPr>
        <w:t xml:space="preserve">Les opinions exprimées dans ce rapport ne reflètent pas nécessairement les points de vue de la Commission européenne. </w:t>
      </w:r>
    </w:p>
    <w:p w14:paraId="26D6A4AC" w14:textId="77777777" w:rsidR="00832F98" w:rsidRPr="005107DF" w:rsidRDefault="00832F98" w:rsidP="00A92DE1">
      <w:pPr>
        <w:spacing w:after="0" w:line="240" w:lineRule="auto"/>
        <w:ind w:right="-142"/>
        <w:jc w:val="both"/>
        <w:rPr>
          <w:rFonts w:ascii="Times New Roman" w:eastAsia="Times New Roman" w:hAnsi="Times New Roman" w:cs="Times New Roman"/>
          <w:sz w:val="24"/>
          <w:szCs w:val="24"/>
        </w:rPr>
      </w:pPr>
    </w:p>
    <w:p w14:paraId="13781468" w14:textId="77777777" w:rsidR="00832F98" w:rsidRPr="005107DF" w:rsidRDefault="00832F98" w:rsidP="00A92DE1">
      <w:pPr>
        <w:spacing w:after="0" w:line="240" w:lineRule="auto"/>
        <w:ind w:right="-142"/>
        <w:jc w:val="both"/>
        <w:rPr>
          <w:rFonts w:ascii="Times New Roman" w:eastAsia="Times New Roman" w:hAnsi="Times New Roman" w:cs="Times New Roman"/>
          <w:sz w:val="24"/>
          <w:szCs w:val="24"/>
        </w:rPr>
      </w:pPr>
    </w:p>
    <w:p w14:paraId="00B39CEC" w14:textId="77777777" w:rsidR="00832F98" w:rsidRPr="005107DF" w:rsidRDefault="00832F98" w:rsidP="00A92DE1">
      <w:pPr>
        <w:pBdr>
          <w:top w:val="single" w:sz="4" w:space="1" w:color="auto"/>
          <w:left w:val="single" w:sz="4" w:space="4" w:color="auto"/>
          <w:bottom w:val="single" w:sz="4" w:space="1" w:color="auto"/>
          <w:right w:val="single" w:sz="4" w:space="4" w:color="auto"/>
        </w:pBdr>
        <w:spacing w:after="0" w:line="240" w:lineRule="auto"/>
        <w:ind w:left="1138" w:hanging="1138"/>
        <w:jc w:val="center"/>
        <w:rPr>
          <w:rFonts w:ascii="Times New Roman" w:eastAsia="Times New Roman" w:hAnsi="Times New Roman" w:cs="Times New Roman"/>
          <w:b/>
          <w:sz w:val="28"/>
          <w:szCs w:val="28"/>
        </w:rPr>
      </w:pPr>
      <w:r>
        <w:rPr>
          <w:rFonts w:ascii="Times New Roman" w:hAnsi="Times New Roman"/>
          <w:b/>
          <w:sz w:val="28"/>
        </w:rPr>
        <w:t>Section </w:t>
      </w:r>
      <w:r w:rsidRPr="00452C1A">
        <w:rPr>
          <w:rFonts w:ascii="Times New Roman" w:hAnsi="Times New Roman"/>
          <w:b/>
          <w:sz w:val="28"/>
        </w:rPr>
        <w:t>0</w:t>
      </w:r>
      <w:r>
        <w:rPr>
          <w:rFonts w:ascii="Times New Roman" w:hAnsi="Times New Roman"/>
          <w:b/>
          <w:sz w:val="28"/>
        </w:rPr>
        <w:t>:</w:t>
      </w:r>
      <w:r>
        <w:tab/>
      </w:r>
      <w:r>
        <w:rPr>
          <w:rFonts w:ascii="Times New Roman" w:hAnsi="Times New Roman"/>
          <w:b/>
          <w:sz w:val="28"/>
        </w:rPr>
        <w:t>Résumé, durabilité des résultats, enseignements tirés</w:t>
      </w:r>
    </w:p>
    <w:p w14:paraId="0597B3A0" w14:textId="77777777" w:rsidR="00832F98" w:rsidRPr="005107DF" w:rsidRDefault="00832F98" w:rsidP="00A92DE1">
      <w:pPr>
        <w:spacing w:after="0" w:line="240" w:lineRule="auto"/>
        <w:ind w:right="-142"/>
        <w:jc w:val="both"/>
        <w:rPr>
          <w:rFonts w:ascii="Times New Roman" w:eastAsia="Times New Roman" w:hAnsi="Times New Roman" w:cs="Times New Roman"/>
          <w:sz w:val="24"/>
          <w:szCs w:val="24"/>
        </w:rPr>
      </w:pPr>
    </w:p>
    <w:p w14:paraId="27D2A2D9"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1</w:t>
      </w:r>
      <w:r>
        <w:rPr>
          <w:rFonts w:ascii="Times New Roman" w:hAnsi="Times New Roman"/>
          <w:color w:val="000000"/>
          <w:sz w:val="24"/>
        </w:rPr>
        <w:t xml:space="preserve">. Fournir un résumé de </w:t>
      </w:r>
      <w:r w:rsidRPr="00452C1A">
        <w:rPr>
          <w:rFonts w:ascii="Times New Roman" w:hAnsi="Times New Roman"/>
          <w:color w:val="000000"/>
          <w:sz w:val="24"/>
        </w:rPr>
        <w:t>2</w:t>
      </w:r>
      <w:r>
        <w:rPr>
          <w:rFonts w:ascii="Times New Roman" w:hAnsi="Times New Roman"/>
          <w:color w:val="000000"/>
          <w:sz w:val="24"/>
        </w:rPr>
        <w:t xml:space="preserve"> pages maximum (plus d’informations ci-dessous) </w:t>
      </w:r>
    </w:p>
    <w:p w14:paraId="56BE13C3"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550911D8" w14:textId="77777777" w:rsidR="00832F98" w:rsidRPr="005107DF" w:rsidRDefault="00832F98" w:rsidP="00A92DE1">
      <w:pPr>
        <w:numPr>
          <w:ilvl w:val="0"/>
          <w:numId w:val="125"/>
        </w:numPr>
        <w:tabs>
          <w:tab w:val="clear" w:pos="908"/>
        </w:tabs>
        <w:spacing w:after="0" w:line="480" w:lineRule="auto"/>
        <w:ind w:left="720"/>
        <w:contextualSpacing/>
        <w:jc w:val="both"/>
        <w:rPr>
          <w:rFonts w:ascii="Times New Roman" w:eastAsia="Times New Roman" w:hAnsi="Times New Roman" w:cs="Times New Roman"/>
          <w:sz w:val="24"/>
          <w:szCs w:val="24"/>
        </w:rPr>
      </w:pPr>
      <w:r>
        <w:rPr>
          <w:rFonts w:ascii="Times New Roman" w:hAnsi="Times New Roman"/>
          <w:sz w:val="24"/>
        </w:rPr>
        <w:t xml:space="preserve">Obtention des résultats obligatoires/produits et </w:t>
      </w:r>
    </w:p>
    <w:p w14:paraId="57FE6023" w14:textId="77777777" w:rsidR="00832F98" w:rsidRPr="005107DF" w:rsidRDefault="00832F98" w:rsidP="00A92DE1">
      <w:pPr>
        <w:numPr>
          <w:ilvl w:val="0"/>
          <w:numId w:val="125"/>
        </w:numPr>
        <w:tabs>
          <w:tab w:val="clear" w:pos="908"/>
        </w:tabs>
        <w:spacing w:after="0" w:line="480" w:lineRule="auto"/>
        <w:ind w:left="720"/>
        <w:contextualSpacing/>
        <w:jc w:val="both"/>
        <w:rPr>
          <w:rFonts w:ascii="Times New Roman" w:eastAsia="Times New Roman" w:hAnsi="Times New Roman" w:cs="Times New Roman"/>
          <w:sz w:val="24"/>
          <w:szCs w:val="24"/>
        </w:rPr>
      </w:pPr>
      <w:r>
        <w:rPr>
          <w:rFonts w:ascii="Times New Roman" w:hAnsi="Times New Roman"/>
          <w:sz w:val="24"/>
        </w:rPr>
        <w:t>Autres produits concrets/éléments livrables dans le cadre du projet</w:t>
      </w:r>
    </w:p>
    <w:p w14:paraId="54BB024B" w14:textId="77777777" w:rsidR="00832F98" w:rsidRPr="005107DF" w:rsidRDefault="00832F98" w:rsidP="00A92DE1">
      <w:pPr>
        <w:numPr>
          <w:ilvl w:val="0"/>
          <w:numId w:val="125"/>
        </w:numPr>
        <w:tabs>
          <w:tab w:val="clear" w:pos="908"/>
        </w:tabs>
        <w:spacing w:after="0" w:line="480" w:lineRule="auto"/>
        <w:ind w:left="720"/>
        <w:contextualSpacing/>
        <w:jc w:val="both"/>
        <w:rPr>
          <w:rFonts w:ascii="Times New Roman" w:eastAsia="Times New Roman" w:hAnsi="Times New Roman" w:cs="Times New Roman"/>
          <w:sz w:val="24"/>
          <w:szCs w:val="24"/>
        </w:rPr>
      </w:pPr>
      <w:r>
        <w:rPr>
          <w:rFonts w:ascii="Times New Roman" w:hAnsi="Times New Roman"/>
          <w:sz w:val="24"/>
        </w:rPr>
        <w:t>Contribution spécifique du projet aux objectifs de réforme dans le secteur</w:t>
      </w:r>
    </w:p>
    <w:p w14:paraId="2553E073"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1DD65028"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2</w:t>
      </w:r>
      <w:r>
        <w:rPr>
          <w:rFonts w:ascii="Times New Roman" w:hAnsi="Times New Roman"/>
          <w:color w:val="000000"/>
          <w:sz w:val="24"/>
        </w:rPr>
        <w:t xml:space="preserve">. Durabilité </w:t>
      </w:r>
    </w:p>
    <w:p w14:paraId="41CDC0BC"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0D67BA9A" w14:textId="77777777" w:rsidR="00832F98" w:rsidRPr="005107DF" w:rsidRDefault="00832F98" w:rsidP="00434C10">
      <w:pPr>
        <w:numPr>
          <w:ilvl w:val="0"/>
          <w:numId w:val="246"/>
        </w:numPr>
        <w:spacing w:after="0" w:line="240" w:lineRule="auto"/>
        <w:contextualSpacing/>
        <w:jc w:val="both"/>
        <w:rPr>
          <w:rFonts w:ascii="Times New Roman" w:eastAsia="Times New Roman" w:hAnsi="Times New Roman" w:cs="Times New Roman"/>
          <w:color w:val="000000"/>
          <w:sz w:val="24"/>
          <w:szCs w:val="24"/>
        </w:rPr>
      </w:pPr>
      <w:r>
        <w:rPr>
          <w:rFonts w:ascii="Times New Roman" w:hAnsi="Times New Roman"/>
          <w:color w:val="000000"/>
          <w:sz w:val="24"/>
        </w:rPr>
        <w:t>Énumérez les actions en faveur de la durabilité entreprises dans le cadre du projet</w:t>
      </w:r>
    </w:p>
    <w:p w14:paraId="5F6E524D" w14:textId="77777777" w:rsidR="00832F98" w:rsidRPr="005107DF" w:rsidRDefault="00832F98" w:rsidP="00434C10">
      <w:pPr>
        <w:spacing w:after="0" w:line="240" w:lineRule="auto"/>
        <w:ind w:left="720"/>
        <w:contextualSpacing/>
        <w:jc w:val="both"/>
        <w:rPr>
          <w:rFonts w:ascii="Times New Roman" w:eastAsia="Times New Roman" w:hAnsi="Times New Roman" w:cs="Times New Roman"/>
          <w:color w:val="000000"/>
          <w:sz w:val="24"/>
          <w:szCs w:val="24"/>
        </w:rPr>
      </w:pPr>
    </w:p>
    <w:p w14:paraId="26584232" w14:textId="77777777" w:rsidR="00832F98" w:rsidRPr="005107DF" w:rsidRDefault="00832F98" w:rsidP="00434C10">
      <w:pPr>
        <w:numPr>
          <w:ilvl w:val="0"/>
          <w:numId w:val="246"/>
        </w:numPr>
        <w:spacing w:after="0" w:line="240" w:lineRule="auto"/>
        <w:contextualSpacing/>
        <w:jc w:val="both"/>
        <w:rPr>
          <w:rFonts w:ascii="Times New Roman" w:eastAsia="Times New Roman" w:hAnsi="Times New Roman" w:cs="Times New Roman"/>
          <w:i/>
          <w:color w:val="000000"/>
          <w:sz w:val="24"/>
          <w:szCs w:val="24"/>
        </w:rPr>
      </w:pPr>
      <w:r>
        <w:rPr>
          <w:rFonts w:ascii="Times New Roman" w:hAnsi="Times New Roman"/>
          <w:color w:val="000000"/>
          <w:sz w:val="24"/>
        </w:rPr>
        <w:t>Énumérez les actions en faveur de la durabilité qui doivent être entreprises par l’administration bénéficiaire:</w:t>
      </w:r>
    </w:p>
    <w:p w14:paraId="22F0330F" w14:textId="77777777" w:rsidR="00832F98" w:rsidRPr="005107DF" w:rsidRDefault="00832F98" w:rsidP="00434C10">
      <w:pPr>
        <w:numPr>
          <w:ilvl w:val="1"/>
          <w:numId w:val="246"/>
        </w:numPr>
        <w:spacing w:after="0" w:line="240" w:lineRule="auto"/>
        <w:contextualSpacing/>
        <w:jc w:val="both"/>
        <w:rPr>
          <w:rFonts w:ascii="Times New Roman" w:eastAsia="Times New Roman" w:hAnsi="Times New Roman" w:cs="Times New Roman"/>
          <w:i/>
          <w:color w:val="000000"/>
          <w:sz w:val="24"/>
          <w:szCs w:val="24"/>
        </w:rPr>
      </w:pPr>
      <w:r>
        <w:rPr>
          <w:rFonts w:ascii="Times New Roman" w:hAnsi="Times New Roman"/>
          <w:color w:val="000000"/>
          <w:sz w:val="24"/>
        </w:rPr>
        <w:t xml:space="preserve">autres besoins en matière de renforcement des institutions, quels qu’ils soient; et </w:t>
      </w:r>
    </w:p>
    <w:p w14:paraId="73E39772" w14:textId="77777777" w:rsidR="00832F98" w:rsidRPr="005107DF" w:rsidRDefault="00832F98" w:rsidP="00434C10">
      <w:pPr>
        <w:numPr>
          <w:ilvl w:val="1"/>
          <w:numId w:val="246"/>
        </w:numPr>
        <w:spacing w:after="0" w:line="240" w:lineRule="auto"/>
        <w:contextualSpacing/>
        <w:jc w:val="both"/>
        <w:rPr>
          <w:rFonts w:ascii="Times New Roman" w:eastAsia="Times New Roman" w:hAnsi="Times New Roman" w:cs="Times New Roman"/>
          <w:i/>
          <w:color w:val="000000"/>
          <w:sz w:val="24"/>
          <w:szCs w:val="24"/>
        </w:rPr>
      </w:pPr>
      <w:r>
        <w:rPr>
          <w:rFonts w:ascii="Times New Roman" w:hAnsi="Times New Roman"/>
          <w:color w:val="000000"/>
          <w:sz w:val="24"/>
        </w:rPr>
        <w:t xml:space="preserve">ressources nécessaires à court et moyen terme et impact sur l’établissement du budget. </w:t>
      </w:r>
    </w:p>
    <w:p w14:paraId="7D35D7D0" w14:textId="77777777" w:rsidR="00832F98" w:rsidRPr="005107DF" w:rsidRDefault="00832F98" w:rsidP="00A92DE1">
      <w:pPr>
        <w:spacing w:after="0" w:line="240" w:lineRule="auto"/>
        <w:ind w:right="-142"/>
        <w:jc w:val="both"/>
        <w:rPr>
          <w:rFonts w:ascii="Times New Roman" w:eastAsia="Times New Roman" w:hAnsi="Times New Roman" w:cs="Times New Roman"/>
          <w:sz w:val="24"/>
          <w:szCs w:val="24"/>
        </w:rPr>
      </w:pPr>
    </w:p>
    <w:p w14:paraId="15A539E1" w14:textId="77777777" w:rsidR="00832F98" w:rsidRPr="005107DF" w:rsidRDefault="00832F98" w:rsidP="00A92DE1">
      <w:pPr>
        <w:spacing w:after="0" w:line="240" w:lineRule="auto"/>
        <w:ind w:right="-142"/>
        <w:jc w:val="both"/>
        <w:rPr>
          <w:rFonts w:ascii="Times New Roman" w:eastAsia="Times New Roman" w:hAnsi="Times New Roman" w:cs="Times New Roman"/>
          <w:sz w:val="24"/>
          <w:szCs w:val="24"/>
        </w:rPr>
      </w:pPr>
    </w:p>
    <w:p w14:paraId="7EAA3531" w14:textId="77777777" w:rsidR="00832F98" w:rsidRPr="005107DF" w:rsidRDefault="00832F98" w:rsidP="00A92DE1">
      <w:pPr>
        <w:spacing w:after="0" w:line="240" w:lineRule="auto"/>
        <w:ind w:right="-142"/>
        <w:jc w:val="both"/>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 xml:space="preserve">. Enseignements tirés </w:t>
      </w:r>
    </w:p>
    <w:p w14:paraId="62C78B70" w14:textId="77777777" w:rsidR="00832F98" w:rsidRPr="005107DF" w:rsidRDefault="00832F98" w:rsidP="00A92DE1">
      <w:pPr>
        <w:spacing w:after="0" w:line="240" w:lineRule="auto"/>
        <w:ind w:right="-142"/>
        <w:jc w:val="both"/>
        <w:rPr>
          <w:rFonts w:ascii="Times New Roman" w:eastAsia="Times New Roman" w:hAnsi="Times New Roman" w:cs="Times New Roman"/>
          <w:sz w:val="24"/>
          <w:szCs w:val="24"/>
        </w:rPr>
      </w:pPr>
    </w:p>
    <w:p w14:paraId="1C3D4498" w14:textId="77777777" w:rsidR="00832F98" w:rsidRPr="005107DF" w:rsidRDefault="00832F98" w:rsidP="00A92DE1">
      <w:pPr>
        <w:numPr>
          <w:ilvl w:val="0"/>
          <w:numId w:val="249"/>
        </w:numPr>
        <w:spacing w:after="0" w:line="240" w:lineRule="auto"/>
        <w:contextualSpacing/>
        <w:rPr>
          <w:rFonts w:ascii="Times New Roman" w:eastAsia="Times New Roman" w:hAnsi="Times New Roman" w:cs="Times New Roman"/>
          <w:color w:val="000000"/>
          <w:sz w:val="24"/>
          <w:szCs w:val="24"/>
        </w:rPr>
      </w:pPr>
      <w:r>
        <w:rPr>
          <w:rFonts w:ascii="Times New Roman" w:hAnsi="Times New Roman"/>
          <w:color w:val="000000"/>
          <w:sz w:val="24"/>
        </w:rPr>
        <w:t xml:space="preserve">conception de projets; </w:t>
      </w:r>
    </w:p>
    <w:p w14:paraId="757D4D30" w14:textId="77777777" w:rsidR="00832F98" w:rsidRPr="005107DF" w:rsidRDefault="00832F98" w:rsidP="007338F0">
      <w:pPr>
        <w:spacing w:after="0" w:line="240" w:lineRule="auto"/>
        <w:ind w:left="360"/>
        <w:contextualSpacing/>
        <w:rPr>
          <w:rFonts w:ascii="Times New Roman" w:eastAsia="Times New Roman" w:hAnsi="Times New Roman" w:cs="Times New Roman"/>
          <w:color w:val="000000"/>
          <w:sz w:val="24"/>
          <w:szCs w:val="24"/>
        </w:rPr>
      </w:pPr>
    </w:p>
    <w:p w14:paraId="63071FB3" w14:textId="77777777" w:rsidR="00832F98" w:rsidRPr="005107DF" w:rsidRDefault="00832F98" w:rsidP="00A92DE1">
      <w:pPr>
        <w:numPr>
          <w:ilvl w:val="0"/>
          <w:numId w:val="249"/>
        </w:numPr>
        <w:spacing w:after="0" w:line="240" w:lineRule="auto"/>
        <w:contextualSpacing/>
        <w:rPr>
          <w:rFonts w:ascii="Times New Roman" w:eastAsia="Times New Roman" w:hAnsi="Times New Roman" w:cs="Times New Roman"/>
          <w:color w:val="000000"/>
          <w:sz w:val="24"/>
          <w:szCs w:val="24"/>
        </w:rPr>
      </w:pPr>
      <w:r>
        <w:rPr>
          <w:rFonts w:ascii="Times New Roman" w:hAnsi="Times New Roman"/>
          <w:color w:val="000000"/>
          <w:sz w:val="24"/>
        </w:rPr>
        <w:t xml:space="preserve">planification du travail; </w:t>
      </w:r>
    </w:p>
    <w:p w14:paraId="2357FA35" w14:textId="77777777" w:rsidR="00832F98" w:rsidRPr="005107DF" w:rsidRDefault="00832F98" w:rsidP="00A92DE1">
      <w:pPr>
        <w:spacing w:after="0" w:line="240" w:lineRule="auto"/>
        <w:ind w:left="720"/>
        <w:contextualSpacing/>
        <w:rPr>
          <w:rFonts w:ascii="Times New Roman" w:eastAsia="Times New Roman" w:hAnsi="Times New Roman" w:cs="Times New Roman"/>
          <w:color w:val="000000"/>
          <w:sz w:val="24"/>
          <w:szCs w:val="24"/>
        </w:rPr>
      </w:pPr>
    </w:p>
    <w:p w14:paraId="0126977A" w14:textId="77777777" w:rsidR="00832F98" w:rsidRPr="005107DF" w:rsidRDefault="00832F98" w:rsidP="00A92DE1">
      <w:pPr>
        <w:numPr>
          <w:ilvl w:val="0"/>
          <w:numId w:val="249"/>
        </w:numPr>
        <w:spacing w:after="0" w:line="240" w:lineRule="auto"/>
        <w:contextualSpacing/>
        <w:rPr>
          <w:rFonts w:ascii="Times New Roman" w:eastAsia="Times New Roman" w:hAnsi="Times New Roman" w:cs="Times New Roman"/>
          <w:color w:val="000000"/>
          <w:sz w:val="24"/>
          <w:szCs w:val="24"/>
        </w:rPr>
      </w:pPr>
      <w:r>
        <w:rPr>
          <w:rFonts w:ascii="Times New Roman" w:hAnsi="Times New Roman"/>
          <w:color w:val="000000"/>
          <w:sz w:val="24"/>
        </w:rPr>
        <w:t xml:space="preserve">ressources consacrées à la mise en œuvre; </w:t>
      </w:r>
    </w:p>
    <w:p w14:paraId="408DDD17" w14:textId="77777777" w:rsidR="00832F98" w:rsidRPr="005107DF" w:rsidRDefault="00832F98" w:rsidP="00A92DE1">
      <w:pPr>
        <w:spacing w:after="0" w:line="240" w:lineRule="auto"/>
        <w:ind w:left="720"/>
        <w:contextualSpacing/>
        <w:rPr>
          <w:rFonts w:ascii="Times New Roman" w:eastAsia="Times New Roman" w:hAnsi="Times New Roman" w:cs="Times New Roman"/>
          <w:color w:val="000000"/>
          <w:sz w:val="24"/>
          <w:szCs w:val="24"/>
        </w:rPr>
      </w:pPr>
    </w:p>
    <w:p w14:paraId="1D6796EC" w14:textId="77777777" w:rsidR="00832F98" w:rsidRPr="005107DF" w:rsidRDefault="00832F98" w:rsidP="00A92DE1">
      <w:pPr>
        <w:numPr>
          <w:ilvl w:val="0"/>
          <w:numId w:val="249"/>
        </w:numPr>
        <w:spacing w:after="0" w:line="240" w:lineRule="auto"/>
        <w:contextualSpacing/>
        <w:rPr>
          <w:rFonts w:ascii="Times New Roman" w:eastAsia="Times New Roman" w:hAnsi="Times New Roman" w:cs="Times New Roman"/>
          <w:color w:val="000000"/>
          <w:sz w:val="24"/>
          <w:szCs w:val="24"/>
        </w:rPr>
      </w:pPr>
      <w:r>
        <w:rPr>
          <w:rFonts w:ascii="Times New Roman" w:hAnsi="Times New Roman"/>
          <w:color w:val="000000"/>
          <w:sz w:val="24"/>
        </w:rPr>
        <w:t>hypothèses et atténuation des risques;</w:t>
      </w:r>
    </w:p>
    <w:p w14:paraId="2A159954" w14:textId="77777777" w:rsidR="00832F98" w:rsidRPr="005107DF" w:rsidRDefault="00832F98" w:rsidP="00A92DE1">
      <w:pPr>
        <w:spacing w:after="0" w:line="240" w:lineRule="auto"/>
        <w:ind w:left="720"/>
        <w:contextualSpacing/>
        <w:rPr>
          <w:rFonts w:ascii="Times New Roman" w:eastAsia="Times New Roman" w:hAnsi="Times New Roman" w:cs="Times New Roman"/>
          <w:color w:val="000000"/>
          <w:sz w:val="24"/>
          <w:szCs w:val="24"/>
        </w:rPr>
      </w:pPr>
    </w:p>
    <w:p w14:paraId="19A7EAD5" w14:textId="77777777" w:rsidR="00832F98" w:rsidRPr="005107DF" w:rsidRDefault="00832F98" w:rsidP="007338F0">
      <w:pPr>
        <w:numPr>
          <w:ilvl w:val="0"/>
          <w:numId w:val="249"/>
        </w:numPr>
        <w:spacing w:after="0" w:line="240" w:lineRule="auto"/>
        <w:contextualSpacing/>
        <w:rPr>
          <w:rFonts w:ascii="Times New Roman" w:eastAsia="Times New Roman" w:hAnsi="Times New Roman" w:cs="Times New Roman"/>
          <w:color w:val="000000"/>
          <w:sz w:val="24"/>
          <w:szCs w:val="24"/>
        </w:rPr>
      </w:pPr>
      <w:r>
        <w:rPr>
          <w:rFonts w:ascii="Times New Roman" w:hAnsi="Times New Roman"/>
          <w:color w:val="000000"/>
          <w:sz w:val="24"/>
        </w:rPr>
        <w:t>etc.</w:t>
      </w:r>
    </w:p>
    <w:p w14:paraId="59E8B383" w14:textId="77777777" w:rsidR="00832F98" w:rsidRPr="005107DF" w:rsidRDefault="00832F98" w:rsidP="00A92DE1">
      <w:pPr>
        <w:rPr>
          <w:rFonts w:ascii="Times New Roman" w:eastAsia="Times New Roman" w:hAnsi="Times New Roman" w:cs="Times New Roman"/>
          <w:color w:val="000000"/>
          <w:sz w:val="24"/>
          <w:szCs w:val="24"/>
        </w:rPr>
      </w:pPr>
      <w:r>
        <w:br w:type="page"/>
      </w:r>
    </w:p>
    <w:p w14:paraId="4F3B8307" w14:textId="77777777" w:rsidR="00832F98" w:rsidRPr="005107DF" w:rsidRDefault="00832F98"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sz w:val="28"/>
          <w:szCs w:val="28"/>
        </w:rPr>
      </w:pPr>
      <w:r>
        <w:rPr>
          <w:rFonts w:ascii="Times New Roman" w:hAnsi="Times New Roman"/>
          <w:b/>
          <w:sz w:val="28"/>
        </w:rPr>
        <w:lastRenderedPageBreak/>
        <w:t>Section </w:t>
      </w:r>
      <w:r w:rsidRPr="00452C1A">
        <w:rPr>
          <w:rFonts w:ascii="Times New Roman" w:hAnsi="Times New Roman"/>
          <w:b/>
          <w:sz w:val="28"/>
        </w:rPr>
        <w:t>1</w:t>
      </w:r>
      <w:r>
        <w:rPr>
          <w:rFonts w:ascii="Times New Roman" w:hAnsi="Times New Roman"/>
          <w:b/>
          <w:sz w:val="28"/>
        </w:rPr>
        <w:t>: Informations sur le projet</w:t>
      </w:r>
    </w:p>
    <w:p w14:paraId="391E8699" w14:textId="77777777" w:rsidR="00832F98" w:rsidRPr="005107DF" w:rsidRDefault="00832F98" w:rsidP="00A92DE1">
      <w:pPr>
        <w:numPr>
          <w:ilvl w:val="12"/>
          <w:numId w:val="0"/>
        </w:numPr>
        <w:spacing w:after="0" w:line="240" w:lineRule="auto"/>
        <w:jc w:val="both"/>
        <w:rPr>
          <w:rFonts w:ascii="Times New Roman" w:eastAsia="Times New Roman" w:hAnsi="Times New Roman" w:cs="Times New Roman"/>
          <w:b/>
          <w:sz w:val="24"/>
          <w:szCs w:val="24"/>
        </w:rPr>
      </w:pPr>
    </w:p>
    <w:p w14:paraId="631E7A5D" w14:textId="77777777" w:rsidR="00832F98" w:rsidRPr="005107DF" w:rsidRDefault="00832F98" w:rsidP="00A92DE1">
      <w:pPr>
        <w:numPr>
          <w:ilvl w:val="12"/>
          <w:numId w:val="0"/>
        </w:numPr>
        <w:spacing w:after="0" w:line="240" w:lineRule="auto"/>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6"/>
        <w:gridCol w:w="6856"/>
      </w:tblGrid>
      <w:tr w:rsidR="00832F98" w:rsidRPr="005107DF" w14:paraId="43329418" w14:textId="77777777" w:rsidTr="00F01DAD">
        <w:trPr>
          <w:trHeight w:val="600"/>
        </w:trPr>
        <w:tc>
          <w:tcPr>
            <w:tcW w:w="1279" w:type="pct"/>
          </w:tcPr>
          <w:p w14:paraId="2349395F"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b/>
                <w:sz w:val="24"/>
                <w:szCs w:val="24"/>
              </w:rPr>
            </w:pPr>
            <w:r>
              <w:rPr>
                <w:rFonts w:ascii="Times New Roman" w:hAnsi="Times New Roman"/>
                <w:b/>
                <w:sz w:val="24"/>
              </w:rPr>
              <w:t xml:space="preserve">Numéro du contrat de subvention de </w:t>
            </w:r>
            <w:r>
              <w:rPr>
                <w:rFonts w:ascii="Times New Roman" w:hAnsi="Times New Roman"/>
                <w:color w:val="000000"/>
                <w:sz w:val="24"/>
              </w:rPr>
              <w:t xml:space="preserve"> </w:t>
            </w:r>
            <w:r>
              <w:rPr>
                <w:rFonts w:ascii="Times New Roman" w:hAnsi="Times New Roman"/>
                <w:b/>
                <w:sz w:val="24"/>
              </w:rPr>
              <w:t>jumelage:</w:t>
            </w:r>
          </w:p>
        </w:tc>
        <w:tc>
          <w:tcPr>
            <w:tcW w:w="3721" w:type="pct"/>
          </w:tcPr>
          <w:p w14:paraId="4B2AC774"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sz w:val="24"/>
                <w:szCs w:val="24"/>
              </w:rPr>
            </w:pPr>
          </w:p>
        </w:tc>
      </w:tr>
      <w:tr w:rsidR="00832F98" w:rsidRPr="005107DF" w14:paraId="25C4FC01" w14:textId="77777777" w:rsidTr="00F01DAD">
        <w:trPr>
          <w:trHeight w:val="600"/>
        </w:trPr>
        <w:tc>
          <w:tcPr>
            <w:tcW w:w="1279" w:type="pct"/>
          </w:tcPr>
          <w:p w14:paraId="0668263A"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b/>
                <w:sz w:val="24"/>
                <w:szCs w:val="24"/>
              </w:rPr>
            </w:pPr>
          </w:p>
          <w:p w14:paraId="648F39D0"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b/>
                <w:sz w:val="24"/>
                <w:szCs w:val="24"/>
              </w:rPr>
            </w:pPr>
            <w:r>
              <w:rPr>
                <w:rFonts w:ascii="Times New Roman" w:hAnsi="Times New Roman"/>
                <w:b/>
                <w:sz w:val="24"/>
              </w:rPr>
              <w:t>Intitulé du projet:</w:t>
            </w:r>
          </w:p>
          <w:p w14:paraId="65A9C9FC"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b/>
                <w:sz w:val="24"/>
                <w:szCs w:val="24"/>
              </w:rPr>
            </w:pPr>
          </w:p>
        </w:tc>
        <w:tc>
          <w:tcPr>
            <w:tcW w:w="3721" w:type="pct"/>
          </w:tcPr>
          <w:p w14:paraId="3DB6B831"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sz w:val="24"/>
                <w:szCs w:val="24"/>
              </w:rPr>
            </w:pPr>
          </w:p>
        </w:tc>
      </w:tr>
      <w:tr w:rsidR="00832F98" w:rsidRPr="005107DF" w14:paraId="40A4809A" w14:textId="77777777" w:rsidTr="00F01DAD">
        <w:trPr>
          <w:trHeight w:val="600"/>
        </w:trPr>
        <w:tc>
          <w:tcPr>
            <w:tcW w:w="1279" w:type="pct"/>
          </w:tcPr>
          <w:p w14:paraId="110481CA"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b/>
                <w:sz w:val="24"/>
                <w:szCs w:val="24"/>
              </w:rPr>
            </w:pPr>
            <w:r>
              <w:rPr>
                <w:rFonts w:ascii="Times New Roman" w:hAnsi="Times New Roman"/>
                <w:b/>
                <w:sz w:val="24"/>
              </w:rPr>
              <w:t>Partenaires de jumelage [État(s) membre(s) et bénéficiaire]:</w:t>
            </w:r>
          </w:p>
        </w:tc>
        <w:tc>
          <w:tcPr>
            <w:tcW w:w="3721" w:type="pct"/>
          </w:tcPr>
          <w:p w14:paraId="74F3EA89"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Text242"/>
                  <w:enabled/>
                  <w:calcOnExit w:val="0"/>
                  <w:textInput/>
                </w:ffData>
              </w:fldChar>
            </w:r>
            <w:r>
              <w:rPr>
                <w:rFonts w:ascii="Times New Roman" w:eastAsia="Times New Roman" w:hAnsi="Times New Roman" w:cs="Times New Roman"/>
                <w:sz w:val="24"/>
                <w:szCs w:val="24"/>
              </w:rPr>
              <w:instrText xml:space="preserve"> FORMTEXT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hAnsi="Times New Roman"/>
                <w:sz w:val="24"/>
              </w:rPr>
              <w:t>     </w:t>
            </w:r>
            <w:r>
              <w:fldChar w:fldCharType="end"/>
            </w:r>
          </w:p>
          <w:p w14:paraId="4C7986E6"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Text242"/>
                  <w:enabled/>
                  <w:calcOnExit w:val="0"/>
                  <w:textInput/>
                </w:ffData>
              </w:fldChar>
            </w:r>
            <w:r>
              <w:rPr>
                <w:rFonts w:ascii="Times New Roman" w:eastAsia="Times New Roman" w:hAnsi="Times New Roman" w:cs="Times New Roman"/>
                <w:sz w:val="24"/>
                <w:szCs w:val="24"/>
              </w:rPr>
              <w:instrText xml:space="preserve"> FORMTEXT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hAnsi="Times New Roman"/>
                <w:sz w:val="24"/>
              </w:rPr>
              <w:t>     </w:t>
            </w:r>
            <w:r>
              <w:fldChar w:fldCharType="end"/>
            </w:r>
          </w:p>
          <w:p w14:paraId="6D390C94"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sz w:val="24"/>
                <w:szCs w:val="24"/>
              </w:rPr>
            </w:pPr>
          </w:p>
        </w:tc>
      </w:tr>
      <w:tr w:rsidR="00832F98" w:rsidRPr="005107DF" w14:paraId="3CDF57E2" w14:textId="77777777" w:rsidTr="00F01DAD">
        <w:trPr>
          <w:trHeight w:val="600"/>
        </w:trPr>
        <w:tc>
          <w:tcPr>
            <w:tcW w:w="1279" w:type="pct"/>
          </w:tcPr>
          <w:p w14:paraId="01E67116"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b/>
                <w:sz w:val="24"/>
                <w:szCs w:val="24"/>
              </w:rPr>
            </w:pPr>
            <w:r>
              <w:rPr>
                <w:rFonts w:ascii="Times New Roman" w:hAnsi="Times New Roman"/>
                <w:b/>
                <w:sz w:val="24"/>
              </w:rPr>
              <w:t>Durée du projet:</w:t>
            </w:r>
          </w:p>
        </w:tc>
        <w:tc>
          <w:tcPr>
            <w:tcW w:w="3721" w:type="pct"/>
          </w:tcPr>
          <w:p w14:paraId="008D0401"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Text241"/>
                  <w:enabled/>
                  <w:calcOnExit w:val="0"/>
                  <w:textInput/>
                </w:ffData>
              </w:fldChar>
            </w:r>
            <w:r>
              <w:rPr>
                <w:rFonts w:ascii="Times New Roman" w:eastAsia="Times New Roman" w:hAnsi="Times New Roman" w:cs="Times New Roman"/>
                <w:sz w:val="24"/>
                <w:szCs w:val="24"/>
              </w:rPr>
              <w:instrText xml:space="preserve"> FORMTEXT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hAnsi="Times New Roman"/>
                <w:sz w:val="24"/>
              </w:rPr>
              <w:t>     </w:t>
            </w:r>
            <w:r>
              <w:fldChar w:fldCharType="end"/>
            </w:r>
          </w:p>
        </w:tc>
      </w:tr>
      <w:tr w:rsidR="00832F98" w:rsidRPr="005107DF" w14:paraId="011203C9" w14:textId="77777777" w:rsidTr="00F01DAD">
        <w:trPr>
          <w:trHeight w:val="600"/>
        </w:trPr>
        <w:tc>
          <w:tcPr>
            <w:tcW w:w="1279" w:type="pct"/>
            <w:vAlign w:val="center"/>
          </w:tcPr>
          <w:p w14:paraId="5F3B4871"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b/>
                <w:sz w:val="24"/>
                <w:szCs w:val="24"/>
              </w:rPr>
            </w:pPr>
            <w:r>
              <w:rPr>
                <w:rFonts w:ascii="Times New Roman" w:hAnsi="Times New Roman"/>
                <w:b/>
                <w:sz w:val="24"/>
              </w:rPr>
              <w:t>Chef de projet de l’État membre:</w:t>
            </w:r>
          </w:p>
        </w:tc>
        <w:tc>
          <w:tcPr>
            <w:tcW w:w="3721" w:type="pct"/>
          </w:tcPr>
          <w:p w14:paraId="005711DD"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Text242"/>
                  <w:enabled/>
                  <w:calcOnExit w:val="0"/>
                  <w:textInput/>
                </w:ffData>
              </w:fldChar>
            </w:r>
            <w:r>
              <w:rPr>
                <w:rFonts w:ascii="Times New Roman" w:eastAsia="Times New Roman" w:hAnsi="Times New Roman" w:cs="Times New Roman"/>
                <w:sz w:val="24"/>
                <w:szCs w:val="24"/>
              </w:rPr>
              <w:instrText xml:space="preserve"> FORMTEXT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hAnsi="Times New Roman"/>
                <w:sz w:val="24"/>
              </w:rPr>
              <w:t>     </w:t>
            </w:r>
            <w:r>
              <w:fldChar w:fldCharType="end"/>
            </w:r>
          </w:p>
          <w:p w14:paraId="2754F399"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sz w:val="24"/>
                <w:szCs w:val="24"/>
              </w:rPr>
            </w:pPr>
          </w:p>
        </w:tc>
      </w:tr>
      <w:tr w:rsidR="00832F98" w:rsidRPr="005107DF" w14:paraId="351D7584" w14:textId="77777777" w:rsidTr="00F01DAD">
        <w:trPr>
          <w:trHeight w:val="600"/>
        </w:trPr>
        <w:tc>
          <w:tcPr>
            <w:tcW w:w="1279" w:type="pct"/>
            <w:vAlign w:val="center"/>
          </w:tcPr>
          <w:p w14:paraId="2B27F7A9"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b/>
                <w:sz w:val="24"/>
                <w:szCs w:val="24"/>
              </w:rPr>
            </w:pPr>
            <w:r>
              <w:rPr>
                <w:rFonts w:ascii="Times New Roman" w:hAnsi="Times New Roman"/>
                <w:b/>
                <w:sz w:val="24"/>
              </w:rPr>
              <w:t>Chef de projet du pays bénéficiaire:</w:t>
            </w:r>
          </w:p>
        </w:tc>
        <w:tc>
          <w:tcPr>
            <w:tcW w:w="3721" w:type="pct"/>
          </w:tcPr>
          <w:p w14:paraId="3754C65E"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Text242"/>
                  <w:enabled/>
                  <w:calcOnExit w:val="0"/>
                  <w:textInput/>
                </w:ffData>
              </w:fldChar>
            </w:r>
            <w:r>
              <w:rPr>
                <w:rFonts w:ascii="Times New Roman" w:eastAsia="Times New Roman" w:hAnsi="Times New Roman" w:cs="Times New Roman"/>
                <w:sz w:val="24"/>
                <w:szCs w:val="24"/>
              </w:rPr>
              <w:instrText xml:space="preserve"> FORMTEXT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hAnsi="Times New Roman"/>
                <w:sz w:val="24"/>
              </w:rPr>
              <w:t>     </w:t>
            </w:r>
            <w:r>
              <w:fldChar w:fldCharType="end"/>
            </w:r>
          </w:p>
          <w:p w14:paraId="4A4ADD6D"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sz w:val="24"/>
                <w:szCs w:val="24"/>
              </w:rPr>
            </w:pPr>
          </w:p>
        </w:tc>
      </w:tr>
    </w:tbl>
    <w:p w14:paraId="46321767" w14:textId="77777777" w:rsidR="00832F98" w:rsidRPr="005107DF" w:rsidRDefault="00832F98" w:rsidP="00A92DE1">
      <w:pPr>
        <w:tabs>
          <w:tab w:val="left" w:pos="3402"/>
          <w:tab w:val="left" w:pos="4395"/>
        </w:tabs>
        <w:spacing w:after="0" w:line="240" w:lineRule="auto"/>
        <w:jc w:val="center"/>
        <w:rPr>
          <w:rFonts w:ascii="Times New Roman" w:eastAsia="Times New Roman" w:hAnsi="Times New Roman" w:cs="Times New Roman"/>
          <w:sz w:val="24"/>
          <w:szCs w:val="24"/>
        </w:rPr>
      </w:pPr>
    </w:p>
    <w:p w14:paraId="0AB8AB14" w14:textId="77777777" w:rsidR="00832F98" w:rsidRPr="005107DF" w:rsidRDefault="00832F98" w:rsidP="00A92DE1">
      <w:pPr>
        <w:rPr>
          <w:rFonts w:ascii="Times New Roman" w:eastAsia="Times New Roman" w:hAnsi="Times New Roman" w:cs="Times New Roman"/>
          <w:sz w:val="24"/>
          <w:szCs w:val="24"/>
        </w:rPr>
      </w:pPr>
      <w:r>
        <w:br w:type="page"/>
      </w:r>
    </w:p>
    <w:p w14:paraId="6987DDE1" w14:textId="77777777" w:rsidR="00832F98" w:rsidRPr="005107DF" w:rsidRDefault="00832F98"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sz w:val="28"/>
          <w:szCs w:val="28"/>
        </w:rPr>
      </w:pPr>
      <w:r>
        <w:rPr>
          <w:rFonts w:ascii="Times New Roman" w:hAnsi="Times New Roman"/>
          <w:b/>
          <w:sz w:val="28"/>
        </w:rPr>
        <w:lastRenderedPageBreak/>
        <w:t>Section </w:t>
      </w:r>
      <w:r w:rsidRPr="00452C1A">
        <w:rPr>
          <w:rFonts w:ascii="Times New Roman" w:hAnsi="Times New Roman"/>
          <w:b/>
          <w:sz w:val="28"/>
        </w:rPr>
        <w:t>2</w:t>
      </w:r>
      <w:r>
        <w:rPr>
          <w:rFonts w:ascii="Times New Roman" w:hAnsi="Times New Roman"/>
          <w:b/>
          <w:sz w:val="28"/>
        </w:rPr>
        <w:t>: Contenu</w:t>
      </w:r>
    </w:p>
    <w:p w14:paraId="1C57E2BF" w14:textId="77777777" w:rsidR="00832F98" w:rsidRPr="005107DF" w:rsidRDefault="00832F98" w:rsidP="00A92DE1">
      <w:pPr>
        <w:numPr>
          <w:ilvl w:val="12"/>
          <w:numId w:val="0"/>
        </w:numPr>
        <w:spacing w:after="0" w:line="240" w:lineRule="auto"/>
        <w:jc w:val="both"/>
        <w:rPr>
          <w:rFonts w:ascii="Times New Roman" w:eastAsia="Times New Roman" w:hAnsi="Times New Roman" w:cs="Times New Roman"/>
          <w:sz w:val="24"/>
          <w:szCs w:val="24"/>
        </w:rPr>
      </w:pPr>
    </w:p>
    <w:p w14:paraId="72A28357" w14:textId="77777777" w:rsidR="00832F98" w:rsidRPr="005107DF" w:rsidRDefault="00832F98" w:rsidP="00A92DE1">
      <w:pPr>
        <w:numPr>
          <w:ilvl w:val="12"/>
          <w:numId w:val="0"/>
        </w:num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Cette partie décrit les réalisations du projet. Elle est subdivisée en dix sections. </w:t>
      </w:r>
    </w:p>
    <w:p w14:paraId="5F958528" w14:textId="77777777" w:rsidR="00832F98" w:rsidRPr="005107DF" w:rsidRDefault="00832F98" w:rsidP="00A92DE1">
      <w:pPr>
        <w:numPr>
          <w:ilvl w:val="12"/>
          <w:numId w:val="0"/>
        </w:numPr>
        <w:spacing w:after="0" w:line="240" w:lineRule="auto"/>
        <w:jc w:val="both"/>
        <w:rPr>
          <w:rFonts w:ascii="Times New Roman" w:eastAsia="Times New Roman" w:hAnsi="Times New Roman" w:cs="Times New Roman"/>
          <w:sz w:val="24"/>
          <w:szCs w:val="24"/>
        </w:rPr>
      </w:pPr>
    </w:p>
    <w:p w14:paraId="062246BF" w14:textId="3F5C1847" w:rsidR="00832F98" w:rsidRPr="005107DF" w:rsidRDefault="00832F98" w:rsidP="00A92DE1">
      <w:pPr>
        <w:spacing w:after="0" w:line="480" w:lineRule="auto"/>
        <w:jc w:val="both"/>
        <w:rPr>
          <w:rFonts w:ascii="Times New Roman" w:eastAsia="Times New Roman" w:hAnsi="Times New Roman" w:cs="Times New Roman"/>
          <w:b/>
          <w:sz w:val="24"/>
          <w:szCs w:val="24"/>
        </w:rPr>
      </w:pPr>
      <w:r w:rsidRPr="00452C1A">
        <w:rPr>
          <w:rFonts w:ascii="Times New Roman" w:hAnsi="Times New Roman"/>
          <w:b/>
          <w:sz w:val="24"/>
        </w:rPr>
        <w:t>2</w:t>
      </w:r>
      <w:r w:rsidR="00434C10">
        <w:rPr>
          <w:rFonts w:ascii="Times New Roman" w:hAnsi="Times New Roman"/>
          <w:b/>
          <w:sz w:val="24"/>
        </w:rPr>
        <w:t xml:space="preserve">A  </w:t>
      </w:r>
      <w:r>
        <w:rPr>
          <w:rFonts w:ascii="Times New Roman" w:hAnsi="Times New Roman"/>
          <w:b/>
          <w:sz w:val="24"/>
        </w:rPr>
        <w:t>RÉSUMÉ</w:t>
      </w:r>
    </w:p>
    <w:p w14:paraId="6C00C07C" w14:textId="09CDDA5A" w:rsidR="00832F98" w:rsidRPr="005107DF" w:rsidRDefault="00832F98" w:rsidP="00A92DE1">
      <w:pPr>
        <w:spacing w:after="0" w:line="480" w:lineRule="auto"/>
        <w:jc w:val="both"/>
        <w:rPr>
          <w:rFonts w:ascii="Times New Roman" w:eastAsia="Times New Roman" w:hAnsi="Times New Roman" w:cs="Times New Roman"/>
          <w:b/>
          <w:sz w:val="24"/>
          <w:szCs w:val="24"/>
        </w:rPr>
      </w:pPr>
      <w:r w:rsidRPr="00452C1A">
        <w:rPr>
          <w:rFonts w:ascii="Times New Roman" w:hAnsi="Times New Roman"/>
          <w:b/>
          <w:sz w:val="24"/>
        </w:rPr>
        <w:t>2</w:t>
      </w:r>
      <w:r w:rsidR="00434C10">
        <w:rPr>
          <w:rFonts w:ascii="Times New Roman" w:hAnsi="Times New Roman"/>
          <w:b/>
          <w:sz w:val="24"/>
        </w:rPr>
        <w:t xml:space="preserve">B  </w:t>
      </w:r>
      <w:r>
        <w:rPr>
          <w:rFonts w:ascii="Times New Roman" w:hAnsi="Times New Roman"/>
          <w:b/>
          <w:sz w:val="24"/>
        </w:rPr>
        <w:t>CONTEXTE</w:t>
      </w:r>
    </w:p>
    <w:p w14:paraId="73E5509A" w14:textId="791E753D" w:rsidR="00832F98" w:rsidRPr="005107DF" w:rsidRDefault="00832F98" w:rsidP="00A92DE1">
      <w:pPr>
        <w:spacing w:after="0" w:line="480" w:lineRule="auto"/>
        <w:jc w:val="both"/>
        <w:rPr>
          <w:rFonts w:ascii="Times New Roman" w:eastAsia="Times New Roman" w:hAnsi="Times New Roman" w:cs="Times New Roman"/>
          <w:b/>
          <w:sz w:val="24"/>
          <w:szCs w:val="24"/>
        </w:rPr>
      </w:pPr>
      <w:r w:rsidRPr="00452C1A">
        <w:rPr>
          <w:rFonts w:ascii="Times New Roman" w:hAnsi="Times New Roman"/>
          <w:b/>
          <w:sz w:val="24"/>
        </w:rPr>
        <w:t>2</w:t>
      </w:r>
      <w:r w:rsidR="00434C10">
        <w:rPr>
          <w:rFonts w:ascii="Times New Roman" w:hAnsi="Times New Roman"/>
          <w:b/>
          <w:sz w:val="24"/>
        </w:rPr>
        <w:t xml:space="preserve">C  </w:t>
      </w:r>
      <w:r>
        <w:rPr>
          <w:rFonts w:ascii="Times New Roman" w:hAnsi="Times New Roman"/>
          <w:b/>
          <w:sz w:val="24"/>
        </w:rPr>
        <w:t>PROCESSUS DE MISE EN ŒUVRE</w:t>
      </w:r>
    </w:p>
    <w:p w14:paraId="3F521204" w14:textId="527E821A" w:rsidR="00832F98" w:rsidRPr="005107DF" w:rsidRDefault="00832F98" w:rsidP="00A92DE1">
      <w:pPr>
        <w:spacing w:after="0" w:line="480" w:lineRule="auto"/>
        <w:jc w:val="both"/>
        <w:rPr>
          <w:rFonts w:ascii="Times New Roman" w:eastAsia="Times New Roman" w:hAnsi="Times New Roman" w:cs="Times New Roman"/>
          <w:b/>
          <w:sz w:val="24"/>
          <w:szCs w:val="24"/>
        </w:rPr>
      </w:pPr>
      <w:r w:rsidRPr="00452C1A">
        <w:rPr>
          <w:rFonts w:ascii="Times New Roman" w:hAnsi="Times New Roman"/>
          <w:b/>
          <w:sz w:val="24"/>
        </w:rPr>
        <w:t>2</w:t>
      </w:r>
      <w:r w:rsidR="00434C10">
        <w:rPr>
          <w:rFonts w:ascii="Times New Roman" w:hAnsi="Times New Roman"/>
          <w:b/>
          <w:sz w:val="24"/>
        </w:rPr>
        <w:t xml:space="preserve">D  </w:t>
      </w:r>
      <w:r>
        <w:rPr>
          <w:rFonts w:ascii="Times New Roman" w:hAnsi="Times New Roman"/>
          <w:b/>
          <w:sz w:val="24"/>
        </w:rPr>
        <w:t xml:space="preserve">OBTENTION DES RÉSULTATS OBLIGATOIRES/PRODUITS ET INFLUENCE DIRECTE SUR LES RÉALISATIONS </w:t>
      </w:r>
    </w:p>
    <w:p w14:paraId="4A89F6D9" w14:textId="41504AFB" w:rsidR="00832F98" w:rsidRPr="005107DF" w:rsidRDefault="00832F98" w:rsidP="00A92DE1">
      <w:pPr>
        <w:spacing w:after="0" w:line="480" w:lineRule="auto"/>
        <w:jc w:val="both"/>
        <w:rPr>
          <w:rFonts w:ascii="Times New Roman" w:eastAsia="Times New Roman" w:hAnsi="Times New Roman" w:cs="Times New Roman"/>
          <w:b/>
          <w:sz w:val="24"/>
          <w:szCs w:val="24"/>
        </w:rPr>
      </w:pPr>
      <w:r w:rsidRPr="00452C1A">
        <w:rPr>
          <w:rFonts w:ascii="Times New Roman" w:hAnsi="Times New Roman"/>
          <w:b/>
          <w:sz w:val="24"/>
        </w:rPr>
        <w:t>2</w:t>
      </w:r>
      <w:r w:rsidR="00434C10">
        <w:rPr>
          <w:rFonts w:ascii="Times New Roman" w:hAnsi="Times New Roman"/>
          <w:b/>
          <w:sz w:val="24"/>
        </w:rPr>
        <w:t xml:space="preserve">E  </w:t>
      </w:r>
      <w:r>
        <w:rPr>
          <w:rFonts w:ascii="Times New Roman" w:hAnsi="Times New Roman"/>
          <w:b/>
          <w:sz w:val="24"/>
        </w:rPr>
        <w:t>IMPACT</w:t>
      </w:r>
    </w:p>
    <w:p w14:paraId="29CFC30B" w14:textId="4DFEF63D" w:rsidR="00832F98" w:rsidRPr="005107DF" w:rsidRDefault="00832F98" w:rsidP="00A92DE1">
      <w:pPr>
        <w:spacing w:after="0" w:line="480" w:lineRule="auto"/>
        <w:jc w:val="both"/>
        <w:rPr>
          <w:rFonts w:ascii="Times New Roman" w:eastAsia="Times New Roman" w:hAnsi="Times New Roman" w:cs="Times New Roman"/>
          <w:b/>
          <w:sz w:val="24"/>
          <w:szCs w:val="24"/>
        </w:rPr>
      </w:pPr>
      <w:r w:rsidRPr="00452C1A">
        <w:rPr>
          <w:rFonts w:ascii="Times New Roman" w:hAnsi="Times New Roman"/>
          <w:b/>
          <w:sz w:val="24"/>
        </w:rPr>
        <w:t>2</w:t>
      </w:r>
      <w:r w:rsidR="00434C10">
        <w:rPr>
          <w:rFonts w:ascii="Times New Roman" w:hAnsi="Times New Roman"/>
          <w:b/>
          <w:sz w:val="24"/>
        </w:rPr>
        <w:t xml:space="preserve">F  </w:t>
      </w:r>
      <w:r>
        <w:rPr>
          <w:rFonts w:ascii="Times New Roman" w:hAnsi="Times New Roman"/>
          <w:b/>
          <w:sz w:val="24"/>
        </w:rPr>
        <w:t>SUIVI ET DURABILITÉ</w:t>
      </w:r>
    </w:p>
    <w:p w14:paraId="227A392A" w14:textId="54966A07" w:rsidR="00832F98" w:rsidRPr="00FC71CF" w:rsidRDefault="00832F98" w:rsidP="00A92DE1">
      <w:pPr>
        <w:spacing w:after="0" w:line="480" w:lineRule="auto"/>
        <w:jc w:val="both"/>
        <w:rPr>
          <w:rFonts w:ascii="Times New Roman" w:eastAsia="Times New Roman" w:hAnsi="Times New Roman" w:cs="Times New Roman"/>
          <w:b/>
          <w:sz w:val="24"/>
          <w:szCs w:val="24"/>
        </w:rPr>
      </w:pPr>
      <w:r w:rsidRPr="00452C1A">
        <w:rPr>
          <w:rFonts w:ascii="Times New Roman" w:hAnsi="Times New Roman"/>
          <w:b/>
          <w:sz w:val="24"/>
        </w:rPr>
        <w:t>2</w:t>
      </w:r>
      <w:r w:rsidR="00434C10">
        <w:rPr>
          <w:rFonts w:ascii="Times New Roman" w:hAnsi="Times New Roman"/>
          <w:b/>
          <w:sz w:val="24"/>
        </w:rPr>
        <w:t xml:space="preserve">G  </w:t>
      </w:r>
      <w:r>
        <w:rPr>
          <w:rFonts w:ascii="Times New Roman" w:hAnsi="Times New Roman"/>
          <w:b/>
          <w:sz w:val="24"/>
        </w:rPr>
        <w:t>CONCLUSIONS ET RECOMMANDATIONS</w:t>
      </w:r>
    </w:p>
    <w:p w14:paraId="45EFD4A1" w14:textId="19A406C8" w:rsidR="00832F98" w:rsidRPr="00FC71CF" w:rsidRDefault="00832F98" w:rsidP="00A92DE1">
      <w:pPr>
        <w:tabs>
          <w:tab w:val="left" w:pos="3402"/>
          <w:tab w:val="left" w:pos="4395"/>
        </w:tabs>
        <w:spacing w:after="0" w:line="240" w:lineRule="auto"/>
        <w:rPr>
          <w:rFonts w:ascii="Times New Roman" w:eastAsia="Times New Roman" w:hAnsi="Times New Roman" w:cs="Times New Roman"/>
          <w:sz w:val="24"/>
          <w:szCs w:val="24"/>
        </w:rPr>
      </w:pPr>
      <w:r w:rsidRPr="00452C1A">
        <w:rPr>
          <w:rFonts w:ascii="Times New Roman" w:hAnsi="Times New Roman"/>
          <w:b/>
          <w:sz w:val="24"/>
        </w:rPr>
        <w:t>2</w:t>
      </w:r>
      <w:r w:rsidR="00434C10">
        <w:rPr>
          <w:rFonts w:ascii="Times New Roman" w:hAnsi="Times New Roman"/>
          <w:b/>
          <w:sz w:val="24"/>
        </w:rPr>
        <w:t xml:space="preserve">H  </w:t>
      </w:r>
      <w:r>
        <w:rPr>
          <w:rFonts w:ascii="Times New Roman" w:hAnsi="Times New Roman"/>
          <w:b/>
          <w:sz w:val="24"/>
        </w:rPr>
        <w:t>ANNEXES</w:t>
      </w:r>
    </w:p>
    <w:p w14:paraId="1CBCEC32" w14:textId="77777777" w:rsidR="00832F98" w:rsidRPr="00FC71CF" w:rsidRDefault="00832F98" w:rsidP="00A92DE1">
      <w:pPr>
        <w:numPr>
          <w:ilvl w:val="12"/>
          <w:numId w:val="0"/>
        </w:numPr>
        <w:spacing w:after="0" w:line="240" w:lineRule="auto"/>
        <w:jc w:val="both"/>
        <w:rPr>
          <w:rFonts w:ascii="Times New Roman" w:eastAsia="Times New Roman" w:hAnsi="Times New Roman" w:cs="Times New Roman"/>
          <w:b/>
          <w:sz w:val="24"/>
          <w:szCs w:val="24"/>
        </w:rPr>
      </w:pPr>
    </w:p>
    <w:p w14:paraId="16BE0D7D" w14:textId="77777777" w:rsidR="00832F98" w:rsidRPr="00FC71CF" w:rsidRDefault="00832F98" w:rsidP="00A92DE1">
      <w:pPr>
        <w:numPr>
          <w:ilvl w:val="12"/>
          <w:numId w:val="0"/>
        </w:numPr>
        <w:spacing w:after="0" w:line="240" w:lineRule="auto"/>
        <w:jc w:val="center"/>
        <w:rPr>
          <w:rFonts w:ascii="Times New Roman" w:eastAsia="Times New Roman" w:hAnsi="Times New Roman" w:cs="Times New Roman"/>
          <w:b/>
          <w:sz w:val="24"/>
          <w:szCs w:val="24"/>
        </w:rPr>
      </w:pPr>
      <w:r>
        <w:rPr>
          <w:rFonts w:ascii="Times New Roman" w:hAnsi="Times New Roman"/>
          <w:b/>
          <w:sz w:val="24"/>
        </w:rPr>
        <w:t>------------------</w:t>
      </w:r>
    </w:p>
    <w:p w14:paraId="1418274A" w14:textId="77777777" w:rsidR="00832F98" w:rsidRPr="00FC71CF" w:rsidRDefault="00832F98" w:rsidP="00A92DE1">
      <w:pPr>
        <w:numPr>
          <w:ilvl w:val="12"/>
          <w:numId w:val="0"/>
        </w:numPr>
        <w:spacing w:after="0" w:line="240" w:lineRule="auto"/>
        <w:jc w:val="both"/>
        <w:rPr>
          <w:rFonts w:ascii="Times New Roman" w:eastAsia="Times New Roman" w:hAnsi="Times New Roman" w:cs="Times New Roman"/>
          <w:b/>
          <w:sz w:val="24"/>
          <w:szCs w:val="24"/>
        </w:rPr>
      </w:pPr>
    </w:p>
    <w:p w14:paraId="7DA8022B" w14:textId="77777777" w:rsidR="00832F98" w:rsidRPr="005107DF" w:rsidRDefault="00832F98" w:rsidP="00A92DE1">
      <w:pPr>
        <w:spacing w:after="0" w:line="240" w:lineRule="auto"/>
        <w:rPr>
          <w:rFonts w:ascii="Times New Roman" w:eastAsia="Times New Roman" w:hAnsi="Times New Roman" w:cs="Times New Roman"/>
          <w:b/>
          <w:sz w:val="24"/>
          <w:szCs w:val="24"/>
          <w:u w:val="single"/>
        </w:rPr>
      </w:pPr>
      <w:r w:rsidRPr="00452C1A">
        <w:rPr>
          <w:rFonts w:ascii="Times New Roman" w:hAnsi="Times New Roman"/>
          <w:b/>
          <w:sz w:val="24"/>
          <w:u w:val="single"/>
        </w:rPr>
        <w:t>2</w:t>
      </w:r>
      <w:r>
        <w:rPr>
          <w:rFonts w:ascii="Times New Roman" w:hAnsi="Times New Roman"/>
          <w:b/>
          <w:sz w:val="24"/>
          <w:u w:val="single"/>
        </w:rPr>
        <w:t>A - RÉSUMÉ</w:t>
      </w:r>
    </w:p>
    <w:p w14:paraId="316825FB" w14:textId="77777777" w:rsidR="00832F98" w:rsidRPr="005107DF" w:rsidRDefault="00832F98" w:rsidP="00A92DE1">
      <w:pPr>
        <w:spacing w:after="0" w:line="240" w:lineRule="auto"/>
        <w:rPr>
          <w:rFonts w:ascii="Times New Roman" w:eastAsia="Times New Roman" w:hAnsi="Times New Roman" w:cs="Times New Roman"/>
          <w:b/>
          <w:sz w:val="24"/>
          <w:szCs w:val="24"/>
        </w:rPr>
      </w:pPr>
    </w:p>
    <w:p w14:paraId="0385D97E"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 xml:space="preserve">Le résumé sera court, mais couvrira néanmoins l’ensemble des activités réalisées dans le cadre de la mise en œuvre du projet, y compris les actions de communication et de visibilité, les actions en faveur de la durabilité, etc. </w:t>
      </w:r>
    </w:p>
    <w:p w14:paraId="40F558F1"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1F61E8CC" w14:textId="77777777" w:rsidR="00832F98" w:rsidRPr="005107DF" w:rsidRDefault="00832F98" w:rsidP="00D03D03">
      <w:pPr>
        <w:rPr>
          <w:rFonts w:ascii="Times New Roman" w:hAnsi="Times New Roman" w:cs="Times New Roman"/>
          <w:b/>
          <w:sz w:val="24"/>
          <w:szCs w:val="24"/>
        </w:rPr>
      </w:pPr>
      <w:r>
        <w:rPr>
          <w:rFonts w:ascii="Times New Roman" w:hAnsi="Times New Roman"/>
          <w:b/>
          <w:sz w:val="24"/>
        </w:rPr>
        <w:t>Objectifs généraux</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832F98" w:rsidRPr="005107DF" w14:paraId="534D76B5" w14:textId="77777777" w:rsidTr="005D336D">
        <w:tc>
          <w:tcPr>
            <w:tcW w:w="3708" w:type="dxa"/>
            <w:shd w:val="clear" w:color="auto" w:fill="C0C0C0"/>
          </w:tcPr>
          <w:p w14:paraId="0A2CAC62" w14:textId="77777777" w:rsidR="00832F98" w:rsidRPr="005107DF" w:rsidRDefault="00832F98" w:rsidP="005D336D">
            <w:pPr>
              <w:tabs>
                <w:tab w:val="left" w:pos="2268"/>
              </w:tabs>
              <w:spacing w:before="240" w:after="60" w:line="240" w:lineRule="auto"/>
              <w:outlineLvl w:val="6"/>
              <w:rPr>
                <w:rFonts w:ascii="Times New Roman" w:eastAsia="Times New Roman" w:hAnsi="Times New Roman" w:cs="Times New Roman"/>
                <w:sz w:val="24"/>
                <w:szCs w:val="24"/>
              </w:rPr>
            </w:pPr>
            <w:r>
              <w:rPr>
                <w:rFonts w:ascii="Times New Roman" w:hAnsi="Times New Roman"/>
                <w:sz w:val="24"/>
              </w:rPr>
              <w:t>Objectif général et indicateurs de résultat (tels qu’inscrits dans le cadre logique)</w:t>
            </w:r>
          </w:p>
        </w:tc>
        <w:tc>
          <w:tcPr>
            <w:tcW w:w="5400" w:type="dxa"/>
            <w:shd w:val="clear" w:color="auto" w:fill="C0C0C0"/>
          </w:tcPr>
          <w:p w14:paraId="6EDDF002" w14:textId="77777777" w:rsidR="00832F98" w:rsidRPr="005107DF" w:rsidRDefault="00832F98" w:rsidP="005D336D">
            <w:pPr>
              <w:tabs>
                <w:tab w:val="left" w:pos="2268"/>
              </w:tabs>
              <w:spacing w:after="0" w:line="240" w:lineRule="auto"/>
              <w:rPr>
                <w:rFonts w:ascii="Times New Roman" w:eastAsia="Times New Roman" w:hAnsi="Times New Roman" w:cs="Times New Roman"/>
                <w:b/>
                <w:sz w:val="24"/>
                <w:szCs w:val="24"/>
              </w:rPr>
            </w:pPr>
            <w:r>
              <w:rPr>
                <w:rFonts w:ascii="Times New Roman" w:hAnsi="Times New Roman"/>
                <w:b/>
                <w:sz w:val="24"/>
              </w:rPr>
              <w:t>État de réalisation/problèmes rencontrés</w:t>
            </w:r>
          </w:p>
        </w:tc>
      </w:tr>
      <w:tr w:rsidR="00832F98" w:rsidRPr="005107DF" w14:paraId="0DA504D2" w14:textId="77777777" w:rsidTr="005D336D">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5DCFF2DE" w14:textId="77777777" w:rsidR="00832F98" w:rsidRPr="005107DF" w:rsidRDefault="00832F98" w:rsidP="005D336D">
            <w:pPr>
              <w:spacing w:after="0" w:line="240" w:lineRule="auto"/>
              <w:jc w:val="both"/>
              <w:rPr>
                <w:rFonts w:ascii="Times New Roman" w:eastAsia="Times New Roman" w:hAnsi="Times New Roman" w:cs="Times New Roman"/>
                <w:b/>
                <w:snapToGrid w:val="0"/>
                <w:sz w:val="24"/>
                <w:szCs w:val="24"/>
              </w:rPr>
            </w:pPr>
            <w:r>
              <w:rPr>
                <w:rFonts w:ascii="Times New Roman" w:hAnsi="Times New Roman"/>
                <w:b/>
                <w:snapToGrid w:val="0"/>
                <w:sz w:val="24"/>
              </w:rPr>
              <w:t xml:space="preserve">Objectif général (repris du cadre logique) </w:t>
            </w:r>
          </w:p>
        </w:tc>
      </w:tr>
      <w:tr w:rsidR="00832F98" w:rsidRPr="005107DF" w14:paraId="4273B41B" w14:textId="77777777" w:rsidTr="005D336D">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0EB69B6C" w14:textId="77777777" w:rsidR="00832F98" w:rsidRPr="005107DF" w:rsidRDefault="00832F98" w:rsidP="005D336D">
            <w:pPr>
              <w:tabs>
                <w:tab w:val="left" w:pos="2268"/>
              </w:tabs>
              <w:spacing w:after="0" w:line="240" w:lineRule="auto"/>
              <w:rPr>
                <w:rFonts w:ascii="Times New Roman" w:eastAsia="Times New Roman" w:hAnsi="Times New Roman" w:cs="Times New Roman"/>
                <w:i/>
                <w:sz w:val="24"/>
                <w:szCs w:val="24"/>
              </w:rPr>
            </w:pPr>
            <w:r>
              <w:rPr>
                <w:rFonts w:ascii="Times New Roman" w:hAnsi="Times New Roman"/>
                <w:i/>
                <w:sz w:val="24"/>
              </w:rPr>
              <w:t xml:space="preserve">Indicateur de résultat (repris du cadre logique) </w:t>
            </w:r>
          </w:p>
        </w:tc>
        <w:tc>
          <w:tcPr>
            <w:tcW w:w="5400" w:type="dxa"/>
            <w:tcBorders>
              <w:top w:val="single" w:sz="6" w:space="0" w:color="auto"/>
              <w:left w:val="single" w:sz="6" w:space="0" w:color="auto"/>
              <w:bottom w:val="single" w:sz="6" w:space="0" w:color="auto"/>
              <w:right w:val="single" w:sz="6" w:space="0" w:color="auto"/>
            </w:tcBorders>
          </w:tcPr>
          <w:p w14:paraId="0E753B61" w14:textId="77777777" w:rsidR="00832F98" w:rsidRPr="005107DF" w:rsidRDefault="00832F98" w:rsidP="005D336D">
            <w:pPr>
              <w:tabs>
                <w:tab w:val="left" w:pos="2268"/>
              </w:tabs>
              <w:spacing w:after="0" w:line="240" w:lineRule="auto"/>
              <w:rPr>
                <w:rFonts w:ascii="Times New Roman" w:eastAsia="Times New Roman" w:hAnsi="Times New Roman" w:cs="Times New Roman"/>
                <w:sz w:val="24"/>
                <w:szCs w:val="24"/>
              </w:rPr>
            </w:pPr>
          </w:p>
        </w:tc>
      </w:tr>
    </w:tbl>
    <w:p w14:paraId="6BD14EAA" w14:textId="77777777" w:rsidR="00832F98" w:rsidRPr="005107DF" w:rsidRDefault="00832F98" w:rsidP="00D03D03">
      <w:pPr>
        <w:tabs>
          <w:tab w:val="left" w:pos="720"/>
        </w:tabs>
        <w:spacing w:after="0" w:line="240" w:lineRule="auto"/>
        <w:rPr>
          <w:rFonts w:ascii="Times New Roman" w:eastAsia="Times New Roman" w:hAnsi="Times New Roman" w:cs="Times New Roman"/>
          <w:sz w:val="24"/>
          <w:szCs w:val="24"/>
        </w:rPr>
      </w:pPr>
    </w:p>
    <w:p w14:paraId="57C3CE50" w14:textId="77777777" w:rsidR="00832F98" w:rsidRPr="005107DF" w:rsidRDefault="00832F98" w:rsidP="00D03D03">
      <w:pPr>
        <w:rPr>
          <w:rFonts w:ascii="Times New Roman" w:hAnsi="Times New Roman" w:cs="Times New Roman"/>
          <w:b/>
          <w:sz w:val="24"/>
          <w:szCs w:val="24"/>
        </w:rPr>
      </w:pPr>
      <w:r>
        <w:rPr>
          <w:rFonts w:ascii="Times New Roman" w:hAnsi="Times New Roman"/>
          <w:b/>
          <w:sz w:val="24"/>
        </w:rPr>
        <w:t xml:space="preserve">Objectifs spécifiques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832F98" w:rsidRPr="005107DF" w14:paraId="1CF200D6" w14:textId="77777777" w:rsidTr="005D336D">
        <w:tc>
          <w:tcPr>
            <w:tcW w:w="3708" w:type="dxa"/>
            <w:shd w:val="clear" w:color="auto" w:fill="C0C0C0"/>
          </w:tcPr>
          <w:p w14:paraId="0DCEA4F6" w14:textId="77777777" w:rsidR="00832F98" w:rsidRPr="005107DF" w:rsidRDefault="00832F98" w:rsidP="005D336D">
            <w:pPr>
              <w:tabs>
                <w:tab w:val="left" w:pos="2268"/>
              </w:tabs>
              <w:spacing w:before="240" w:after="60" w:line="240" w:lineRule="auto"/>
              <w:outlineLvl w:val="6"/>
              <w:rPr>
                <w:rFonts w:ascii="Times New Roman" w:eastAsia="Times New Roman" w:hAnsi="Times New Roman" w:cs="Times New Roman"/>
                <w:sz w:val="24"/>
                <w:szCs w:val="24"/>
              </w:rPr>
            </w:pPr>
            <w:r>
              <w:rPr>
                <w:rFonts w:ascii="Times New Roman" w:hAnsi="Times New Roman"/>
                <w:sz w:val="24"/>
              </w:rPr>
              <w:t>Objectifs spécifiques et indicateurs de résultat (tels qu’inscrits dans le cadre logique)</w:t>
            </w:r>
          </w:p>
        </w:tc>
        <w:tc>
          <w:tcPr>
            <w:tcW w:w="5400" w:type="dxa"/>
            <w:shd w:val="clear" w:color="auto" w:fill="C0C0C0"/>
          </w:tcPr>
          <w:p w14:paraId="4B9B394C" w14:textId="77777777" w:rsidR="00832F98" w:rsidRPr="005107DF" w:rsidRDefault="00832F98" w:rsidP="005D336D">
            <w:pPr>
              <w:tabs>
                <w:tab w:val="left" w:pos="2268"/>
              </w:tabs>
              <w:spacing w:after="0" w:line="240" w:lineRule="auto"/>
              <w:rPr>
                <w:rFonts w:ascii="Times New Roman" w:eastAsia="Times New Roman" w:hAnsi="Times New Roman" w:cs="Times New Roman"/>
                <w:b/>
                <w:sz w:val="24"/>
                <w:szCs w:val="24"/>
              </w:rPr>
            </w:pPr>
            <w:r>
              <w:rPr>
                <w:rFonts w:ascii="Times New Roman" w:hAnsi="Times New Roman"/>
                <w:b/>
                <w:sz w:val="24"/>
              </w:rPr>
              <w:t>État de réalisation/problèmes rencontrés</w:t>
            </w:r>
          </w:p>
        </w:tc>
      </w:tr>
      <w:tr w:rsidR="00832F98" w:rsidRPr="005107DF" w14:paraId="07673B2E" w14:textId="77777777" w:rsidTr="005D336D">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0B16DE9F" w14:textId="77777777" w:rsidR="00832F98" w:rsidRPr="005107DF" w:rsidRDefault="00832F98" w:rsidP="005D336D">
            <w:pPr>
              <w:tabs>
                <w:tab w:val="left" w:pos="2268"/>
              </w:tabs>
              <w:spacing w:after="0" w:line="240" w:lineRule="auto"/>
              <w:rPr>
                <w:rFonts w:ascii="Times New Roman" w:eastAsia="Times New Roman" w:hAnsi="Times New Roman" w:cs="Times New Roman"/>
                <w:b/>
                <w:sz w:val="24"/>
                <w:szCs w:val="24"/>
              </w:rPr>
            </w:pPr>
            <w:r>
              <w:rPr>
                <w:rFonts w:ascii="Times New Roman" w:hAnsi="Times New Roman"/>
                <w:b/>
                <w:sz w:val="24"/>
              </w:rPr>
              <w:t>Objectif du projet (repris du cadre logique)</w:t>
            </w:r>
          </w:p>
        </w:tc>
      </w:tr>
      <w:tr w:rsidR="00832F98" w:rsidRPr="005107DF" w14:paraId="21420B82" w14:textId="77777777" w:rsidTr="005D336D">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1E55F6C8" w14:textId="77777777" w:rsidR="00832F98" w:rsidRPr="005107DF" w:rsidRDefault="00832F98" w:rsidP="005D336D">
            <w:pPr>
              <w:tabs>
                <w:tab w:val="left" w:pos="2268"/>
              </w:tabs>
              <w:spacing w:after="0" w:line="240" w:lineRule="auto"/>
              <w:rPr>
                <w:rFonts w:ascii="Times New Roman" w:eastAsia="Times New Roman" w:hAnsi="Times New Roman" w:cs="Times New Roman"/>
                <w:i/>
                <w:sz w:val="24"/>
                <w:szCs w:val="24"/>
              </w:rPr>
            </w:pPr>
            <w:r>
              <w:rPr>
                <w:rFonts w:ascii="Times New Roman" w:hAnsi="Times New Roman"/>
                <w:i/>
                <w:sz w:val="24"/>
              </w:rPr>
              <w:t>Indicateur de résultat (repris du cadre logique)</w:t>
            </w:r>
          </w:p>
        </w:tc>
        <w:tc>
          <w:tcPr>
            <w:tcW w:w="5400" w:type="dxa"/>
            <w:tcBorders>
              <w:top w:val="single" w:sz="6" w:space="0" w:color="auto"/>
              <w:left w:val="single" w:sz="6" w:space="0" w:color="auto"/>
              <w:bottom w:val="single" w:sz="6" w:space="0" w:color="auto"/>
              <w:right w:val="single" w:sz="6" w:space="0" w:color="auto"/>
            </w:tcBorders>
          </w:tcPr>
          <w:p w14:paraId="62E90A6E" w14:textId="77777777" w:rsidR="00832F98" w:rsidRPr="005107DF" w:rsidRDefault="00832F98" w:rsidP="005D336D">
            <w:pPr>
              <w:tabs>
                <w:tab w:val="left" w:pos="2268"/>
              </w:tabs>
              <w:spacing w:after="0" w:line="240" w:lineRule="auto"/>
              <w:rPr>
                <w:rFonts w:ascii="Times New Roman" w:eastAsia="Times New Roman" w:hAnsi="Times New Roman" w:cs="Times New Roman"/>
                <w:sz w:val="24"/>
                <w:szCs w:val="24"/>
              </w:rPr>
            </w:pPr>
          </w:p>
        </w:tc>
      </w:tr>
    </w:tbl>
    <w:p w14:paraId="7DC04321"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53DC3F13"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436C9FEF" w14:textId="08F14EBD" w:rsidR="00832F98" w:rsidRDefault="00832F98" w:rsidP="00A92DE1">
      <w:pPr>
        <w:numPr>
          <w:ilvl w:val="12"/>
          <w:numId w:val="0"/>
        </w:numPr>
        <w:spacing w:after="0" w:line="240" w:lineRule="auto"/>
        <w:jc w:val="both"/>
        <w:rPr>
          <w:rFonts w:ascii="Times New Roman" w:eastAsia="Times New Roman" w:hAnsi="Times New Roman" w:cs="Times New Roman"/>
          <w:b/>
          <w:sz w:val="24"/>
          <w:szCs w:val="24"/>
        </w:rPr>
      </w:pPr>
    </w:p>
    <w:p w14:paraId="2C66710B" w14:textId="77777777" w:rsidR="00434C10" w:rsidRPr="005107DF" w:rsidRDefault="00434C10" w:rsidP="00A92DE1">
      <w:pPr>
        <w:numPr>
          <w:ilvl w:val="12"/>
          <w:numId w:val="0"/>
        </w:numPr>
        <w:spacing w:after="0" w:line="240" w:lineRule="auto"/>
        <w:jc w:val="both"/>
        <w:rPr>
          <w:rFonts w:ascii="Times New Roman" w:eastAsia="Times New Roman" w:hAnsi="Times New Roman" w:cs="Times New Roman"/>
          <w:b/>
          <w:sz w:val="24"/>
          <w:szCs w:val="24"/>
        </w:rPr>
      </w:pPr>
    </w:p>
    <w:p w14:paraId="39405A1C" w14:textId="77777777" w:rsidR="00832F98" w:rsidRPr="005107DF" w:rsidRDefault="00832F98" w:rsidP="00A92DE1">
      <w:pPr>
        <w:numPr>
          <w:ilvl w:val="12"/>
          <w:numId w:val="0"/>
        </w:numPr>
        <w:spacing w:after="0" w:line="240" w:lineRule="auto"/>
        <w:jc w:val="both"/>
        <w:rPr>
          <w:rFonts w:ascii="Times New Roman" w:eastAsia="Times New Roman" w:hAnsi="Times New Roman" w:cs="Times New Roman"/>
          <w:b/>
          <w:sz w:val="24"/>
          <w:szCs w:val="24"/>
          <w:u w:val="single"/>
        </w:rPr>
      </w:pPr>
      <w:r w:rsidRPr="00452C1A">
        <w:rPr>
          <w:rFonts w:ascii="Times New Roman" w:hAnsi="Times New Roman"/>
          <w:b/>
          <w:sz w:val="24"/>
          <w:u w:val="single"/>
        </w:rPr>
        <w:lastRenderedPageBreak/>
        <w:t>2</w:t>
      </w:r>
      <w:r>
        <w:rPr>
          <w:rFonts w:ascii="Times New Roman" w:hAnsi="Times New Roman"/>
          <w:b/>
          <w:sz w:val="24"/>
          <w:u w:val="single"/>
        </w:rPr>
        <w:t>B - CONTEXTE</w:t>
      </w:r>
    </w:p>
    <w:p w14:paraId="74CDA62E" w14:textId="77777777" w:rsidR="00832F98" w:rsidRPr="005107DF" w:rsidRDefault="00832F98" w:rsidP="00A92DE1">
      <w:pPr>
        <w:numPr>
          <w:ilvl w:val="12"/>
          <w:numId w:val="0"/>
        </w:numPr>
        <w:spacing w:after="0" w:line="240" w:lineRule="auto"/>
        <w:jc w:val="both"/>
        <w:rPr>
          <w:rFonts w:ascii="Times New Roman" w:eastAsia="Times New Roman" w:hAnsi="Times New Roman" w:cs="Times New Roman"/>
          <w:sz w:val="24"/>
          <w:szCs w:val="24"/>
        </w:rPr>
      </w:pPr>
    </w:p>
    <w:p w14:paraId="106D33E4" w14:textId="77777777" w:rsidR="00832F98" w:rsidRPr="005107DF" w:rsidRDefault="00832F98" w:rsidP="00A92DE1">
      <w:pPr>
        <w:spacing w:after="0" w:line="240" w:lineRule="auto"/>
        <w:rPr>
          <w:rFonts w:ascii="Times New Roman" w:eastAsia="Times New Roman" w:hAnsi="Times New Roman" w:cs="Times New Roman"/>
          <w:b/>
          <w:sz w:val="24"/>
          <w:szCs w:val="24"/>
        </w:rPr>
      </w:pPr>
      <w:r>
        <w:rPr>
          <w:rFonts w:ascii="Times New Roman" w:hAnsi="Times New Roman"/>
          <w:b/>
          <w:sz w:val="24"/>
        </w:rPr>
        <w:t>Point de départ/scénario de référence, résultats obligatoires/produits prévus et objectifs du projet</w:t>
      </w:r>
    </w:p>
    <w:p w14:paraId="486C6B00"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0251A92F"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 xml:space="preserve">Décrivez brièvement la situation initiale dans le domaine concerné de l’administration bénéficiaire avant le projet, en indiquant les lacunes qui devaient être comblées par le projet. </w:t>
      </w:r>
    </w:p>
    <w:p w14:paraId="11D41CCF" w14:textId="77777777" w:rsidR="00832F98" w:rsidRPr="005107DF" w:rsidRDefault="00832F98" w:rsidP="00A92DE1">
      <w:pPr>
        <w:spacing w:after="0" w:line="240" w:lineRule="auto"/>
        <w:jc w:val="both"/>
        <w:rPr>
          <w:rFonts w:ascii="Times New Roman" w:eastAsia="Times New Roman" w:hAnsi="Times New Roman" w:cs="Times New Roman"/>
          <w:sz w:val="24"/>
          <w:szCs w:val="24"/>
        </w:rPr>
      </w:pPr>
    </w:p>
    <w:p w14:paraId="1161F58A"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 xml:space="preserve">Indiquez l’objectif général, les objectifs spécifiques et les résultats obligatoires/produits du projet (tels que définis dans le plan de travail et/ou modifiés au cours de la mise en œuvre) en précisant les mesures prises pour combler les lacunes indiquées ci-dessus. </w:t>
      </w:r>
    </w:p>
    <w:p w14:paraId="76156C6C"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2EED5B67" w14:textId="77777777" w:rsidR="00832F98" w:rsidRPr="005107DF" w:rsidRDefault="00832F98" w:rsidP="00A92DE1">
      <w:pPr>
        <w:spacing w:after="0" w:line="240" w:lineRule="auto"/>
        <w:rPr>
          <w:rFonts w:ascii="Times New Roman" w:eastAsia="Times New Roman" w:hAnsi="Times New Roman" w:cs="Times New Roman"/>
          <w:b/>
          <w:sz w:val="24"/>
          <w:szCs w:val="24"/>
          <w:u w:val="single"/>
        </w:rPr>
      </w:pPr>
      <w:r w:rsidRPr="00452C1A">
        <w:rPr>
          <w:rFonts w:ascii="Times New Roman" w:hAnsi="Times New Roman"/>
          <w:b/>
          <w:sz w:val="24"/>
          <w:u w:val="single"/>
        </w:rPr>
        <w:t>2</w:t>
      </w:r>
      <w:r>
        <w:rPr>
          <w:rFonts w:ascii="Times New Roman" w:hAnsi="Times New Roman"/>
          <w:b/>
          <w:sz w:val="24"/>
          <w:u w:val="single"/>
        </w:rPr>
        <w:t>C - PROCESSUS DE MISE EN ŒUVRE</w:t>
      </w:r>
    </w:p>
    <w:p w14:paraId="62D8551C" w14:textId="77777777" w:rsidR="00832F98" w:rsidRPr="005107DF" w:rsidRDefault="00832F98" w:rsidP="00A92DE1">
      <w:pPr>
        <w:spacing w:after="0" w:line="240" w:lineRule="auto"/>
        <w:rPr>
          <w:rFonts w:ascii="Times New Roman" w:eastAsia="Times New Roman" w:hAnsi="Times New Roman" w:cs="Times New Roman"/>
          <w:b/>
          <w:sz w:val="24"/>
          <w:szCs w:val="24"/>
        </w:rPr>
      </w:pPr>
    </w:p>
    <w:p w14:paraId="2045F315" w14:textId="77777777" w:rsidR="00832F98" w:rsidRPr="005107DF" w:rsidRDefault="00832F98" w:rsidP="00A92DE1">
      <w:pPr>
        <w:spacing w:after="0" w:line="240" w:lineRule="auto"/>
        <w:rPr>
          <w:rFonts w:ascii="Times New Roman" w:eastAsia="Times New Roman" w:hAnsi="Times New Roman" w:cs="Times New Roman"/>
          <w:b/>
          <w:sz w:val="24"/>
          <w:szCs w:val="24"/>
        </w:rPr>
      </w:pPr>
      <w:r>
        <w:rPr>
          <w:rFonts w:ascii="Times New Roman" w:hAnsi="Times New Roman"/>
          <w:b/>
          <w:sz w:val="24"/>
        </w:rPr>
        <w:t>Évolutions qui échappent au contrôle du projet</w:t>
      </w:r>
    </w:p>
    <w:p w14:paraId="368B334A" w14:textId="77777777" w:rsidR="00832F98" w:rsidRPr="005107DF" w:rsidRDefault="00832F98" w:rsidP="00A92DE1">
      <w:pPr>
        <w:spacing w:after="0" w:line="240" w:lineRule="auto"/>
        <w:rPr>
          <w:rFonts w:ascii="Times New Roman" w:eastAsia="Times New Roman" w:hAnsi="Times New Roman" w:cs="Times New Roman"/>
          <w:b/>
          <w:sz w:val="24"/>
          <w:szCs w:val="24"/>
          <w:u w:val="single"/>
        </w:rPr>
      </w:pPr>
    </w:p>
    <w:p w14:paraId="153B5C60" w14:textId="77777777" w:rsidR="00832F98" w:rsidRPr="005107DF" w:rsidRDefault="00832F98" w:rsidP="00D03D03">
      <w:pPr>
        <w:pStyle w:val="ListParagraph"/>
        <w:numPr>
          <w:ilvl w:val="0"/>
          <w:numId w:val="267"/>
        </w:numPr>
        <w:spacing w:after="0" w:line="240" w:lineRule="auto"/>
        <w:jc w:val="both"/>
        <w:rPr>
          <w:rFonts w:ascii="Times New Roman" w:hAnsi="Times New Roman"/>
          <w:i/>
          <w:sz w:val="24"/>
          <w:szCs w:val="24"/>
        </w:rPr>
      </w:pPr>
      <w:r>
        <w:rPr>
          <w:rFonts w:ascii="Times New Roman" w:hAnsi="Times New Roman"/>
          <w:i/>
          <w:sz w:val="24"/>
        </w:rPr>
        <w:t>Quelles sont les principaux développements de la réforme sectorielle intervenus dans le pays bénéficiaire pendant la période de mise en œuvre du projet dans le domaine concerné?</w:t>
      </w:r>
    </w:p>
    <w:p w14:paraId="21539516" w14:textId="77777777" w:rsidR="00832F98" w:rsidRPr="005107DF" w:rsidRDefault="00832F98" w:rsidP="00D03D03">
      <w:pPr>
        <w:pStyle w:val="ListParagraph"/>
        <w:numPr>
          <w:ilvl w:val="0"/>
          <w:numId w:val="267"/>
        </w:numPr>
        <w:spacing w:after="0" w:line="240" w:lineRule="auto"/>
        <w:jc w:val="both"/>
        <w:rPr>
          <w:rFonts w:ascii="Times New Roman" w:hAnsi="Times New Roman"/>
          <w:i/>
          <w:sz w:val="24"/>
          <w:szCs w:val="24"/>
        </w:rPr>
      </w:pPr>
      <w:r>
        <w:rPr>
          <w:rFonts w:ascii="Times New Roman" w:hAnsi="Times New Roman"/>
          <w:i/>
          <w:sz w:val="24"/>
        </w:rPr>
        <w:t>Quelle a été l’intervention du CRJ et du responsable de volet dans les réseaux de coordination des donateurs/le dialogue politique/les groupes de travail?</w:t>
      </w:r>
    </w:p>
    <w:p w14:paraId="1E8B280A" w14:textId="77777777" w:rsidR="00832F98" w:rsidRPr="005107DF" w:rsidRDefault="00832F98" w:rsidP="00D03D03">
      <w:pPr>
        <w:pStyle w:val="ListParagraph"/>
        <w:numPr>
          <w:ilvl w:val="0"/>
          <w:numId w:val="267"/>
        </w:numPr>
        <w:spacing w:after="0" w:line="240" w:lineRule="auto"/>
        <w:jc w:val="both"/>
        <w:rPr>
          <w:rFonts w:ascii="Times New Roman" w:hAnsi="Times New Roman"/>
          <w:i/>
          <w:sz w:val="24"/>
          <w:szCs w:val="24"/>
        </w:rPr>
      </w:pPr>
      <w:r>
        <w:rPr>
          <w:rFonts w:ascii="Times New Roman" w:hAnsi="Times New Roman"/>
          <w:i/>
          <w:sz w:val="24"/>
        </w:rPr>
        <w:t>Quelles autres actions en rapport avec l’objectif général et spécifique du projet ont été mises en œuvre par d’autres acteurs?</w:t>
      </w:r>
    </w:p>
    <w:p w14:paraId="5B8BC034" w14:textId="77777777" w:rsidR="00832F98" w:rsidRPr="005107DF" w:rsidRDefault="00832F98" w:rsidP="00D03D03">
      <w:pPr>
        <w:pStyle w:val="ListParagraph"/>
        <w:numPr>
          <w:ilvl w:val="0"/>
          <w:numId w:val="267"/>
        </w:numPr>
        <w:spacing w:after="0" w:line="240" w:lineRule="auto"/>
        <w:jc w:val="both"/>
        <w:rPr>
          <w:rFonts w:ascii="Times New Roman" w:hAnsi="Times New Roman"/>
          <w:i/>
          <w:sz w:val="24"/>
          <w:szCs w:val="24"/>
        </w:rPr>
      </w:pPr>
      <w:r>
        <w:rPr>
          <w:rFonts w:ascii="Times New Roman" w:hAnsi="Times New Roman"/>
          <w:i/>
          <w:sz w:val="24"/>
        </w:rPr>
        <w:t xml:space="preserve">Quelles sont les hypothèses initiales du projet qui ont été réalisées? Comment les risques ont-ils été atténués? </w:t>
      </w:r>
    </w:p>
    <w:p w14:paraId="1B596A0D"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5046426C" w14:textId="77777777" w:rsidR="00832F98" w:rsidRPr="005107DF" w:rsidRDefault="00832F98" w:rsidP="00A92DE1">
      <w:pPr>
        <w:spacing w:after="0" w:line="240" w:lineRule="auto"/>
        <w:jc w:val="both"/>
        <w:rPr>
          <w:rFonts w:ascii="Times New Roman" w:eastAsia="Times New Roman" w:hAnsi="Times New Roman" w:cs="Times New Roman"/>
          <w:b/>
          <w:sz w:val="24"/>
          <w:szCs w:val="24"/>
        </w:rPr>
      </w:pPr>
      <w:r>
        <w:rPr>
          <w:rFonts w:ascii="Times New Roman" w:hAnsi="Times New Roman"/>
          <w:b/>
          <w:sz w:val="24"/>
        </w:rPr>
        <w:t>Développements du projet</w:t>
      </w:r>
    </w:p>
    <w:p w14:paraId="326F10F0" w14:textId="77777777" w:rsidR="00832F98" w:rsidRPr="005107DF" w:rsidRDefault="00832F98" w:rsidP="00A92DE1">
      <w:pPr>
        <w:spacing w:after="0" w:line="240" w:lineRule="auto"/>
        <w:jc w:val="both"/>
        <w:rPr>
          <w:rFonts w:ascii="Times New Roman" w:eastAsia="Times New Roman" w:hAnsi="Times New Roman" w:cs="Times New Roman"/>
          <w:b/>
          <w:sz w:val="24"/>
          <w:szCs w:val="24"/>
          <w:u w:val="single"/>
        </w:rPr>
      </w:pPr>
    </w:p>
    <w:p w14:paraId="69E989A6"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 xml:space="preserve">a) Décrivez les principaux développements intervenus au niveau du projet, tels que le remplacement de personnel clé, la réorientation du projet, l’achèvement d’un important groupe d’activités ou d’autres changements de situation. (Remarque: ne pas fournir sous ce point un compte rendu détaillé des activités). </w:t>
      </w:r>
    </w:p>
    <w:p w14:paraId="3F528391"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5B8E187B"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b) Quelles sont les difficultés internes menaçant la bonne marche du projet qui ont été rencontrées, et comment ont-elles été résolues?</w:t>
      </w:r>
    </w:p>
    <w:p w14:paraId="754E1979" w14:textId="77777777" w:rsidR="00832F98" w:rsidRPr="005107DF" w:rsidRDefault="00832F98" w:rsidP="00A92DE1">
      <w:pPr>
        <w:spacing w:after="0" w:line="240" w:lineRule="auto"/>
        <w:rPr>
          <w:rFonts w:ascii="Times New Roman" w:eastAsia="Times New Roman" w:hAnsi="Times New Roman" w:cs="Times New Roman"/>
          <w:sz w:val="24"/>
          <w:szCs w:val="24"/>
        </w:rPr>
      </w:pPr>
    </w:p>
    <w:p w14:paraId="50341B49" w14:textId="77777777" w:rsidR="00832F98" w:rsidRPr="005107DF" w:rsidRDefault="00832F98" w:rsidP="00A92DE1">
      <w:pPr>
        <w:spacing w:after="0" w:line="240" w:lineRule="auto"/>
        <w:jc w:val="both"/>
        <w:rPr>
          <w:rFonts w:ascii="Times New Roman" w:eastAsia="Times New Roman" w:hAnsi="Times New Roman" w:cs="Times New Roman"/>
          <w:b/>
          <w:sz w:val="24"/>
          <w:szCs w:val="24"/>
        </w:rPr>
      </w:pPr>
      <w:r>
        <w:rPr>
          <w:rFonts w:ascii="Times New Roman" w:hAnsi="Times New Roman"/>
          <w:b/>
          <w:sz w:val="24"/>
        </w:rPr>
        <w:t>Actions de communication et de visibilité</w:t>
      </w:r>
    </w:p>
    <w:p w14:paraId="7A07A1BF" w14:textId="77777777" w:rsidR="00832F98" w:rsidRPr="005107DF" w:rsidRDefault="00832F98" w:rsidP="00A92DE1">
      <w:pPr>
        <w:tabs>
          <w:tab w:val="left" w:pos="720"/>
        </w:tabs>
        <w:autoSpaceDE w:val="0"/>
        <w:autoSpaceDN w:val="0"/>
        <w:adjustRightInd w:val="0"/>
        <w:spacing w:after="0" w:line="240" w:lineRule="auto"/>
        <w:rPr>
          <w:rFonts w:ascii="Times New Roman" w:eastAsia="Times New Roman" w:hAnsi="Times New Roman" w:cs="Times New Roman"/>
          <w:sz w:val="24"/>
          <w:szCs w:val="24"/>
        </w:rPr>
      </w:pPr>
    </w:p>
    <w:p w14:paraId="11D5219D" w14:textId="77777777" w:rsidR="00832F98" w:rsidRPr="005107DF" w:rsidRDefault="00832F98" w:rsidP="00A92DE1">
      <w:pPr>
        <w:tabs>
          <w:tab w:val="left" w:pos="72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i/>
          <w:sz w:val="24"/>
        </w:rPr>
        <w:t>a) Quelles ont été les mesures prises pour faire connaître les avantages et l’utilité du projet et assurer une visibilité maximale pour l’UE? Comment ces activités ont-elles influencé le processus de mise en œuvre du projet?</w:t>
      </w:r>
    </w:p>
    <w:p w14:paraId="38773603" w14:textId="77777777" w:rsidR="00832F98" w:rsidRPr="005107DF" w:rsidRDefault="00832F98" w:rsidP="00A92DE1">
      <w:pPr>
        <w:spacing w:after="0" w:line="240" w:lineRule="auto"/>
        <w:rPr>
          <w:rFonts w:ascii="Times New Roman" w:eastAsia="Times New Roman" w:hAnsi="Times New Roman" w:cs="Times New Roman"/>
          <w:b/>
          <w:sz w:val="24"/>
          <w:szCs w:val="24"/>
        </w:rPr>
      </w:pPr>
    </w:p>
    <w:p w14:paraId="505FF0D9" w14:textId="77777777" w:rsidR="00832F98" w:rsidRPr="005107DF" w:rsidRDefault="00832F98" w:rsidP="00A92DE1">
      <w:pPr>
        <w:spacing w:after="0" w:line="240" w:lineRule="auto"/>
        <w:rPr>
          <w:rFonts w:ascii="Times New Roman" w:eastAsia="Times New Roman" w:hAnsi="Times New Roman" w:cs="Times New Roman"/>
          <w:b/>
          <w:sz w:val="24"/>
          <w:szCs w:val="24"/>
        </w:rPr>
      </w:pPr>
    </w:p>
    <w:p w14:paraId="0BA793EB" w14:textId="1A9B6292" w:rsidR="00832F98" w:rsidRPr="005107DF" w:rsidRDefault="00832F98" w:rsidP="00434C10">
      <w:pPr>
        <w:spacing w:after="0" w:line="240" w:lineRule="auto"/>
        <w:jc w:val="both"/>
        <w:rPr>
          <w:rFonts w:ascii="Times New Roman" w:eastAsia="Times New Roman" w:hAnsi="Times New Roman" w:cs="Times New Roman"/>
          <w:b/>
          <w:sz w:val="24"/>
          <w:szCs w:val="24"/>
          <w:u w:val="single"/>
        </w:rPr>
      </w:pPr>
      <w:r w:rsidRPr="00452C1A">
        <w:rPr>
          <w:rFonts w:ascii="Times New Roman" w:hAnsi="Times New Roman"/>
          <w:b/>
          <w:sz w:val="24"/>
          <w:u w:val="single"/>
        </w:rPr>
        <w:t>2</w:t>
      </w:r>
      <w:r>
        <w:rPr>
          <w:rFonts w:ascii="Times New Roman" w:hAnsi="Times New Roman"/>
          <w:b/>
          <w:sz w:val="24"/>
          <w:u w:val="single"/>
        </w:rPr>
        <w:t>D - OBTENTION DES RÉSULTATS OBLIGATOIRES/PRODUITS ET RÉALISATIONS</w:t>
      </w:r>
    </w:p>
    <w:p w14:paraId="36E2651B" w14:textId="77777777" w:rsidR="00832F98" w:rsidRPr="005107DF" w:rsidRDefault="00832F98" w:rsidP="00A92DE1">
      <w:pPr>
        <w:spacing w:after="0" w:line="240" w:lineRule="auto"/>
        <w:rPr>
          <w:rFonts w:ascii="Times New Roman" w:eastAsia="Times New Roman" w:hAnsi="Times New Roman" w:cs="Times New Roman"/>
          <w:b/>
          <w:sz w:val="24"/>
          <w:szCs w:val="24"/>
        </w:rPr>
      </w:pPr>
    </w:p>
    <w:p w14:paraId="264D8245"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 xml:space="preserve">a) Décrivez dans quelle mesure chacun des résultats obligatoires/produits a été atteint (par rapport aux indicateurs convenus dans le plan de travail). </w:t>
      </w:r>
    </w:p>
    <w:p w14:paraId="068B5328"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2A01E0F3"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 xml:space="preserve">b) Décrivez dans quelle mesure chacune des réalisations a été obtenue (par rapport aux indicateurs convenus dans le plan de travail). </w:t>
      </w:r>
    </w:p>
    <w:p w14:paraId="251FA5B1"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4A2441DB"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 xml:space="preserve">c) Si un ou plusieurs résultats obligatoires/produits ou réalisations n’ont pas été pleinement obtenus/directement influencés, donnez-en les raisons. </w:t>
      </w:r>
    </w:p>
    <w:p w14:paraId="6BFF3E21"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39FF7472" w14:textId="77777777" w:rsidR="00832F98" w:rsidRPr="005107DF" w:rsidRDefault="00832F98" w:rsidP="00A92DE1">
      <w:pPr>
        <w:spacing w:after="0" w:line="240" w:lineRule="auto"/>
        <w:rPr>
          <w:rFonts w:ascii="Times New Roman" w:eastAsia="Times New Roman" w:hAnsi="Times New Roman" w:cs="Times New Roman"/>
          <w:i/>
          <w:sz w:val="24"/>
          <w:szCs w:val="24"/>
        </w:rPr>
      </w:pPr>
      <w:r>
        <w:rPr>
          <w:rFonts w:ascii="Times New Roman" w:hAnsi="Times New Roman"/>
          <w:i/>
          <w:sz w:val="24"/>
        </w:rPr>
        <w:t>d) Donnez un aperçu des résultats obligatoires/produits obtenus (voir l’annexe </w:t>
      </w:r>
      <w:r w:rsidRPr="00452C1A">
        <w:rPr>
          <w:rFonts w:ascii="Times New Roman" w:hAnsi="Times New Roman"/>
          <w:i/>
          <w:sz w:val="24"/>
        </w:rPr>
        <w:t>1</w:t>
      </w:r>
      <w:r>
        <w:rPr>
          <w:rFonts w:ascii="Times New Roman" w:hAnsi="Times New Roman"/>
          <w:i/>
          <w:sz w:val="24"/>
        </w:rPr>
        <w:t>).</w:t>
      </w:r>
    </w:p>
    <w:p w14:paraId="18230804" w14:textId="77777777" w:rsidR="00832F98" w:rsidRPr="005107DF" w:rsidRDefault="00832F98" w:rsidP="00A92DE1">
      <w:pPr>
        <w:spacing w:after="0" w:line="240" w:lineRule="auto"/>
        <w:rPr>
          <w:rFonts w:ascii="Times New Roman" w:eastAsia="Times New Roman" w:hAnsi="Times New Roman" w:cs="Times New Roman"/>
          <w:i/>
          <w:sz w:val="24"/>
          <w:szCs w:val="24"/>
        </w:rPr>
      </w:pPr>
    </w:p>
    <w:p w14:paraId="12F749B0"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e) Énumérez les éventuels résultats et réalisations inattendus résultant du projet.</w:t>
      </w:r>
    </w:p>
    <w:p w14:paraId="33D29C50" w14:textId="77777777" w:rsidR="00832F98" w:rsidRPr="005107DF" w:rsidRDefault="00832F98" w:rsidP="00A92DE1">
      <w:pPr>
        <w:spacing w:after="0" w:line="240" w:lineRule="auto"/>
        <w:rPr>
          <w:rFonts w:ascii="Times New Roman" w:eastAsia="Times New Roman" w:hAnsi="Times New Roman" w:cs="Times New Roman"/>
          <w:i/>
          <w:sz w:val="24"/>
          <w:szCs w:val="24"/>
        </w:rPr>
      </w:pPr>
    </w:p>
    <w:p w14:paraId="233B5037" w14:textId="67655672" w:rsidR="00832F98" w:rsidRDefault="00832F98" w:rsidP="00A92DE1">
      <w:pPr>
        <w:spacing w:after="0" w:line="240" w:lineRule="auto"/>
        <w:rPr>
          <w:rFonts w:ascii="Times New Roman" w:eastAsia="Times New Roman" w:hAnsi="Times New Roman" w:cs="Times New Roman"/>
          <w:b/>
          <w:sz w:val="24"/>
          <w:szCs w:val="24"/>
          <w:u w:val="single"/>
        </w:rPr>
      </w:pPr>
    </w:p>
    <w:p w14:paraId="3581226D" w14:textId="77777777" w:rsidR="00832F98" w:rsidRPr="005107DF" w:rsidRDefault="00832F98" w:rsidP="00A92DE1">
      <w:pPr>
        <w:spacing w:after="0" w:line="240" w:lineRule="auto"/>
        <w:rPr>
          <w:rFonts w:ascii="Times New Roman" w:eastAsia="Times New Roman" w:hAnsi="Times New Roman" w:cs="Times New Roman"/>
          <w:i/>
          <w:sz w:val="24"/>
          <w:szCs w:val="24"/>
          <w:u w:val="single"/>
        </w:rPr>
      </w:pPr>
      <w:r w:rsidRPr="00452C1A">
        <w:rPr>
          <w:rFonts w:ascii="Times New Roman" w:hAnsi="Times New Roman"/>
          <w:b/>
          <w:sz w:val="24"/>
          <w:u w:val="single"/>
        </w:rPr>
        <w:t>2</w:t>
      </w:r>
      <w:r>
        <w:rPr>
          <w:rFonts w:ascii="Times New Roman" w:hAnsi="Times New Roman"/>
          <w:b/>
          <w:sz w:val="24"/>
          <w:u w:val="single"/>
        </w:rPr>
        <w:t>E - IMPACT</w:t>
      </w:r>
    </w:p>
    <w:p w14:paraId="36127E46" w14:textId="77777777" w:rsidR="00832F98" w:rsidRPr="005107DF" w:rsidRDefault="00832F98" w:rsidP="00A92DE1">
      <w:pPr>
        <w:spacing w:after="0" w:line="240" w:lineRule="auto"/>
        <w:jc w:val="both"/>
        <w:rPr>
          <w:rFonts w:ascii="Times New Roman" w:eastAsia="Times New Roman" w:hAnsi="Times New Roman" w:cs="Times New Roman"/>
          <w:b/>
          <w:sz w:val="24"/>
          <w:szCs w:val="24"/>
        </w:rPr>
      </w:pPr>
    </w:p>
    <w:p w14:paraId="7E8312A0"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a) Précisez dans quelle mesure la réalisation des objectifs/résultats spécifiques a contribué à la concrétisation de l’objectif général/à l’impact (par rapport à l’indicateur ou aux indicateurs spécifiés dans le plan de travail).</w:t>
      </w:r>
    </w:p>
    <w:p w14:paraId="056E841B"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7BCEBC92"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b) Indiquez tout impact inattendu du projet.</w:t>
      </w:r>
    </w:p>
    <w:p w14:paraId="45253928" w14:textId="77777777" w:rsidR="00832F98" w:rsidRPr="005107DF" w:rsidRDefault="00832F98" w:rsidP="00A92DE1">
      <w:pPr>
        <w:spacing w:after="0" w:line="240" w:lineRule="auto"/>
        <w:rPr>
          <w:rFonts w:ascii="Times New Roman" w:eastAsia="Times New Roman" w:hAnsi="Times New Roman" w:cs="Times New Roman"/>
          <w:i/>
          <w:sz w:val="24"/>
          <w:szCs w:val="24"/>
        </w:rPr>
      </w:pPr>
    </w:p>
    <w:p w14:paraId="400E80C8" w14:textId="77777777" w:rsidR="00832F98" w:rsidRPr="005107DF" w:rsidRDefault="00832F98" w:rsidP="00A92DE1">
      <w:pPr>
        <w:spacing w:after="0" w:line="240" w:lineRule="auto"/>
        <w:jc w:val="both"/>
        <w:rPr>
          <w:rFonts w:ascii="Times New Roman" w:eastAsia="Times New Roman" w:hAnsi="Times New Roman" w:cs="Times New Roman"/>
          <w:b/>
          <w:sz w:val="24"/>
          <w:szCs w:val="24"/>
          <w:u w:val="single"/>
        </w:rPr>
      </w:pPr>
      <w:r w:rsidRPr="00452C1A">
        <w:rPr>
          <w:rFonts w:ascii="Times New Roman" w:hAnsi="Times New Roman"/>
          <w:b/>
          <w:sz w:val="24"/>
          <w:u w:val="single"/>
        </w:rPr>
        <w:t>2</w:t>
      </w:r>
      <w:r>
        <w:rPr>
          <w:rFonts w:ascii="Times New Roman" w:hAnsi="Times New Roman"/>
          <w:b/>
          <w:sz w:val="24"/>
          <w:u w:val="single"/>
        </w:rPr>
        <w:t>F - SUIVI ET DURABILITÉ</w:t>
      </w:r>
    </w:p>
    <w:p w14:paraId="076F5CEA" w14:textId="77777777" w:rsidR="00832F98" w:rsidRPr="005107DF" w:rsidRDefault="00832F98" w:rsidP="00A92DE1">
      <w:pPr>
        <w:spacing w:after="0" w:line="240" w:lineRule="auto"/>
        <w:jc w:val="both"/>
        <w:rPr>
          <w:rFonts w:ascii="Times New Roman" w:eastAsia="Times New Roman" w:hAnsi="Times New Roman" w:cs="Times New Roman"/>
          <w:b/>
          <w:sz w:val="24"/>
          <w:szCs w:val="24"/>
        </w:rPr>
      </w:pPr>
    </w:p>
    <w:p w14:paraId="564C31D5"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a) De quelle manière les résultats du projet/les recommandations seront-ils utilisés par l’administration bénéficiaire?</w:t>
      </w:r>
    </w:p>
    <w:p w14:paraId="44209464"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30E99C44"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 xml:space="preserve">b) Comment l’administration bénéficiaire va-t-elle poursuivre les travaux entamés, mais non finalisés, dans le cadre du projet (p.ex. les mesures de mise en œuvre relatives à la législation adoptée, etc.)? </w:t>
      </w:r>
    </w:p>
    <w:p w14:paraId="0D1CB1AD"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20D8EC94"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 xml:space="preserve">c) Comment le projet a-t-il garanti la conformité avec les efforts de réforme générale de l’administration publique dans le pays et/ou contribué à ceux-ci? [Par exemple, si le projet a contribué à l’élaboration de stratégies sectorielles et/ou de nouveaux actes ou modifications législatifs (concernant en particulier l’acquis de l’UE), a-t-il veillé à ce que ces documents soient élaborés dans le cadre d’un processus inclusif et fondé sur des données probantes (appuyé par des analyses d’impact élémentaires et des consultations des acteurs internes et externes)?] </w:t>
      </w:r>
    </w:p>
    <w:p w14:paraId="3CF89C1E"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288A0723"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d) Si les résultats obligatoires/produits n’ont pas été pleinement obtenus, quelles sont les mesures que l’administration bénéficiaire doit prendre à l’avenir pour les obtenir?</w:t>
      </w:r>
    </w:p>
    <w:p w14:paraId="52409431" w14:textId="77777777" w:rsidR="00832F98" w:rsidRPr="005107DF" w:rsidRDefault="00832F98" w:rsidP="00A92DE1">
      <w:pPr>
        <w:spacing w:after="0" w:line="240" w:lineRule="auto"/>
        <w:rPr>
          <w:rFonts w:ascii="Times New Roman" w:eastAsia="Times New Roman" w:hAnsi="Times New Roman" w:cs="Times New Roman"/>
          <w:sz w:val="24"/>
          <w:szCs w:val="24"/>
          <w:u w:val="single"/>
        </w:rPr>
      </w:pPr>
      <w:r>
        <w:tab/>
      </w:r>
      <w:r>
        <w:tab/>
      </w:r>
    </w:p>
    <w:p w14:paraId="12820AC6" w14:textId="77777777" w:rsidR="00832F98" w:rsidRPr="005107DF" w:rsidRDefault="00832F98" w:rsidP="00A92DE1">
      <w:pPr>
        <w:spacing w:after="0" w:line="240" w:lineRule="auto"/>
        <w:rPr>
          <w:rFonts w:ascii="Times New Roman" w:eastAsia="Times New Roman" w:hAnsi="Times New Roman" w:cs="Times New Roman"/>
          <w:b/>
          <w:sz w:val="24"/>
          <w:szCs w:val="24"/>
          <w:u w:val="single"/>
        </w:rPr>
      </w:pPr>
      <w:r w:rsidRPr="00452C1A">
        <w:rPr>
          <w:rFonts w:ascii="Times New Roman" w:hAnsi="Times New Roman"/>
          <w:b/>
          <w:sz w:val="24"/>
          <w:u w:val="single"/>
        </w:rPr>
        <w:t>2</w:t>
      </w:r>
      <w:r>
        <w:rPr>
          <w:rFonts w:ascii="Times New Roman" w:hAnsi="Times New Roman"/>
          <w:b/>
          <w:sz w:val="24"/>
          <w:u w:val="single"/>
        </w:rPr>
        <w:t>G - CONCLUSIONS ET RECOMMANDATIONS</w:t>
      </w:r>
    </w:p>
    <w:p w14:paraId="21E401C8" w14:textId="77777777" w:rsidR="00832F98" w:rsidRPr="005107DF" w:rsidRDefault="00832F98" w:rsidP="00A92DE1">
      <w:pPr>
        <w:spacing w:after="0" w:line="240" w:lineRule="auto"/>
        <w:rPr>
          <w:rFonts w:ascii="Times New Roman" w:eastAsia="Times New Roman" w:hAnsi="Times New Roman" w:cs="Times New Roman"/>
          <w:b/>
          <w:sz w:val="24"/>
          <w:szCs w:val="24"/>
        </w:rPr>
      </w:pPr>
    </w:p>
    <w:p w14:paraId="432523CE" w14:textId="77777777" w:rsidR="00832F98" w:rsidRPr="005107DF" w:rsidRDefault="00832F98" w:rsidP="00A92DE1">
      <w:pPr>
        <w:spacing w:after="0" w:line="240" w:lineRule="auto"/>
        <w:rPr>
          <w:rFonts w:ascii="Times New Roman" w:eastAsia="Times New Roman" w:hAnsi="Times New Roman" w:cs="Times New Roman"/>
          <w:b/>
          <w:sz w:val="24"/>
          <w:szCs w:val="24"/>
        </w:rPr>
      </w:pPr>
      <w:r>
        <w:rPr>
          <w:rFonts w:ascii="Times New Roman" w:hAnsi="Times New Roman"/>
          <w:b/>
          <w:sz w:val="24"/>
        </w:rPr>
        <w:t xml:space="preserve">Auto-évaluation globale </w:t>
      </w:r>
    </w:p>
    <w:p w14:paraId="02DB80FD" w14:textId="77777777" w:rsidR="00832F98" w:rsidRPr="005107DF" w:rsidRDefault="00832F98" w:rsidP="00A92DE1">
      <w:pPr>
        <w:spacing w:after="0" w:line="240" w:lineRule="auto"/>
        <w:rPr>
          <w:rFonts w:ascii="Times New Roman" w:eastAsia="Times New Roman" w:hAnsi="Times New Roman" w:cs="Times New Roman"/>
          <w:i/>
          <w:sz w:val="24"/>
          <w:szCs w:val="24"/>
        </w:rPr>
      </w:pPr>
    </w:p>
    <w:p w14:paraId="39F013A5" w14:textId="77777777" w:rsidR="00832F98" w:rsidRPr="005107DF" w:rsidRDefault="00832F98" w:rsidP="00A92DE1">
      <w:pPr>
        <w:spacing w:after="0" w:line="240" w:lineRule="auto"/>
        <w:rPr>
          <w:rFonts w:ascii="Times New Roman" w:eastAsia="Times New Roman" w:hAnsi="Times New Roman" w:cs="Times New Roman"/>
          <w:i/>
          <w:sz w:val="24"/>
          <w:szCs w:val="24"/>
        </w:rPr>
      </w:pPr>
      <w:r>
        <w:rPr>
          <w:rFonts w:ascii="Times New Roman" w:hAnsi="Times New Roman"/>
          <w:i/>
          <w:sz w:val="24"/>
        </w:rPr>
        <w:t>Évaluez le projet, son évolution et son impact en un seul paragraphe.</w:t>
      </w:r>
    </w:p>
    <w:p w14:paraId="4A2E8173" w14:textId="77777777" w:rsidR="00832F98" w:rsidRPr="005107DF" w:rsidRDefault="00832F98" w:rsidP="00A92DE1">
      <w:pPr>
        <w:spacing w:after="0" w:line="240" w:lineRule="auto"/>
        <w:rPr>
          <w:rFonts w:ascii="Times New Roman" w:eastAsia="Times New Roman" w:hAnsi="Times New Roman" w:cs="Times New Roman"/>
          <w:b/>
          <w:sz w:val="24"/>
          <w:szCs w:val="24"/>
          <w:u w:val="single"/>
        </w:rPr>
      </w:pPr>
    </w:p>
    <w:p w14:paraId="752907D1" w14:textId="77777777" w:rsidR="00832F98" w:rsidRPr="005107DF" w:rsidRDefault="00832F98" w:rsidP="00A92DE1">
      <w:pPr>
        <w:spacing w:after="0" w:line="240" w:lineRule="auto"/>
        <w:rPr>
          <w:rFonts w:ascii="Times New Roman" w:eastAsia="Times New Roman" w:hAnsi="Times New Roman" w:cs="Times New Roman"/>
          <w:b/>
          <w:sz w:val="24"/>
          <w:szCs w:val="24"/>
        </w:rPr>
      </w:pPr>
      <w:r>
        <w:rPr>
          <w:rFonts w:ascii="Times New Roman" w:hAnsi="Times New Roman"/>
          <w:b/>
          <w:sz w:val="24"/>
        </w:rPr>
        <w:t xml:space="preserve">Enseignements tirés </w:t>
      </w:r>
    </w:p>
    <w:p w14:paraId="421DE479" w14:textId="77777777" w:rsidR="00832F98" w:rsidRPr="005107DF" w:rsidRDefault="00832F98" w:rsidP="00A92DE1">
      <w:pPr>
        <w:spacing w:after="0" w:line="240" w:lineRule="auto"/>
        <w:rPr>
          <w:rFonts w:ascii="Times New Roman" w:eastAsia="Times New Roman" w:hAnsi="Times New Roman" w:cs="Times New Roman"/>
          <w:b/>
          <w:sz w:val="24"/>
          <w:szCs w:val="24"/>
          <w:u w:val="single"/>
        </w:rPr>
      </w:pPr>
    </w:p>
    <w:p w14:paraId="0FD2C010" w14:textId="77777777" w:rsidR="00832F98" w:rsidRPr="005107DF" w:rsidRDefault="00832F98" w:rsidP="00A92DE1">
      <w:pPr>
        <w:spacing w:after="0" w:line="240" w:lineRule="auto"/>
        <w:rPr>
          <w:rFonts w:ascii="Times New Roman" w:eastAsia="Times New Roman" w:hAnsi="Times New Roman" w:cs="Times New Roman"/>
          <w:i/>
          <w:sz w:val="24"/>
          <w:szCs w:val="24"/>
        </w:rPr>
      </w:pPr>
      <w:r>
        <w:rPr>
          <w:rFonts w:ascii="Times New Roman" w:hAnsi="Times New Roman"/>
          <w:i/>
          <w:sz w:val="24"/>
        </w:rPr>
        <w:t xml:space="preserve">Recommandations concernant les actions futures à entreprendre dans le domaine/secteur couvert par le jumelage. </w:t>
      </w:r>
    </w:p>
    <w:p w14:paraId="231EF1F1" w14:textId="77777777" w:rsidR="00832F98" w:rsidRDefault="00832F98" w:rsidP="00A92DE1">
      <w:pPr>
        <w:spacing w:after="0" w:line="240" w:lineRule="auto"/>
        <w:rPr>
          <w:rFonts w:ascii="Times New Roman" w:eastAsia="Times New Roman" w:hAnsi="Times New Roman" w:cs="Times New Roman"/>
          <w:b/>
          <w:sz w:val="24"/>
          <w:szCs w:val="24"/>
          <w:u w:val="single"/>
        </w:rPr>
      </w:pPr>
    </w:p>
    <w:p w14:paraId="75347301" w14:textId="77777777" w:rsidR="00832F98" w:rsidRPr="005107DF" w:rsidRDefault="00832F98" w:rsidP="00A92DE1">
      <w:pPr>
        <w:spacing w:after="0" w:line="240" w:lineRule="auto"/>
        <w:rPr>
          <w:rFonts w:ascii="Times New Roman" w:eastAsia="Times New Roman" w:hAnsi="Times New Roman" w:cs="Times New Roman"/>
          <w:b/>
          <w:sz w:val="24"/>
          <w:szCs w:val="24"/>
          <w:u w:val="single"/>
        </w:rPr>
      </w:pPr>
      <w:r w:rsidRPr="00452C1A">
        <w:rPr>
          <w:rFonts w:ascii="Times New Roman" w:hAnsi="Times New Roman"/>
          <w:b/>
          <w:sz w:val="24"/>
          <w:u w:val="single"/>
        </w:rPr>
        <w:t>2</w:t>
      </w:r>
      <w:r>
        <w:rPr>
          <w:rFonts w:ascii="Times New Roman" w:hAnsi="Times New Roman"/>
          <w:b/>
          <w:sz w:val="24"/>
          <w:u w:val="single"/>
        </w:rPr>
        <w:t>H  –  ANNEXES</w:t>
      </w:r>
    </w:p>
    <w:p w14:paraId="782CE000" w14:textId="77777777" w:rsidR="00832F98" w:rsidRPr="005107DF" w:rsidRDefault="00832F98" w:rsidP="00A92DE1">
      <w:pPr>
        <w:spacing w:after="0" w:line="240" w:lineRule="auto"/>
        <w:rPr>
          <w:rFonts w:ascii="Times New Roman" w:eastAsia="Times New Roman" w:hAnsi="Times New Roman" w:cs="Times New Roman"/>
          <w:sz w:val="24"/>
          <w:szCs w:val="24"/>
        </w:rPr>
      </w:pPr>
    </w:p>
    <w:p w14:paraId="6C9A5CE7" w14:textId="77777777" w:rsidR="00832F98" w:rsidRPr="005107DF" w:rsidRDefault="00832F98" w:rsidP="00A92DE1">
      <w:pPr>
        <w:spacing w:after="0" w:line="240" w:lineRule="auto"/>
        <w:rPr>
          <w:rFonts w:ascii="Times New Roman" w:eastAsia="Times New Roman" w:hAnsi="Times New Roman" w:cs="Times New Roman"/>
          <w:sz w:val="24"/>
          <w:szCs w:val="24"/>
        </w:rPr>
      </w:pPr>
      <w:r>
        <w:rPr>
          <w:rFonts w:ascii="Times New Roman" w:hAnsi="Times New Roman"/>
          <w:sz w:val="24"/>
        </w:rPr>
        <w:t xml:space="preserve">Annexe </w:t>
      </w:r>
      <w:r w:rsidRPr="00452C1A">
        <w:rPr>
          <w:rFonts w:ascii="Times New Roman" w:hAnsi="Times New Roman"/>
          <w:sz w:val="24"/>
        </w:rPr>
        <w:t>1</w:t>
      </w:r>
      <w:r>
        <w:rPr>
          <w:rFonts w:ascii="Times New Roman" w:hAnsi="Times New Roman"/>
          <w:sz w:val="24"/>
        </w:rPr>
        <w:t xml:space="preserve">: </w:t>
      </w:r>
      <w:r>
        <w:rPr>
          <w:rFonts w:ascii="Times New Roman" w:hAnsi="Times New Roman"/>
          <w:i/>
          <w:sz w:val="24"/>
        </w:rPr>
        <w:t>Tableau - Résultats obligatoires/produits obtenus</w:t>
      </w:r>
    </w:p>
    <w:p w14:paraId="78EB0253" w14:textId="77777777" w:rsidR="00832F98" w:rsidRPr="005107DF" w:rsidRDefault="00832F98" w:rsidP="00A92DE1">
      <w:pPr>
        <w:spacing w:after="0" w:line="240" w:lineRule="auto"/>
        <w:rPr>
          <w:rFonts w:ascii="Times New Roman" w:eastAsia="Times New Roman" w:hAnsi="Times New Roman" w:cs="Times New Roman"/>
          <w:sz w:val="24"/>
          <w:szCs w:val="24"/>
        </w:rPr>
      </w:pPr>
    </w:p>
    <w:p w14:paraId="50477284" w14:textId="77777777" w:rsidR="00434C10" w:rsidRDefault="00434C10" w:rsidP="00A92DE1">
      <w:pPr>
        <w:spacing w:after="0" w:line="240" w:lineRule="auto"/>
        <w:rPr>
          <w:rFonts w:ascii="Times New Roman" w:hAnsi="Times New Roman"/>
          <w:b/>
          <w:i/>
          <w:sz w:val="24"/>
        </w:rPr>
      </w:pPr>
    </w:p>
    <w:p w14:paraId="0CAC8B16" w14:textId="77777777" w:rsidR="00434C10" w:rsidRDefault="00434C10" w:rsidP="00A92DE1">
      <w:pPr>
        <w:spacing w:after="0" w:line="240" w:lineRule="auto"/>
        <w:rPr>
          <w:rFonts w:ascii="Times New Roman" w:hAnsi="Times New Roman"/>
          <w:b/>
          <w:i/>
          <w:sz w:val="24"/>
        </w:rPr>
      </w:pPr>
    </w:p>
    <w:p w14:paraId="296C4644" w14:textId="77777777" w:rsidR="00434C10" w:rsidRDefault="00434C10" w:rsidP="00A92DE1">
      <w:pPr>
        <w:spacing w:after="0" w:line="240" w:lineRule="auto"/>
        <w:rPr>
          <w:rFonts w:ascii="Times New Roman" w:hAnsi="Times New Roman"/>
          <w:b/>
          <w:i/>
          <w:sz w:val="24"/>
        </w:rPr>
      </w:pPr>
    </w:p>
    <w:p w14:paraId="64F4FF16" w14:textId="77777777" w:rsidR="00434C10" w:rsidRDefault="00434C10" w:rsidP="00A92DE1">
      <w:pPr>
        <w:spacing w:after="0" w:line="240" w:lineRule="auto"/>
        <w:rPr>
          <w:rFonts w:ascii="Times New Roman" w:hAnsi="Times New Roman"/>
          <w:b/>
          <w:i/>
          <w:sz w:val="24"/>
        </w:rPr>
      </w:pPr>
    </w:p>
    <w:p w14:paraId="689FE94F" w14:textId="77777777" w:rsidR="00434C10" w:rsidRDefault="00434C10" w:rsidP="00A92DE1">
      <w:pPr>
        <w:spacing w:after="0" w:line="240" w:lineRule="auto"/>
        <w:rPr>
          <w:rFonts w:ascii="Times New Roman" w:hAnsi="Times New Roman"/>
          <w:b/>
          <w:i/>
          <w:sz w:val="24"/>
        </w:rPr>
      </w:pPr>
    </w:p>
    <w:p w14:paraId="6AC52675" w14:textId="011DA06B" w:rsidR="00832F98" w:rsidRPr="005107DF" w:rsidRDefault="00832F98" w:rsidP="00A92DE1">
      <w:pPr>
        <w:spacing w:after="0" w:line="240" w:lineRule="auto"/>
        <w:rPr>
          <w:rFonts w:ascii="Times New Roman" w:eastAsia="Times New Roman" w:hAnsi="Times New Roman" w:cs="Times New Roman"/>
          <w:b/>
          <w:sz w:val="24"/>
          <w:szCs w:val="24"/>
        </w:rPr>
      </w:pPr>
      <w:r>
        <w:rPr>
          <w:rFonts w:ascii="Times New Roman" w:hAnsi="Times New Roman"/>
          <w:b/>
          <w:i/>
          <w:sz w:val="24"/>
        </w:rPr>
        <w:lastRenderedPageBreak/>
        <w:t xml:space="preserve">Annexe </w:t>
      </w:r>
      <w:r w:rsidRPr="00452C1A">
        <w:rPr>
          <w:rFonts w:ascii="Times New Roman" w:hAnsi="Times New Roman"/>
          <w:b/>
          <w:i/>
          <w:sz w:val="24"/>
        </w:rPr>
        <w:t>1</w:t>
      </w:r>
      <w:r>
        <w:rPr>
          <w:rFonts w:ascii="Times New Roman" w:hAnsi="Times New Roman"/>
          <w:b/>
          <w:i/>
          <w:sz w:val="24"/>
        </w:rPr>
        <w:t>: Tableau des résultats obligatoires/produits obtenus</w:t>
      </w:r>
    </w:p>
    <w:p w14:paraId="28613D88" w14:textId="77777777" w:rsidR="00832F98" w:rsidRPr="005107DF" w:rsidRDefault="00832F98" w:rsidP="00A92DE1">
      <w:pPr>
        <w:spacing w:after="0" w:line="240" w:lineRule="auto"/>
        <w:rPr>
          <w:rFonts w:ascii="Times New Roman" w:eastAsia="Times New Roman" w:hAnsi="Times New Roman" w:cs="Times New Roman"/>
          <w:sz w:val="24"/>
          <w:szCs w:val="24"/>
        </w:rPr>
      </w:pPr>
    </w:p>
    <w:tbl>
      <w:tblPr>
        <w:tblW w:w="5000" w:type="pct"/>
        <w:tblLayout w:type="fixed"/>
        <w:tblLook w:val="0000" w:firstRow="0" w:lastRow="0" w:firstColumn="0" w:lastColumn="0" w:noHBand="0" w:noVBand="0"/>
      </w:tblPr>
      <w:tblGrid>
        <w:gridCol w:w="813"/>
        <w:gridCol w:w="1419"/>
        <w:gridCol w:w="1276"/>
        <w:gridCol w:w="998"/>
        <w:gridCol w:w="801"/>
        <w:gridCol w:w="747"/>
        <w:gridCol w:w="877"/>
        <w:gridCol w:w="973"/>
        <w:gridCol w:w="1384"/>
      </w:tblGrid>
      <w:tr w:rsidR="00832F98" w:rsidRPr="005107DF" w14:paraId="3CBE6F26" w14:textId="77777777" w:rsidTr="00434C10">
        <w:trPr>
          <w:trHeight w:val="1530"/>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35825AF5" w14:textId="77777777" w:rsidR="00832F98" w:rsidRPr="005107DF" w:rsidRDefault="00832F98" w:rsidP="00A92DE1">
            <w:pPr>
              <w:spacing w:after="0" w:line="240" w:lineRule="auto"/>
              <w:rPr>
                <w:rFonts w:ascii="Times New Roman" w:eastAsia="Times New Roman" w:hAnsi="Times New Roman" w:cs="Times New Roman"/>
                <w:b/>
                <w:bCs/>
                <w:sz w:val="20"/>
                <w:szCs w:val="20"/>
              </w:rPr>
            </w:pPr>
            <w:r>
              <w:rPr>
                <w:rFonts w:ascii="Times New Roman" w:hAnsi="Times New Roman"/>
                <w:b/>
                <w:sz w:val="20"/>
              </w:rPr>
              <w:t>Volet</w:t>
            </w:r>
          </w:p>
        </w:tc>
        <w:tc>
          <w:tcPr>
            <w:tcW w:w="764" w:type="pct"/>
            <w:tcBorders>
              <w:top w:val="single" w:sz="4" w:space="0" w:color="auto"/>
              <w:left w:val="nil"/>
              <w:bottom w:val="single" w:sz="4" w:space="0" w:color="auto"/>
              <w:right w:val="single" w:sz="4" w:space="0" w:color="auto"/>
            </w:tcBorders>
            <w:shd w:val="clear" w:color="auto" w:fill="auto"/>
            <w:noWrap/>
            <w:vAlign w:val="center"/>
          </w:tcPr>
          <w:p w14:paraId="64E82698" w14:textId="77777777" w:rsidR="00832F98" w:rsidRPr="005107DF" w:rsidRDefault="00832F98" w:rsidP="00A92DE1">
            <w:pPr>
              <w:spacing w:after="0" w:line="240" w:lineRule="auto"/>
              <w:jc w:val="center"/>
              <w:rPr>
                <w:rFonts w:ascii="Times New Roman" w:eastAsia="Times New Roman" w:hAnsi="Times New Roman" w:cs="Times New Roman"/>
                <w:b/>
                <w:bCs/>
                <w:sz w:val="20"/>
                <w:szCs w:val="20"/>
              </w:rPr>
            </w:pPr>
            <w:r>
              <w:rPr>
                <w:rFonts w:ascii="Times New Roman" w:hAnsi="Times New Roman"/>
                <w:b/>
                <w:sz w:val="20"/>
              </w:rPr>
              <w:t>&lt;INTITULÉ du volet&gt;</w:t>
            </w:r>
          </w:p>
        </w:tc>
        <w:tc>
          <w:tcPr>
            <w:tcW w:w="687" w:type="pct"/>
            <w:tcBorders>
              <w:top w:val="single" w:sz="4" w:space="0" w:color="auto"/>
              <w:left w:val="nil"/>
              <w:bottom w:val="single" w:sz="4" w:space="0" w:color="auto"/>
              <w:right w:val="single" w:sz="4" w:space="0" w:color="auto"/>
            </w:tcBorders>
            <w:shd w:val="clear" w:color="auto" w:fill="auto"/>
            <w:vAlign w:val="center"/>
          </w:tcPr>
          <w:p w14:paraId="391D7AE6"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r>
              <w:rPr>
                <w:rFonts w:ascii="Times New Roman" w:hAnsi="Times New Roman"/>
                <w:sz w:val="20"/>
              </w:rPr>
              <w:t>Résultats obligatoires/</w:t>
            </w:r>
          </w:p>
          <w:p w14:paraId="3B008FB0"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r>
              <w:rPr>
                <w:rFonts w:ascii="Times New Roman" w:hAnsi="Times New Roman"/>
                <w:sz w:val="20"/>
              </w:rPr>
              <w:t>produits</w:t>
            </w:r>
          </w:p>
        </w:tc>
        <w:tc>
          <w:tcPr>
            <w:tcW w:w="537" w:type="pct"/>
            <w:tcBorders>
              <w:top w:val="single" w:sz="4" w:space="0" w:color="auto"/>
              <w:left w:val="nil"/>
              <w:bottom w:val="single" w:sz="4" w:space="0" w:color="auto"/>
              <w:right w:val="single" w:sz="4" w:space="0" w:color="auto"/>
            </w:tcBorders>
          </w:tcPr>
          <w:p w14:paraId="1F952D61"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p>
          <w:p w14:paraId="38FA9EEE"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p>
          <w:p w14:paraId="01AFEF40"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p>
          <w:p w14:paraId="557A151C"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r>
              <w:rPr>
                <w:rFonts w:ascii="Times New Roman" w:hAnsi="Times New Roman"/>
                <w:sz w:val="20"/>
              </w:rPr>
              <w:t>Activités par volet</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4788A91E"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p>
          <w:p w14:paraId="60CCBB7D"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r>
              <w:rPr>
                <w:rFonts w:ascii="Times New Roman" w:hAnsi="Times New Roman"/>
                <w:sz w:val="20"/>
              </w:rPr>
              <w:t>Date limite prévue</w:t>
            </w:r>
          </w:p>
        </w:tc>
        <w:tc>
          <w:tcPr>
            <w:tcW w:w="402" w:type="pct"/>
            <w:tcBorders>
              <w:top w:val="single" w:sz="4" w:space="0" w:color="auto"/>
              <w:left w:val="nil"/>
              <w:bottom w:val="single" w:sz="4" w:space="0" w:color="auto"/>
              <w:right w:val="single" w:sz="4" w:space="0" w:color="auto"/>
            </w:tcBorders>
            <w:shd w:val="clear" w:color="auto" w:fill="auto"/>
            <w:vAlign w:val="center"/>
          </w:tcPr>
          <w:p w14:paraId="29419137"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p>
          <w:p w14:paraId="536CA68C"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p>
          <w:p w14:paraId="0A3E3236"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r>
              <w:rPr>
                <w:rFonts w:ascii="Times New Roman" w:hAnsi="Times New Roman"/>
                <w:sz w:val="20"/>
              </w:rPr>
              <w:t>Retard</w:t>
            </w:r>
          </w:p>
          <w:p w14:paraId="0F1903EF"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r>
              <w:rPr>
                <w:rFonts w:ascii="Times New Roman" w:hAnsi="Times New Roman"/>
                <w:sz w:val="20"/>
              </w:rPr>
              <w:t>+/- [mois]</w:t>
            </w:r>
          </w:p>
        </w:tc>
        <w:tc>
          <w:tcPr>
            <w:tcW w:w="472" w:type="pct"/>
            <w:tcBorders>
              <w:top w:val="single" w:sz="4" w:space="0" w:color="auto"/>
              <w:left w:val="nil"/>
              <w:bottom w:val="single" w:sz="4" w:space="0" w:color="auto"/>
              <w:right w:val="single" w:sz="4" w:space="0" w:color="auto"/>
            </w:tcBorders>
            <w:shd w:val="clear" w:color="auto" w:fill="auto"/>
            <w:vAlign w:val="center"/>
          </w:tcPr>
          <w:p w14:paraId="4DB891C9"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r>
              <w:rPr>
                <w:rFonts w:ascii="Times New Roman" w:hAnsi="Times New Roman"/>
                <w:b/>
                <w:sz w:val="20"/>
              </w:rPr>
              <w:t xml:space="preserve">OBJECTIFS DÉFINIS </w:t>
            </w:r>
          </w:p>
        </w:tc>
        <w:tc>
          <w:tcPr>
            <w:tcW w:w="524" w:type="pct"/>
            <w:tcBorders>
              <w:top w:val="single" w:sz="4" w:space="0" w:color="auto"/>
              <w:left w:val="nil"/>
              <w:bottom w:val="single" w:sz="4" w:space="0" w:color="auto"/>
              <w:right w:val="single" w:sz="4" w:space="0" w:color="auto"/>
            </w:tcBorders>
            <w:shd w:val="clear" w:color="auto" w:fill="auto"/>
            <w:vAlign w:val="center"/>
          </w:tcPr>
          <w:p w14:paraId="3CBD9B12" w14:textId="77777777" w:rsidR="00832F98" w:rsidRPr="005107DF" w:rsidRDefault="00832F98" w:rsidP="00A92DE1">
            <w:pPr>
              <w:spacing w:after="0" w:line="240" w:lineRule="auto"/>
              <w:jc w:val="center"/>
              <w:rPr>
                <w:rFonts w:ascii="Times New Roman" w:eastAsia="Times New Roman" w:hAnsi="Times New Roman" w:cs="Times New Roman"/>
                <w:b/>
                <w:bCs/>
                <w:sz w:val="20"/>
                <w:szCs w:val="20"/>
              </w:rPr>
            </w:pPr>
          </w:p>
          <w:p w14:paraId="50F2CD37" w14:textId="77777777" w:rsidR="00832F98" w:rsidRPr="005107DF" w:rsidRDefault="00832F98" w:rsidP="00A92DE1">
            <w:pPr>
              <w:spacing w:after="0" w:line="240" w:lineRule="auto"/>
              <w:jc w:val="center"/>
              <w:rPr>
                <w:rFonts w:ascii="Times New Roman" w:eastAsia="Times New Roman" w:hAnsi="Times New Roman" w:cs="Times New Roman"/>
                <w:b/>
                <w:bCs/>
                <w:sz w:val="20"/>
                <w:szCs w:val="20"/>
              </w:rPr>
            </w:pPr>
            <w:r>
              <w:rPr>
                <w:rFonts w:ascii="Times New Roman" w:hAnsi="Times New Roman"/>
                <w:b/>
                <w:sz w:val="20"/>
              </w:rPr>
              <w:t>ÉVALUATION</w:t>
            </w:r>
            <w:r>
              <w:rPr>
                <w:rFonts w:ascii="Times New Roman" w:hAnsi="Times New Roman"/>
                <w:sz w:val="20"/>
              </w:rPr>
              <w:t xml:space="preserve"> des résultats obtenus à ce jour</w:t>
            </w:r>
          </w:p>
        </w:tc>
        <w:tc>
          <w:tcPr>
            <w:tcW w:w="745" w:type="pct"/>
            <w:tcBorders>
              <w:top w:val="single" w:sz="4" w:space="0" w:color="auto"/>
              <w:left w:val="nil"/>
              <w:bottom w:val="single" w:sz="4" w:space="0" w:color="auto"/>
              <w:right w:val="single" w:sz="4" w:space="0" w:color="auto"/>
            </w:tcBorders>
            <w:shd w:val="clear" w:color="auto" w:fill="auto"/>
            <w:vAlign w:val="center"/>
          </w:tcPr>
          <w:p w14:paraId="0DB7A25B" w14:textId="77777777" w:rsidR="00832F98" w:rsidRPr="005107DF" w:rsidRDefault="00832F98" w:rsidP="00434C10">
            <w:pPr>
              <w:spacing w:after="0" w:line="240" w:lineRule="auto"/>
              <w:rPr>
                <w:rFonts w:ascii="Times New Roman" w:eastAsia="Times New Roman" w:hAnsi="Times New Roman" w:cs="Times New Roman"/>
                <w:sz w:val="20"/>
                <w:szCs w:val="20"/>
              </w:rPr>
            </w:pPr>
          </w:p>
          <w:p w14:paraId="58DC3BB3" w14:textId="77777777" w:rsidR="00832F98" w:rsidRPr="005107DF" w:rsidRDefault="00832F98" w:rsidP="00434C10">
            <w:pPr>
              <w:spacing w:after="0" w:line="240" w:lineRule="auto"/>
              <w:rPr>
                <w:rFonts w:ascii="Times New Roman" w:eastAsia="Times New Roman" w:hAnsi="Times New Roman" w:cs="Times New Roman"/>
                <w:sz w:val="20"/>
                <w:szCs w:val="20"/>
              </w:rPr>
            </w:pPr>
          </w:p>
          <w:p w14:paraId="13EB162D" w14:textId="37147A45" w:rsidR="00832F98" w:rsidRPr="005107DF" w:rsidRDefault="00832F98" w:rsidP="00434C10">
            <w:pPr>
              <w:spacing w:after="0" w:line="240" w:lineRule="auto"/>
              <w:rPr>
                <w:rFonts w:ascii="Times New Roman" w:eastAsia="Times New Roman" w:hAnsi="Times New Roman" w:cs="Times New Roman"/>
                <w:sz w:val="20"/>
                <w:szCs w:val="20"/>
              </w:rPr>
            </w:pPr>
            <w:r>
              <w:rPr>
                <w:rFonts w:ascii="Times New Roman" w:hAnsi="Times New Roman"/>
                <w:b/>
                <w:sz w:val="20"/>
              </w:rPr>
              <w:t>Note d’auto-évaluation</w:t>
            </w:r>
            <w:r>
              <w:rPr>
                <w:rFonts w:ascii="Times New Roman" w:hAnsi="Times New Roman"/>
                <w:sz w:val="20"/>
              </w:rPr>
              <w:t xml:space="preserve"> TS (très satisfaisant), S (s</w:t>
            </w:r>
            <w:r w:rsidR="00434C10">
              <w:rPr>
                <w:rFonts w:ascii="Times New Roman" w:hAnsi="Times New Roman"/>
                <w:sz w:val="20"/>
              </w:rPr>
              <w:t>atisfaisant), I (insatisfaisant</w:t>
            </w:r>
          </w:p>
        </w:tc>
      </w:tr>
      <w:tr w:rsidR="00832F98" w:rsidRPr="005107DF" w14:paraId="645E5053" w14:textId="77777777" w:rsidTr="00434C10">
        <w:trPr>
          <w:trHeight w:val="255"/>
        </w:trPr>
        <w:tc>
          <w:tcPr>
            <w:tcW w:w="438" w:type="pct"/>
            <w:tcBorders>
              <w:top w:val="nil"/>
              <w:left w:val="single" w:sz="4" w:space="0" w:color="auto"/>
              <w:bottom w:val="single" w:sz="4" w:space="0" w:color="auto"/>
              <w:right w:val="single" w:sz="4" w:space="0" w:color="auto"/>
            </w:tcBorders>
            <w:shd w:val="clear" w:color="auto" w:fill="auto"/>
            <w:noWrap/>
            <w:vAlign w:val="bottom"/>
          </w:tcPr>
          <w:p w14:paraId="70BAE47C" w14:textId="77777777" w:rsidR="00832F98" w:rsidRPr="005107DF" w:rsidRDefault="00832F98" w:rsidP="00A92DE1">
            <w:pPr>
              <w:spacing w:after="0" w:line="240" w:lineRule="auto"/>
              <w:rPr>
                <w:rFonts w:ascii="Times New Roman" w:eastAsia="Times New Roman" w:hAnsi="Times New Roman" w:cs="Times New Roman"/>
                <w:sz w:val="20"/>
                <w:szCs w:val="20"/>
              </w:rPr>
            </w:pPr>
            <w:r w:rsidRPr="00452C1A">
              <w:rPr>
                <w:rFonts w:ascii="Times New Roman" w:hAnsi="Times New Roman"/>
                <w:sz w:val="20"/>
              </w:rPr>
              <w:t>1</w:t>
            </w:r>
            <w:r>
              <w:rPr>
                <w:rFonts w:ascii="Times New Roman" w:hAnsi="Times New Roman"/>
                <w:sz w:val="20"/>
              </w:rPr>
              <w:t>)</w:t>
            </w:r>
          </w:p>
        </w:tc>
        <w:tc>
          <w:tcPr>
            <w:tcW w:w="764" w:type="pct"/>
            <w:tcBorders>
              <w:top w:val="nil"/>
              <w:left w:val="nil"/>
              <w:bottom w:val="single" w:sz="4" w:space="0" w:color="auto"/>
              <w:right w:val="single" w:sz="4" w:space="0" w:color="auto"/>
            </w:tcBorders>
            <w:shd w:val="clear" w:color="auto" w:fill="auto"/>
            <w:noWrap/>
            <w:vAlign w:val="bottom"/>
          </w:tcPr>
          <w:p w14:paraId="4CDC6786"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Volet</w:t>
            </w:r>
          </w:p>
        </w:tc>
        <w:tc>
          <w:tcPr>
            <w:tcW w:w="687" w:type="pct"/>
            <w:tcBorders>
              <w:top w:val="nil"/>
              <w:left w:val="nil"/>
              <w:bottom w:val="single" w:sz="4" w:space="0" w:color="auto"/>
              <w:right w:val="single" w:sz="4" w:space="0" w:color="auto"/>
            </w:tcBorders>
            <w:shd w:val="clear" w:color="auto" w:fill="auto"/>
            <w:noWrap/>
            <w:vAlign w:val="bottom"/>
          </w:tcPr>
          <w:p w14:paraId="3E7C70E6"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537" w:type="pct"/>
            <w:tcBorders>
              <w:top w:val="single" w:sz="4" w:space="0" w:color="auto"/>
              <w:left w:val="nil"/>
              <w:bottom w:val="single" w:sz="4" w:space="0" w:color="auto"/>
              <w:right w:val="single" w:sz="4" w:space="0" w:color="auto"/>
            </w:tcBorders>
          </w:tcPr>
          <w:p w14:paraId="4703ECA3" w14:textId="77777777" w:rsidR="00832F98" w:rsidRPr="005107DF" w:rsidRDefault="00832F98" w:rsidP="00A92DE1">
            <w:pPr>
              <w:spacing w:after="0" w:line="240" w:lineRule="auto"/>
              <w:rPr>
                <w:rFonts w:ascii="Times New Roman" w:eastAsia="Times New Roman" w:hAnsi="Times New Roman" w:cs="Times New Roman"/>
                <w:sz w:val="20"/>
                <w:szCs w:val="20"/>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14:paraId="7C9A152F"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402" w:type="pct"/>
            <w:tcBorders>
              <w:top w:val="nil"/>
              <w:left w:val="nil"/>
              <w:bottom w:val="single" w:sz="4" w:space="0" w:color="auto"/>
              <w:right w:val="single" w:sz="4" w:space="0" w:color="auto"/>
            </w:tcBorders>
            <w:shd w:val="clear" w:color="auto" w:fill="auto"/>
            <w:noWrap/>
            <w:vAlign w:val="bottom"/>
          </w:tcPr>
          <w:p w14:paraId="3E2BA276"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472" w:type="pct"/>
            <w:tcBorders>
              <w:top w:val="nil"/>
              <w:left w:val="nil"/>
              <w:bottom w:val="single" w:sz="4" w:space="0" w:color="auto"/>
              <w:right w:val="single" w:sz="4" w:space="0" w:color="auto"/>
            </w:tcBorders>
            <w:shd w:val="clear" w:color="auto" w:fill="auto"/>
            <w:noWrap/>
            <w:vAlign w:val="bottom"/>
          </w:tcPr>
          <w:p w14:paraId="2B046268"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524" w:type="pct"/>
            <w:tcBorders>
              <w:top w:val="nil"/>
              <w:left w:val="nil"/>
              <w:bottom w:val="single" w:sz="4" w:space="0" w:color="auto"/>
              <w:right w:val="single" w:sz="4" w:space="0" w:color="auto"/>
            </w:tcBorders>
            <w:shd w:val="clear" w:color="auto" w:fill="auto"/>
            <w:noWrap/>
            <w:vAlign w:val="bottom"/>
          </w:tcPr>
          <w:p w14:paraId="62400BF1"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745" w:type="pct"/>
            <w:tcBorders>
              <w:top w:val="nil"/>
              <w:left w:val="nil"/>
              <w:bottom w:val="single" w:sz="4" w:space="0" w:color="auto"/>
              <w:right w:val="single" w:sz="4" w:space="0" w:color="auto"/>
            </w:tcBorders>
            <w:shd w:val="clear" w:color="auto" w:fill="auto"/>
            <w:noWrap/>
            <w:vAlign w:val="bottom"/>
          </w:tcPr>
          <w:p w14:paraId="4E17066D"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r>
      <w:tr w:rsidR="00832F98" w:rsidRPr="005107DF" w14:paraId="586F15B3" w14:textId="77777777" w:rsidTr="00434C10">
        <w:trPr>
          <w:trHeight w:val="255"/>
        </w:trPr>
        <w:tc>
          <w:tcPr>
            <w:tcW w:w="438" w:type="pct"/>
            <w:tcBorders>
              <w:top w:val="nil"/>
              <w:left w:val="single" w:sz="4" w:space="0" w:color="auto"/>
              <w:bottom w:val="single" w:sz="4" w:space="0" w:color="auto"/>
              <w:right w:val="single" w:sz="4" w:space="0" w:color="auto"/>
            </w:tcBorders>
            <w:shd w:val="clear" w:color="auto" w:fill="auto"/>
            <w:noWrap/>
            <w:vAlign w:val="bottom"/>
          </w:tcPr>
          <w:p w14:paraId="113C59FF"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764" w:type="pct"/>
            <w:tcBorders>
              <w:top w:val="nil"/>
              <w:left w:val="nil"/>
              <w:bottom w:val="single" w:sz="4" w:space="0" w:color="auto"/>
              <w:right w:val="single" w:sz="4" w:space="0" w:color="auto"/>
            </w:tcBorders>
            <w:shd w:val="clear" w:color="auto" w:fill="auto"/>
            <w:noWrap/>
            <w:vAlign w:val="bottom"/>
          </w:tcPr>
          <w:p w14:paraId="535536F2" w14:textId="77777777" w:rsidR="00832F98" w:rsidRPr="005107DF" w:rsidRDefault="00832F98" w:rsidP="00A92DE1">
            <w:pPr>
              <w:spacing w:after="0" w:line="240" w:lineRule="auto"/>
              <w:rPr>
                <w:rFonts w:ascii="Times New Roman" w:eastAsia="Times New Roman" w:hAnsi="Times New Roman" w:cs="Times New Roman"/>
                <w:sz w:val="20"/>
                <w:szCs w:val="20"/>
              </w:rPr>
            </w:pPr>
          </w:p>
        </w:tc>
        <w:tc>
          <w:tcPr>
            <w:tcW w:w="687" w:type="pct"/>
            <w:tcBorders>
              <w:top w:val="nil"/>
              <w:left w:val="nil"/>
              <w:bottom w:val="single" w:sz="4" w:space="0" w:color="auto"/>
              <w:right w:val="single" w:sz="4" w:space="0" w:color="auto"/>
            </w:tcBorders>
            <w:shd w:val="clear" w:color="auto" w:fill="auto"/>
            <w:noWrap/>
            <w:vAlign w:val="bottom"/>
          </w:tcPr>
          <w:p w14:paraId="0729BB4F"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537" w:type="pct"/>
            <w:tcBorders>
              <w:top w:val="single" w:sz="4" w:space="0" w:color="auto"/>
              <w:left w:val="nil"/>
              <w:bottom w:val="single" w:sz="4" w:space="0" w:color="auto"/>
              <w:right w:val="single" w:sz="4" w:space="0" w:color="auto"/>
            </w:tcBorders>
          </w:tcPr>
          <w:p w14:paraId="67036D8F" w14:textId="77777777" w:rsidR="00832F98" w:rsidRPr="005107DF" w:rsidRDefault="00832F98" w:rsidP="00A92DE1">
            <w:pPr>
              <w:spacing w:after="0" w:line="240" w:lineRule="auto"/>
              <w:rPr>
                <w:rFonts w:ascii="Times New Roman" w:eastAsia="Times New Roman" w:hAnsi="Times New Roman" w:cs="Times New Roman"/>
                <w:sz w:val="20"/>
                <w:szCs w:val="20"/>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14:paraId="098EF912"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402" w:type="pct"/>
            <w:tcBorders>
              <w:top w:val="nil"/>
              <w:left w:val="nil"/>
              <w:bottom w:val="single" w:sz="4" w:space="0" w:color="auto"/>
              <w:right w:val="single" w:sz="4" w:space="0" w:color="auto"/>
            </w:tcBorders>
            <w:shd w:val="clear" w:color="auto" w:fill="auto"/>
            <w:noWrap/>
            <w:vAlign w:val="bottom"/>
          </w:tcPr>
          <w:p w14:paraId="4CF5CD27"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472" w:type="pct"/>
            <w:tcBorders>
              <w:top w:val="nil"/>
              <w:left w:val="nil"/>
              <w:bottom w:val="single" w:sz="4" w:space="0" w:color="auto"/>
              <w:right w:val="single" w:sz="4" w:space="0" w:color="auto"/>
            </w:tcBorders>
            <w:shd w:val="clear" w:color="auto" w:fill="auto"/>
            <w:noWrap/>
            <w:vAlign w:val="bottom"/>
          </w:tcPr>
          <w:p w14:paraId="0CCC320E"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524" w:type="pct"/>
            <w:tcBorders>
              <w:top w:val="nil"/>
              <w:left w:val="nil"/>
              <w:bottom w:val="single" w:sz="4" w:space="0" w:color="auto"/>
              <w:right w:val="single" w:sz="4" w:space="0" w:color="auto"/>
            </w:tcBorders>
            <w:shd w:val="clear" w:color="auto" w:fill="auto"/>
            <w:noWrap/>
            <w:vAlign w:val="bottom"/>
          </w:tcPr>
          <w:p w14:paraId="10A8F13F"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745" w:type="pct"/>
            <w:tcBorders>
              <w:top w:val="nil"/>
              <w:left w:val="nil"/>
              <w:bottom w:val="single" w:sz="4" w:space="0" w:color="auto"/>
              <w:right w:val="single" w:sz="4" w:space="0" w:color="auto"/>
            </w:tcBorders>
            <w:shd w:val="clear" w:color="auto" w:fill="auto"/>
            <w:noWrap/>
            <w:vAlign w:val="bottom"/>
          </w:tcPr>
          <w:p w14:paraId="3C3BAD2B"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r>
      <w:tr w:rsidR="00832F98" w:rsidRPr="005107DF" w14:paraId="3ADCC616" w14:textId="77777777" w:rsidTr="00434C10">
        <w:trPr>
          <w:trHeight w:val="255"/>
        </w:trPr>
        <w:tc>
          <w:tcPr>
            <w:tcW w:w="438" w:type="pct"/>
            <w:tcBorders>
              <w:top w:val="nil"/>
              <w:left w:val="single" w:sz="4" w:space="0" w:color="auto"/>
              <w:bottom w:val="single" w:sz="4" w:space="0" w:color="auto"/>
              <w:right w:val="single" w:sz="4" w:space="0" w:color="auto"/>
            </w:tcBorders>
            <w:shd w:val="clear" w:color="auto" w:fill="auto"/>
            <w:noWrap/>
            <w:vAlign w:val="bottom"/>
          </w:tcPr>
          <w:p w14:paraId="38A04E04" w14:textId="77777777" w:rsidR="00832F98" w:rsidRPr="005107DF" w:rsidRDefault="00832F98" w:rsidP="00A92DE1">
            <w:pPr>
              <w:spacing w:after="0" w:line="240" w:lineRule="auto"/>
              <w:rPr>
                <w:rFonts w:ascii="Times New Roman" w:eastAsia="Times New Roman" w:hAnsi="Times New Roman" w:cs="Times New Roman"/>
                <w:sz w:val="20"/>
                <w:szCs w:val="20"/>
              </w:rPr>
            </w:pPr>
            <w:r w:rsidRPr="00452C1A">
              <w:rPr>
                <w:rFonts w:ascii="Times New Roman" w:hAnsi="Times New Roman"/>
                <w:sz w:val="20"/>
              </w:rPr>
              <w:t>2</w:t>
            </w:r>
            <w:r>
              <w:rPr>
                <w:rFonts w:ascii="Times New Roman" w:hAnsi="Times New Roman"/>
                <w:sz w:val="20"/>
              </w:rPr>
              <w:t>)</w:t>
            </w:r>
          </w:p>
        </w:tc>
        <w:tc>
          <w:tcPr>
            <w:tcW w:w="764" w:type="pct"/>
            <w:tcBorders>
              <w:top w:val="nil"/>
              <w:left w:val="nil"/>
              <w:bottom w:val="single" w:sz="4" w:space="0" w:color="auto"/>
              <w:right w:val="single" w:sz="4" w:space="0" w:color="auto"/>
            </w:tcBorders>
            <w:shd w:val="clear" w:color="auto" w:fill="auto"/>
            <w:noWrap/>
            <w:vAlign w:val="bottom"/>
          </w:tcPr>
          <w:p w14:paraId="78DDCF0F"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Volet</w:t>
            </w:r>
          </w:p>
        </w:tc>
        <w:tc>
          <w:tcPr>
            <w:tcW w:w="687" w:type="pct"/>
            <w:tcBorders>
              <w:top w:val="nil"/>
              <w:left w:val="nil"/>
              <w:bottom w:val="single" w:sz="4" w:space="0" w:color="auto"/>
              <w:right w:val="single" w:sz="4" w:space="0" w:color="auto"/>
            </w:tcBorders>
            <w:shd w:val="clear" w:color="auto" w:fill="auto"/>
            <w:noWrap/>
            <w:vAlign w:val="bottom"/>
          </w:tcPr>
          <w:p w14:paraId="705D69F5"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537" w:type="pct"/>
            <w:tcBorders>
              <w:top w:val="single" w:sz="4" w:space="0" w:color="auto"/>
              <w:left w:val="nil"/>
              <w:bottom w:val="single" w:sz="4" w:space="0" w:color="auto"/>
              <w:right w:val="single" w:sz="4" w:space="0" w:color="auto"/>
            </w:tcBorders>
          </w:tcPr>
          <w:p w14:paraId="4AB6D16B" w14:textId="77777777" w:rsidR="00832F98" w:rsidRPr="005107DF" w:rsidRDefault="00832F98" w:rsidP="00A92DE1">
            <w:pPr>
              <w:spacing w:after="0" w:line="240" w:lineRule="auto"/>
              <w:rPr>
                <w:rFonts w:ascii="Times New Roman" w:eastAsia="Times New Roman" w:hAnsi="Times New Roman" w:cs="Times New Roman"/>
                <w:sz w:val="20"/>
                <w:szCs w:val="20"/>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14:paraId="628CC19F"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402" w:type="pct"/>
            <w:tcBorders>
              <w:top w:val="nil"/>
              <w:left w:val="nil"/>
              <w:bottom w:val="single" w:sz="4" w:space="0" w:color="auto"/>
              <w:right w:val="single" w:sz="4" w:space="0" w:color="auto"/>
            </w:tcBorders>
            <w:shd w:val="clear" w:color="auto" w:fill="auto"/>
            <w:noWrap/>
            <w:vAlign w:val="bottom"/>
          </w:tcPr>
          <w:p w14:paraId="4CECE31A"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472" w:type="pct"/>
            <w:tcBorders>
              <w:top w:val="nil"/>
              <w:left w:val="nil"/>
              <w:bottom w:val="single" w:sz="4" w:space="0" w:color="auto"/>
              <w:right w:val="single" w:sz="4" w:space="0" w:color="auto"/>
            </w:tcBorders>
            <w:shd w:val="clear" w:color="auto" w:fill="auto"/>
            <w:noWrap/>
            <w:vAlign w:val="bottom"/>
          </w:tcPr>
          <w:p w14:paraId="36D13D54"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524" w:type="pct"/>
            <w:tcBorders>
              <w:top w:val="nil"/>
              <w:left w:val="nil"/>
              <w:bottom w:val="single" w:sz="4" w:space="0" w:color="auto"/>
              <w:right w:val="single" w:sz="4" w:space="0" w:color="auto"/>
            </w:tcBorders>
            <w:shd w:val="clear" w:color="auto" w:fill="auto"/>
            <w:noWrap/>
            <w:vAlign w:val="bottom"/>
          </w:tcPr>
          <w:p w14:paraId="142A940A"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745" w:type="pct"/>
            <w:tcBorders>
              <w:top w:val="nil"/>
              <w:left w:val="nil"/>
              <w:bottom w:val="single" w:sz="4" w:space="0" w:color="auto"/>
              <w:right w:val="single" w:sz="4" w:space="0" w:color="auto"/>
            </w:tcBorders>
            <w:shd w:val="clear" w:color="auto" w:fill="auto"/>
            <w:noWrap/>
            <w:vAlign w:val="bottom"/>
          </w:tcPr>
          <w:p w14:paraId="407DF2EA"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r>
      <w:tr w:rsidR="00832F98" w:rsidRPr="005107DF" w14:paraId="749514A1" w14:textId="77777777" w:rsidTr="00434C10">
        <w:trPr>
          <w:trHeight w:val="255"/>
        </w:trPr>
        <w:tc>
          <w:tcPr>
            <w:tcW w:w="438" w:type="pct"/>
            <w:tcBorders>
              <w:top w:val="nil"/>
              <w:left w:val="single" w:sz="4" w:space="0" w:color="auto"/>
              <w:bottom w:val="single" w:sz="4" w:space="0" w:color="auto"/>
              <w:right w:val="single" w:sz="4" w:space="0" w:color="auto"/>
            </w:tcBorders>
            <w:shd w:val="clear" w:color="auto" w:fill="auto"/>
            <w:noWrap/>
            <w:vAlign w:val="bottom"/>
          </w:tcPr>
          <w:p w14:paraId="42A813FB"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764" w:type="pct"/>
            <w:tcBorders>
              <w:top w:val="nil"/>
              <w:left w:val="nil"/>
              <w:bottom w:val="single" w:sz="4" w:space="0" w:color="auto"/>
              <w:right w:val="single" w:sz="4" w:space="0" w:color="auto"/>
            </w:tcBorders>
            <w:shd w:val="clear" w:color="auto" w:fill="auto"/>
            <w:noWrap/>
            <w:vAlign w:val="bottom"/>
          </w:tcPr>
          <w:p w14:paraId="451363CB" w14:textId="77777777" w:rsidR="00832F98" w:rsidRPr="005107DF" w:rsidRDefault="00832F98" w:rsidP="00A92DE1">
            <w:pPr>
              <w:spacing w:after="0" w:line="240" w:lineRule="auto"/>
              <w:rPr>
                <w:rFonts w:ascii="Times New Roman" w:eastAsia="Times New Roman" w:hAnsi="Times New Roman" w:cs="Times New Roman"/>
                <w:sz w:val="20"/>
                <w:szCs w:val="20"/>
              </w:rPr>
            </w:pPr>
          </w:p>
        </w:tc>
        <w:tc>
          <w:tcPr>
            <w:tcW w:w="687" w:type="pct"/>
            <w:tcBorders>
              <w:top w:val="nil"/>
              <w:left w:val="nil"/>
              <w:bottom w:val="single" w:sz="4" w:space="0" w:color="auto"/>
              <w:right w:val="single" w:sz="4" w:space="0" w:color="auto"/>
            </w:tcBorders>
            <w:shd w:val="clear" w:color="auto" w:fill="auto"/>
            <w:noWrap/>
            <w:vAlign w:val="bottom"/>
          </w:tcPr>
          <w:p w14:paraId="13E833E5"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537" w:type="pct"/>
            <w:tcBorders>
              <w:top w:val="single" w:sz="4" w:space="0" w:color="auto"/>
              <w:left w:val="nil"/>
              <w:bottom w:val="single" w:sz="4" w:space="0" w:color="auto"/>
              <w:right w:val="single" w:sz="4" w:space="0" w:color="auto"/>
            </w:tcBorders>
          </w:tcPr>
          <w:p w14:paraId="4E1BA72A" w14:textId="77777777" w:rsidR="00832F98" w:rsidRPr="005107DF" w:rsidRDefault="00832F98" w:rsidP="00A92DE1">
            <w:pPr>
              <w:spacing w:after="0" w:line="240" w:lineRule="auto"/>
              <w:rPr>
                <w:rFonts w:ascii="Times New Roman" w:eastAsia="Times New Roman" w:hAnsi="Times New Roman" w:cs="Times New Roman"/>
                <w:sz w:val="20"/>
                <w:szCs w:val="20"/>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14:paraId="15E8E155"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402" w:type="pct"/>
            <w:tcBorders>
              <w:top w:val="nil"/>
              <w:left w:val="nil"/>
              <w:bottom w:val="single" w:sz="4" w:space="0" w:color="auto"/>
              <w:right w:val="single" w:sz="4" w:space="0" w:color="auto"/>
            </w:tcBorders>
            <w:shd w:val="clear" w:color="auto" w:fill="auto"/>
            <w:noWrap/>
            <w:vAlign w:val="bottom"/>
          </w:tcPr>
          <w:p w14:paraId="22194303"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472" w:type="pct"/>
            <w:tcBorders>
              <w:top w:val="nil"/>
              <w:left w:val="nil"/>
              <w:bottom w:val="single" w:sz="4" w:space="0" w:color="auto"/>
              <w:right w:val="single" w:sz="4" w:space="0" w:color="auto"/>
            </w:tcBorders>
            <w:shd w:val="clear" w:color="auto" w:fill="auto"/>
            <w:noWrap/>
            <w:vAlign w:val="bottom"/>
          </w:tcPr>
          <w:p w14:paraId="3E2C885B"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524" w:type="pct"/>
            <w:tcBorders>
              <w:top w:val="nil"/>
              <w:left w:val="nil"/>
              <w:bottom w:val="single" w:sz="4" w:space="0" w:color="auto"/>
              <w:right w:val="single" w:sz="4" w:space="0" w:color="auto"/>
            </w:tcBorders>
            <w:shd w:val="clear" w:color="auto" w:fill="auto"/>
            <w:noWrap/>
            <w:vAlign w:val="bottom"/>
          </w:tcPr>
          <w:p w14:paraId="4D77E2B9"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745" w:type="pct"/>
            <w:tcBorders>
              <w:top w:val="nil"/>
              <w:left w:val="nil"/>
              <w:bottom w:val="single" w:sz="4" w:space="0" w:color="auto"/>
              <w:right w:val="single" w:sz="4" w:space="0" w:color="auto"/>
            </w:tcBorders>
            <w:shd w:val="clear" w:color="auto" w:fill="auto"/>
            <w:noWrap/>
            <w:vAlign w:val="bottom"/>
          </w:tcPr>
          <w:p w14:paraId="0B41C0FB"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r>
      <w:tr w:rsidR="00832F98" w:rsidRPr="005107DF" w14:paraId="0F63AECB" w14:textId="77777777" w:rsidTr="00434C10">
        <w:trPr>
          <w:trHeight w:val="255"/>
        </w:trPr>
        <w:tc>
          <w:tcPr>
            <w:tcW w:w="438" w:type="pct"/>
            <w:tcBorders>
              <w:top w:val="nil"/>
              <w:left w:val="single" w:sz="4" w:space="0" w:color="auto"/>
              <w:bottom w:val="single" w:sz="4" w:space="0" w:color="auto"/>
              <w:right w:val="single" w:sz="4" w:space="0" w:color="auto"/>
            </w:tcBorders>
            <w:shd w:val="clear" w:color="auto" w:fill="auto"/>
            <w:noWrap/>
            <w:vAlign w:val="bottom"/>
          </w:tcPr>
          <w:p w14:paraId="16454E37" w14:textId="77777777" w:rsidR="00832F98" w:rsidRPr="005107DF" w:rsidRDefault="00832F98" w:rsidP="00A92DE1">
            <w:pPr>
              <w:spacing w:after="0" w:line="240" w:lineRule="auto"/>
              <w:rPr>
                <w:rFonts w:ascii="Times New Roman" w:eastAsia="Times New Roman" w:hAnsi="Times New Roman" w:cs="Times New Roman"/>
                <w:sz w:val="20"/>
                <w:szCs w:val="20"/>
              </w:rPr>
            </w:pPr>
            <w:r w:rsidRPr="00452C1A">
              <w:rPr>
                <w:rFonts w:ascii="Times New Roman" w:hAnsi="Times New Roman"/>
                <w:sz w:val="20"/>
              </w:rPr>
              <w:t>3</w:t>
            </w:r>
            <w:r>
              <w:rPr>
                <w:rFonts w:ascii="Times New Roman" w:hAnsi="Times New Roman"/>
                <w:sz w:val="20"/>
              </w:rPr>
              <w:t>)</w:t>
            </w:r>
          </w:p>
        </w:tc>
        <w:tc>
          <w:tcPr>
            <w:tcW w:w="764" w:type="pct"/>
            <w:tcBorders>
              <w:top w:val="nil"/>
              <w:left w:val="nil"/>
              <w:bottom w:val="single" w:sz="4" w:space="0" w:color="auto"/>
              <w:right w:val="single" w:sz="4" w:space="0" w:color="auto"/>
            </w:tcBorders>
            <w:shd w:val="clear" w:color="auto" w:fill="auto"/>
            <w:noWrap/>
            <w:vAlign w:val="bottom"/>
          </w:tcPr>
          <w:p w14:paraId="7BD652D8"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Volet N</w:t>
            </w:r>
          </w:p>
        </w:tc>
        <w:tc>
          <w:tcPr>
            <w:tcW w:w="687" w:type="pct"/>
            <w:tcBorders>
              <w:top w:val="nil"/>
              <w:left w:val="nil"/>
              <w:bottom w:val="single" w:sz="4" w:space="0" w:color="auto"/>
              <w:right w:val="single" w:sz="4" w:space="0" w:color="auto"/>
            </w:tcBorders>
            <w:shd w:val="clear" w:color="auto" w:fill="auto"/>
            <w:noWrap/>
            <w:vAlign w:val="bottom"/>
          </w:tcPr>
          <w:p w14:paraId="68351184"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537" w:type="pct"/>
            <w:tcBorders>
              <w:top w:val="single" w:sz="4" w:space="0" w:color="auto"/>
              <w:left w:val="nil"/>
              <w:bottom w:val="single" w:sz="4" w:space="0" w:color="auto"/>
              <w:right w:val="single" w:sz="4" w:space="0" w:color="auto"/>
            </w:tcBorders>
          </w:tcPr>
          <w:p w14:paraId="56EDE844" w14:textId="77777777" w:rsidR="00832F98" w:rsidRPr="005107DF" w:rsidRDefault="00832F98" w:rsidP="00A92DE1">
            <w:pPr>
              <w:spacing w:after="0" w:line="240" w:lineRule="auto"/>
              <w:rPr>
                <w:rFonts w:ascii="Times New Roman" w:eastAsia="Times New Roman" w:hAnsi="Times New Roman" w:cs="Times New Roman"/>
                <w:sz w:val="20"/>
                <w:szCs w:val="20"/>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14:paraId="7FF46772"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402" w:type="pct"/>
            <w:tcBorders>
              <w:top w:val="nil"/>
              <w:left w:val="nil"/>
              <w:bottom w:val="single" w:sz="4" w:space="0" w:color="auto"/>
              <w:right w:val="single" w:sz="4" w:space="0" w:color="auto"/>
            </w:tcBorders>
            <w:shd w:val="clear" w:color="auto" w:fill="auto"/>
            <w:noWrap/>
            <w:vAlign w:val="bottom"/>
          </w:tcPr>
          <w:p w14:paraId="5E316C16"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472" w:type="pct"/>
            <w:tcBorders>
              <w:top w:val="nil"/>
              <w:left w:val="nil"/>
              <w:bottom w:val="single" w:sz="4" w:space="0" w:color="auto"/>
              <w:right w:val="single" w:sz="4" w:space="0" w:color="auto"/>
            </w:tcBorders>
            <w:shd w:val="clear" w:color="auto" w:fill="auto"/>
            <w:noWrap/>
            <w:vAlign w:val="bottom"/>
          </w:tcPr>
          <w:p w14:paraId="290C6295"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524" w:type="pct"/>
            <w:tcBorders>
              <w:top w:val="nil"/>
              <w:left w:val="nil"/>
              <w:bottom w:val="single" w:sz="4" w:space="0" w:color="auto"/>
              <w:right w:val="single" w:sz="4" w:space="0" w:color="auto"/>
            </w:tcBorders>
            <w:shd w:val="clear" w:color="auto" w:fill="auto"/>
            <w:noWrap/>
            <w:vAlign w:val="bottom"/>
          </w:tcPr>
          <w:p w14:paraId="5B2EB8C2"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745" w:type="pct"/>
            <w:tcBorders>
              <w:top w:val="nil"/>
              <w:left w:val="nil"/>
              <w:bottom w:val="single" w:sz="4" w:space="0" w:color="auto"/>
              <w:right w:val="single" w:sz="4" w:space="0" w:color="auto"/>
            </w:tcBorders>
            <w:shd w:val="clear" w:color="auto" w:fill="auto"/>
            <w:noWrap/>
            <w:vAlign w:val="bottom"/>
          </w:tcPr>
          <w:p w14:paraId="2A72C105"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r>
    </w:tbl>
    <w:p w14:paraId="7E354A47" w14:textId="77777777" w:rsidR="00832F98" w:rsidRPr="005107DF" w:rsidRDefault="00832F98" w:rsidP="00A92DE1">
      <w:pPr>
        <w:spacing w:after="0" w:line="240" w:lineRule="auto"/>
        <w:rPr>
          <w:rFonts w:ascii="Times New Roman" w:eastAsia="Times New Roman" w:hAnsi="Times New Roman" w:cs="Times New Roman"/>
          <w:sz w:val="24"/>
          <w:szCs w:val="24"/>
        </w:rPr>
        <w:sectPr w:rsidR="00832F98" w:rsidRPr="005107DF" w:rsidSect="007338F0">
          <w:headerReference w:type="even" r:id="rId52"/>
          <w:headerReference w:type="default" r:id="rId53"/>
          <w:headerReference w:type="first" r:id="rId54"/>
          <w:pgSz w:w="11907" w:h="16840" w:code="9"/>
          <w:pgMar w:top="851" w:right="1417" w:bottom="851" w:left="1418" w:header="567" w:footer="567" w:gutter="0"/>
          <w:pgBorders w:offsetFrom="page">
            <w:right w:val="single" w:sz="4" w:space="24" w:color="auto"/>
          </w:pgBorders>
          <w:cols w:space="720"/>
        </w:sectPr>
      </w:pPr>
    </w:p>
    <w:p w14:paraId="5D6F9042" w14:textId="77777777" w:rsidR="00832F98" w:rsidRPr="005107DF" w:rsidRDefault="00832F98" w:rsidP="00A92DE1">
      <w:pPr>
        <w:tabs>
          <w:tab w:val="center" w:pos="4153"/>
          <w:tab w:val="right" w:pos="8306"/>
        </w:tabs>
        <w:spacing w:after="0" w:line="240" w:lineRule="auto"/>
        <w:jc w:val="both"/>
        <w:rPr>
          <w:rFonts w:ascii="Times New Roman" w:eastAsia="Times New Roman" w:hAnsi="Times New Roman" w:cs="Times New Roman"/>
          <w:sz w:val="24"/>
          <w:szCs w:val="24"/>
        </w:rPr>
      </w:pPr>
    </w:p>
    <w:p w14:paraId="1BFE2798" w14:textId="77777777" w:rsidR="00832F98" w:rsidRPr="005107DF" w:rsidRDefault="00832F98">
      <w:pPr>
        <w:rPr>
          <w:rFonts w:ascii="Times New Roman" w:eastAsia="Times New Roman" w:hAnsi="Times New Roman" w:cs="Times New Roman"/>
          <w:sz w:val="24"/>
          <w:szCs w:val="24"/>
        </w:rPr>
      </w:pPr>
      <w:r>
        <w:br w:type="page"/>
      </w:r>
    </w:p>
    <w:p w14:paraId="0041B01D" w14:textId="77777777" w:rsidR="00832F98" w:rsidRPr="005107DF" w:rsidRDefault="00832F98"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sz w:val="28"/>
          <w:szCs w:val="28"/>
        </w:rPr>
      </w:pPr>
      <w:r>
        <w:rPr>
          <w:rFonts w:ascii="Times New Roman" w:hAnsi="Times New Roman"/>
          <w:b/>
          <w:sz w:val="28"/>
        </w:rPr>
        <w:lastRenderedPageBreak/>
        <w:t xml:space="preserve">Section </w:t>
      </w:r>
      <w:r w:rsidRPr="00452C1A">
        <w:rPr>
          <w:rFonts w:ascii="Times New Roman" w:hAnsi="Times New Roman"/>
          <w:b/>
          <w:sz w:val="28"/>
        </w:rPr>
        <w:t>3</w:t>
      </w:r>
      <w:r>
        <w:rPr>
          <w:rFonts w:ascii="Times New Roman" w:hAnsi="Times New Roman"/>
          <w:b/>
          <w:sz w:val="28"/>
        </w:rPr>
        <w:t>: Dépenses</w:t>
      </w:r>
    </w:p>
    <w:p w14:paraId="730DFD5B" w14:textId="77777777" w:rsidR="00832F98" w:rsidRPr="005107DF" w:rsidRDefault="00832F98" w:rsidP="00A92DE1">
      <w:pPr>
        <w:numPr>
          <w:ilvl w:val="12"/>
          <w:numId w:val="0"/>
        </w:numPr>
        <w:spacing w:after="0" w:line="240" w:lineRule="auto"/>
        <w:jc w:val="both"/>
        <w:rPr>
          <w:rFonts w:ascii="Times New Roman" w:eastAsia="Times New Roman" w:hAnsi="Times New Roman" w:cs="Times New Roman"/>
          <w:sz w:val="24"/>
          <w:szCs w:val="24"/>
        </w:rPr>
      </w:pPr>
    </w:p>
    <w:p w14:paraId="7ABD8E6F" w14:textId="77777777" w:rsidR="00832F98" w:rsidRPr="005107DF" w:rsidRDefault="00832F98" w:rsidP="00A92DE1">
      <w:pPr>
        <w:rPr>
          <w:rFonts w:ascii="Times New Roman" w:hAnsi="Times New Roman" w:cs="Times New Roman"/>
        </w:rPr>
      </w:pPr>
      <w:r>
        <w:rPr>
          <w:rFonts w:ascii="Times New Roman" w:hAnsi="Times New Roman"/>
          <w:color w:val="000000"/>
          <w:sz w:val="24"/>
        </w:rPr>
        <w:t>Présentez en détail les montants décaissés au titre du projet, ventilés par rubrique et sous-rubrique budgétaires, en indiquant en détail tous les coûts relatifs à l’ensemble des activités financées au titre de toutes les rubriques budgétaires - conformément à l’annexe A</w:t>
      </w:r>
      <w:r w:rsidRPr="00452C1A">
        <w:rPr>
          <w:rFonts w:ascii="Times New Roman" w:hAnsi="Times New Roman"/>
          <w:color w:val="000000"/>
          <w:sz w:val="24"/>
        </w:rPr>
        <w:t>3</w:t>
      </w:r>
      <w:r>
        <w:rPr>
          <w:rFonts w:ascii="Times New Roman" w:hAnsi="Times New Roman"/>
          <w:color w:val="000000"/>
          <w:sz w:val="24"/>
        </w:rPr>
        <w:t xml:space="preserve"> du contrat de subvention de jumelage.</w:t>
      </w:r>
    </w:p>
    <w:p w14:paraId="550E22A6" w14:textId="77777777" w:rsidR="00832F98" w:rsidRPr="005107DF" w:rsidRDefault="00832F98" w:rsidP="00A92DE1">
      <w:pPr>
        <w:tabs>
          <w:tab w:val="center" w:pos="4153"/>
          <w:tab w:val="right" w:pos="8306"/>
        </w:tabs>
        <w:spacing w:after="0" w:line="240" w:lineRule="auto"/>
        <w:jc w:val="both"/>
        <w:rPr>
          <w:rFonts w:ascii="Times New Roman" w:eastAsia="Times New Roman" w:hAnsi="Times New Roman" w:cs="Times New Roman"/>
          <w:sz w:val="24"/>
          <w:szCs w:val="24"/>
        </w:rPr>
      </w:pPr>
    </w:p>
    <w:p w14:paraId="1A540A8E" w14:textId="77777777" w:rsidR="00832F98" w:rsidRPr="005107DF" w:rsidRDefault="00832F98" w:rsidP="00A92DE1">
      <w:pPr>
        <w:spacing w:after="0" w:line="240" w:lineRule="auto"/>
        <w:rPr>
          <w:rFonts w:ascii="Times New Roman" w:eastAsia="Times New Roman" w:hAnsi="Times New Roman" w:cs="Times New Roman"/>
          <w:sz w:val="24"/>
          <w:szCs w:val="24"/>
        </w:rPr>
      </w:pPr>
    </w:p>
    <w:p w14:paraId="2525B1AB" w14:textId="77777777" w:rsidR="00832F98" w:rsidRPr="005107DF" w:rsidRDefault="00832F98"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Pr>
          <w:rFonts w:ascii="Times New Roman" w:hAnsi="Times New Roman"/>
          <w:b/>
          <w:sz w:val="24"/>
        </w:rPr>
        <w:t xml:space="preserve">N’oubliez pas de joindre à ce rapport un </w:t>
      </w:r>
    </w:p>
    <w:p w14:paraId="321DBCEC" w14:textId="77777777" w:rsidR="00832F98" w:rsidRPr="005107DF" w:rsidRDefault="00832F98"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Pr>
          <w:rFonts w:ascii="Times New Roman" w:hAnsi="Times New Roman"/>
          <w:b/>
          <w:sz w:val="24"/>
        </w:rPr>
        <w:t>RAPPORT DE VÉRIFICATION DES DÉPENSES</w:t>
      </w:r>
    </w:p>
    <w:p w14:paraId="39E56E5F" w14:textId="77777777" w:rsidR="00832F98" w:rsidRPr="005107DF" w:rsidRDefault="00832F98"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Pr>
          <w:rFonts w:ascii="Times New Roman" w:hAnsi="Times New Roman"/>
          <w:b/>
          <w:sz w:val="24"/>
        </w:rPr>
        <w:t>(conformément à l’annexe A</w:t>
      </w:r>
      <w:r w:rsidRPr="00452C1A">
        <w:rPr>
          <w:rFonts w:ascii="Times New Roman" w:hAnsi="Times New Roman"/>
          <w:b/>
          <w:sz w:val="24"/>
        </w:rPr>
        <w:t>6</w:t>
      </w:r>
      <w:r>
        <w:rPr>
          <w:rFonts w:ascii="Times New Roman" w:hAnsi="Times New Roman"/>
          <w:b/>
          <w:sz w:val="24"/>
        </w:rPr>
        <w:t xml:space="preserve"> du</w:t>
      </w:r>
      <w:r>
        <w:rPr>
          <w:rFonts w:ascii="Times New Roman" w:hAnsi="Times New Roman"/>
          <w:color w:val="000000"/>
          <w:sz w:val="24"/>
        </w:rPr>
        <w:t xml:space="preserve"> </w:t>
      </w:r>
      <w:r>
        <w:rPr>
          <w:rFonts w:ascii="Times New Roman" w:hAnsi="Times New Roman"/>
          <w:b/>
          <w:sz w:val="24"/>
        </w:rPr>
        <w:t>contrat de subvention de jumelage)</w:t>
      </w:r>
    </w:p>
    <w:p w14:paraId="31C7F4AD" w14:textId="77777777" w:rsidR="00832F98" w:rsidRPr="005107DF" w:rsidRDefault="00832F98" w:rsidP="00A92DE1">
      <w:pPr>
        <w:spacing w:after="0" w:line="240" w:lineRule="auto"/>
        <w:rPr>
          <w:rFonts w:ascii="Times New Roman" w:eastAsia="Times New Roman" w:hAnsi="Times New Roman" w:cs="Times New Roman"/>
          <w:b/>
          <w:sz w:val="24"/>
          <w:szCs w:val="24"/>
        </w:rPr>
      </w:pPr>
    </w:p>
    <w:p w14:paraId="5F02533C" w14:textId="77777777" w:rsidR="00832F98" w:rsidRPr="005107DF" w:rsidRDefault="00832F98" w:rsidP="00A92DE1">
      <w:pPr>
        <w:spacing w:after="0" w:line="240" w:lineRule="auto"/>
        <w:rPr>
          <w:rFonts w:ascii="Times New Roman" w:eastAsia="Times New Roman" w:hAnsi="Times New Roman" w:cs="Times New Roman"/>
          <w:b/>
          <w:sz w:val="24"/>
          <w:szCs w:val="24"/>
        </w:rPr>
      </w:pPr>
    </w:p>
    <w:p w14:paraId="773FFC16" w14:textId="77777777" w:rsidR="00832F98" w:rsidRPr="005107DF" w:rsidRDefault="00832F98" w:rsidP="00A92DE1">
      <w:pPr>
        <w:spacing w:after="0" w:line="240" w:lineRule="auto"/>
        <w:ind w:left="5529" w:right="-760" w:hanging="4809"/>
        <w:rPr>
          <w:rFonts w:ascii="Times New Roman" w:eastAsia="Times New Roman" w:hAnsi="Times New Roman" w:cs="Times New Roman"/>
          <w:color w:val="000000"/>
          <w:sz w:val="24"/>
          <w:szCs w:val="24"/>
        </w:rPr>
      </w:pPr>
      <w:r>
        <w:rPr>
          <w:rFonts w:ascii="Times New Roman" w:hAnsi="Times New Roman"/>
          <w:b/>
          <w:color w:val="000000"/>
          <w:sz w:val="24"/>
        </w:rPr>
        <w:t xml:space="preserve">Pour l’administration de l’État membre </w:t>
      </w:r>
      <w:r>
        <w:rPr>
          <w:rFonts w:ascii="Times New Roman" w:hAnsi="Times New Roman"/>
          <w:color w:val="000000"/>
          <w:sz w:val="24"/>
        </w:rPr>
        <w:t xml:space="preserve">                   </w:t>
      </w:r>
    </w:p>
    <w:p w14:paraId="6CB6C948" w14:textId="77777777" w:rsidR="00832F98" w:rsidRPr="005107DF" w:rsidRDefault="00832F98" w:rsidP="00A92DE1">
      <w:pPr>
        <w:spacing w:after="0" w:line="240" w:lineRule="auto"/>
        <w:ind w:left="6096" w:hanging="5376"/>
        <w:rPr>
          <w:rFonts w:ascii="Times New Roman" w:eastAsia="Times New Roman" w:hAnsi="Times New Roman" w:cs="Times New Roman"/>
          <w:i/>
          <w:color w:val="000000"/>
          <w:szCs w:val="24"/>
          <w:shd w:val="clear" w:color="auto" w:fill="FFFF00"/>
        </w:rPr>
      </w:pPr>
      <w:r>
        <w:rPr>
          <w:rFonts w:ascii="Times New Roman" w:hAnsi="Times New Roman"/>
          <w:i/>
          <w:color w:val="000000"/>
        </w:rPr>
        <w:t xml:space="preserve">[nom et titre de la (des) personne(s)                                          </w:t>
      </w:r>
    </w:p>
    <w:p w14:paraId="3B54C193" w14:textId="77777777" w:rsidR="00832F98" w:rsidRPr="005107DF" w:rsidRDefault="00832F98" w:rsidP="00A92DE1">
      <w:pPr>
        <w:spacing w:after="0" w:line="240" w:lineRule="auto"/>
        <w:ind w:firstLine="720"/>
        <w:rPr>
          <w:rFonts w:ascii="Times New Roman" w:eastAsia="Times New Roman" w:hAnsi="Times New Roman" w:cs="Times New Roman"/>
          <w:color w:val="000000"/>
          <w:sz w:val="24"/>
          <w:szCs w:val="24"/>
        </w:rPr>
      </w:pPr>
      <w:r>
        <w:rPr>
          <w:rFonts w:ascii="Times New Roman" w:hAnsi="Times New Roman"/>
          <w:i/>
          <w:color w:val="000000"/>
        </w:rPr>
        <w:t xml:space="preserve">habilitée(s) à signer]            </w:t>
      </w:r>
      <w:r>
        <w:tab/>
      </w:r>
      <w:r>
        <w:tab/>
      </w:r>
      <w:r>
        <w:tab/>
      </w:r>
      <w:r>
        <w:tab/>
      </w:r>
      <w:r>
        <w:rPr>
          <w:rFonts w:ascii="Times New Roman" w:hAnsi="Times New Roman"/>
          <w:i/>
          <w:color w:val="000000"/>
        </w:rPr>
        <w:t xml:space="preserve">      </w:t>
      </w:r>
    </w:p>
    <w:p w14:paraId="3D92E5F7" w14:textId="77777777" w:rsidR="00832F98" w:rsidRPr="005107DF" w:rsidRDefault="00832F98" w:rsidP="00A92DE1">
      <w:pPr>
        <w:spacing w:after="0" w:line="240" w:lineRule="auto"/>
        <w:ind w:left="6096" w:hanging="6096"/>
        <w:rPr>
          <w:rFonts w:ascii="Times New Roman" w:eastAsia="Times New Roman" w:hAnsi="Times New Roman" w:cs="Times New Roman"/>
          <w:color w:val="000000"/>
          <w:sz w:val="24"/>
          <w:szCs w:val="24"/>
        </w:rPr>
      </w:pPr>
      <w:r>
        <w:rPr>
          <w:rFonts w:ascii="Times New Roman" w:hAnsi="Times New Roman"/>
          <w:i/>
          <w:color w:val="000000"/>
        </w:rPr>
        <w:t> </w:t>
      </w:r>
    </w:p>
    <w:p w14:paraId="478D0C19" w14:textId="77777777" w:rsidR="00832F98" w:rsidRPr="005107DF" w:rsidRDefault="00832F98" w:rsidP="00A92DE1">
      <w:pPr>
        <w:spacing w:after="0" w:line="240" w:lineRule="auto"/>
        <w:ind w:left="5812" w:hanging="5092"/>
        <w:rPr>
          <w:rFonts w:ascii="Times New Roman" w:eastAsia="Times New Roman" w:hAnsi="Times New Roman" w:cs="Times New Roman"/>
          <w:color w:val="000000"/>
          <w:sz w:val="24"/>
          <w:szCs w:val="24"/>
        </w:rPr>
      </w:pPr>
      <w:r>
        <w:rPr>
          <w:rFonts w:ascii="Times New Roman" w:hAnsi="Times New Roman"/>
          <w:i/>
          <w:color w:val="000000"/>
        </w:rPr>
        <w:t>[signature]                                                                   </w:t>
      </w:r>
    </w:p>
    <w:p w14:paraId="0915ECFB" w14:textId="77777777" w:rsidR="00832F98" w:rsidRPr="005107DF" w:rsidRDefault="00832F98" w:rsidP="00A92DE1">
      <w:pPr>
        <w:spacing w:after="0" w:line="240" w:lineRule="auto"/>
        <w:ind w:left="5812" w:hanging="5812"/>
        <w:rPr>
          <w:rFonts w:ascii="Times New Roman" w:eastAsia="Times New Roman" w:hAnsi="Times New Roman" w:cs="Times New Roman"/>
          <w:color w:val="000000"/>
          <w:sz w:val="24"/>
          <w:szCs w:val="24"/>
        </w:rPr>
      </w:pPr>
      <w:r>
        <w:rPr>
          <w:rFonts w:ascii="Times New Roman" w:hAnsi="Times New Roman"/>
          <w:i/>
          <w:color w:val="000000"/>
        </w:rPr>
        <w:t> </w:t>
      </w:r>
    </w:p>
    <w:p w14:paraId="2931211E" w14:textId="77777777" w:rsidR="00832F98" w:rsidRPr="005107DF" w:rsidRDefault="00832F98" w:rsidP="00A92DE1">
      <w:pPr>
        <w:spacing w:after="0" w:line="240" w:lineRule="auto"/>
        <w:ind w:left="5529" w:right="-760" w:hanging="4809"/>
        <w:rPr>
          <w:rFonts w:ascii="Times New Roman" w:eastAsia="Times New Roman" w:hAnsi="Times New Roman" w:cs="Times New Roman"/>
          <w:b/>
          <w:color w:val="000000"/>
          <w:sz w:val="24"/>
          <w:szCs w:val="24"/>
        </w:rPr>
      </w:pPr>
      <w:r>
        <w:rPr>
          <w:rFonts w:ascii="Times New Roman" w:hAnsi="Times New Roman"/>
          <w:i/>
          <w:color w:val="000000"/>
        </w:rPr>
        <w:t>[date]                                                                            </w:t>
      </w:r>
    </w:p>
    <w:p w14:paraId="5CD03DC2" w14:textId="77777777" w:rsidR="00832F98" w:rsidRPr="005107DF" w:rsidRDefault="00832F98" w:rsidP="00A92DE1">
      <w:pPr>
        <w:spacing w:after="0" w:line="240" w:lineRule="auto"/>
        <w:ind w:left="5529" w:right="-760" w:hanging="5529"/>
        <w:rPr>
          <w:rFonts w:ascii="Times New Roman" w:eastAsia="Times New Roman" w:hAnsi="Times New Roman" w:cs="Times New Roman"/>
          <w:b/>
          <w:color w:val="000000"/>
          <w:sz w:val="24"/>
          <w:szCs w:val="24"/>
        </w:rPr>
      </w:pPr>
    </w:p>
    <w:p w14:paraId="3BDE2EB8" w14:textId="77777777" w:rsidR="00832F98" w:rsidRPr="005107DF" w:rsidRDefault="00832F98" w:rsidP="00A92DE1">
      <w:pPr>
        <w:spacing w:after="0" w:line="240" w:lineRule="auto"/>
        <w:ind w:left="5529" w:right="-760" w:hanging="5529"/>
        <w:rPr>
          <w:rFonts w:ascii="Times New Roman" w:eastAsia="Times New Roman" w:hAnsi="Times New Roman" w:cs="Times New Roman"/>
          <w:b/>
          <w:color w:val="000000"/>
          <w:sz w:val="24"/>
          <w:szCs w:val="24"/>
        </w:rPr>
      </w:pPr>
    </w:p>
    <w:p w14:paraId="55B30A41" w14:textId="77777777" w:rsidR="00832F98" w:rsidRPr="005107DF" w:rsidRDefault="00832F98" w:rsidP="00A92DE1">
      <w:pPr>
        <w:spacing w:after="0" w:line="240" w:lineRule="auto"/>
        <w:ind w:left="5529" w:right="-760" w:hanging="4809"/>
        <w:rPr>
          <w:rFonts w:ascii="Times New Roman" w:eastAsia="Times New Roman" w:hAnsi="Times New Roman" w:cs="Times New Roman"/>
          <w:b/>
          <w:color w:val="000000"/>
          <w:sz w:val="24"/>
          <w:szCs w:val="24"/>
        </w:rPr>
      </w:pPr>
      <w:r>
        <w:rPr>
          <w:rFonts w:ascii="Times New Roman" w:hAnsi="Times New Roman"/>
          <w:b/>
          <w:color w:val="000000"/>
          <w:sz w:val="24"/>
        </w:rPr>
        <w:t>Pour l’administration du bénéficiaire</w:t>
      </w:r>
    </w:p>
    <w:p w14:paraId="509D4F68" w14:textId="77777777" w:rsidR="00832F98" w:rsidRPr="005107DF" w:rsidRDefault="00832F98" w:rsidP="00A92DE1">
      <w:pPr>
        <w:spacing w:after="0" w:line="240" w:lineRule="auto"/>
        <w:ind w:left="6096" w:hanging="5376"/>
        <w:rPr>
          <w:rFonts w:ascii="Times New Roman" w:eastAsia="Times New Roman" w:hAnsi="Times New Roman" w:cs="Times New Roman"/>
          <w:i/>
          <w:color w:val="000000"/>
          <w:szCs w:val="24"/>
          <w:shd w:val="clear" w:color="auto" w:fill="FFFF00"/>
        </w:rPr>
      </w:pPr>
      <w:r>
        <w:rPr>
          <w:rFonts w:ascii="Times New Roman" w:hAnsi="Times New Roman"/>
          <w:i/>
          <w:color w:val="000000"/>
        </w:rPr>
        <w:t>[nom et titre de la (des) personne(s)</w:t>
      </w:r>
    </w:p>
    <w:p w14:paraId="3DFC22EC" w14:textId="77777777" w:rsidR="00832F98" w:rsidRPr="005107DF" w:rsidRDefault="00832F98" w:rsidP="00A92DE1">
      <w:pPr>
        <w:spacing w:after="0" w:line="240" w:lineRule="auto"/>
        <w:ind w:firstLine="720"/>
        <w:rPr>
          <w:rFonts w:ascii="Times New Roman" w:eastAsia="Times New Roman" w:hAnsi="Times New Roman" w:cs="Times New Roman"/>
          <w:color w:val="000000"/>
          <w:sz w:val="24"/>
          <w:szCs w:val="24"/>
        </w:rPr>
      </w:pPr>
      <w:r>
        <w:rPr>
          <w:rFonts w:ascii="Times New Roman" w:hAnsi="Times New Roman"/>
          <w:i/>
          <w:color w:val="000000"/>
        </w:rPr>
        <w:t xml:space="preserve">habilitée(s) à signer]            </w:t>
      </w:r>
      <w:r>
        <w:tab/>
      </w:r>
      <w:r>
        <w:tab/>
      </w:r>
      <w:r>
        <w:tab/>
      </w:r>
      <w:r>
        <w:tab/>
      </w:r>
    </w:p>
    <w:p w14:paraId="0CD47EEB" w14:textId="77777777" w:rsidR="00832F98" w:rsidRPr="005107DF" w:rsidRDefault="00832F98" w:rsidP="00A92DE1">
      <w:pPr>
        <w:spacing w:after="0" w:line="240" w:lineRule="auto"/>
        <w:ind w:left="6096" w:hanging="6096"/>
        <w:rPr>
          <w:rFonts w:ascii="Times New Roman" w:eastAsia="Times New Roman" w:hAnsi="Times New Roman" w:cs="Times New Roman"/>
          <w:color w:val="000000"/>
          <w:sz w:val="24"/>
          <w:szCs w:val="24"/>
        </w:rPr>
      </w:pPr>
      <w:r>
        <w:rPr>
          <w:rFonts w:ascii="Times New Roman" w:hAnsi="Times New Roman"/>
          <w:i/>
          <w:color w:val="000000"/>
        </w:rPr>
        <w:t> </w:t>
      </w:r>
    </w:p>
    <w:p w14:paraId="4F15C647" w14:textId="77777777" w:rsidR="00832F98" w:rsidRPr="005107DF" w:rsidRDefault="00832F98" w:rsidP="00A92DE1">
      <w:pPr>
        <w:spacing w:after="0" w:line="240" w:lineRule="auto"/>
        <w:ind w:left="5812" w:hanging="5092"/>
        <w:rPr>
          <w:rFonts w:ascii="Times New Roman" w:eastAsia="Times New Roman" w:hAnsi="Times New Roman" w:cs="Times New Roman"/>
          <w:color w:val="000000"/>
          <w:sz w:val="24"/>
          <w:szCs w:val="24"/>
        </w:rPr>
      </w:pPr>
      <w:r>
        <w:rPr>
          <w:rFonts w:ascii="Times New Roman" w:hAnsi="Times New Roman"/>
          <w:i/>
          <w:color w:val="000000"/>
        </w:rPr>
        <w:t>[signature]                                                                   </w:t>
      </w:r>
    </w:p>
    <w:p w14:paraId="11646185" w14:textId="77777777" w:rsidR="00832F98" w:rsidRPr="005107DF" w:rsidRDefault="00832F98" w:rsidP="00A92DE1">
      <w:pPr>
        <w:spacing w:after="0" w:line="240" w:lineRule="auto"/>
        <w:ind w:left="5812" w:hanging="5812"/>
        <w:rPr>
          <w:rFonts w:ascii="Times New Roman" w:eastAsia="Times New Roman" w:hAnsi="Times New Roman" w:cs="Times New Roman"/>
          <w:color w:val="000000"/>
          <w:sz w:val="24"/>
          <w:szCs w:val="24"/>
        </w:rPr>
      </w:pPr>
      <w:r>
        <w:rPr>
          <w:rFonts w:ascii="Times New Roman" w:hAnsi="Times New Roman"/>
          <w:i/>
          <w:color w:val="000000"/>
        </w:rPr>
        <w:t> </w:t>
      </w:r>
    </w:p>
    <w:p w14:paraId="52FDE8FB" w14:textId="77777777" w:rsidR="00832F98" w:rsidRPr="005107DF" w:rsidRDefault="00832F98" w:rsidP="00A92DE1">
      <w:pPr>
        <w:spacing w:after="0" w:line="240" w:lineRule="auto"/>
        <w:ind w:left="5812" w:hanging="5092"/>
        <w:rPr>
          <w:rFonts w:ascii="Times New Roman" w:eastAsia="Times New Roman" w:hAnsi="Times New Roman" w:cs="Times New Roman"/>
          <w:i/>
          <w:color w:val="000000"/>
          <w:szCs w:val="24"/>
        </w:rPr>
      </w:pPr>
      <w:r>
        <w:rPr>
          <w:rFonts w:ascii="Times New Roman" w:hAnsi="Times New Roman"/>
          <w:i/>
          <w:color w:val="000000"/>
        </w:rPr>
        <w:t>[date]                   </w:t>
      </w:r>
    </w:p>
    <w:p w14:paraId="71DFD1D4" w14:textId="77777777" w:rsidR="00832F98" w:rsidRPr="005107DF" w:rsidRDefault="00832F98" w:rsidP="00A92DE1">
      <w:pPr>
        <w:rPr>
          <w:rFonts w:ascii="Times New Roman" w:hAnsi="Times New Roman" w:cs="Times New Roman"/>
        </w:rPr>
      </w:pPr>
    </w:p>
    <w:p w14:paraId="32819A64" w14:textId="77777777" w:rsidR="00832F98" w:rsidRPr="005107DF" w:rsidRDefault="00832F98">
      <w:pPr>
        <w:rPr>
          <w:rFonts w:ascii="Times New Roman" w:eastAsia="Times New Roman" w:hAnsi="Times New Roman" w:cs="Times New Roman"/>
          <w:szCs w:val="20"/>
        </w:rPr>
      </w:pPr>
      <w:r>
        <w:br w:type="page"/>
      </w:r>
    </w:p>
    <w:p w14:paraId="310CC938"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tabs>
          <w:tab w:val="left" w:pos="9498"/>
        </w:tabs>
        <w:spacing w:after="360"/>
        <w:ind w:left="1077" w:hanging="1077"/>
        <w:rPr>
          <w:sz w:val="32"/>
          <w:szCs w:val="32"/>
        </w:rPr>
      </w:pPr>
      <w:bookmarkStart w:id="1475" w:name="_Toc517434482"/>
      <w:bookmarkStart w:id="1476" w:name="_Toc2861049"/>
      <w:r>
        <w:rPr>
          <w:sz w:val="32"/>
        </w:rPr>
        <w:lastRenderedPageBreak/>
        <w:t>ANNEXE C</w:t>
      </w:r>
      <w:r w:rsidRPr="00452C1A">
        <w:rPr>
          <w:sz w:val="32"/>
        </w:rPr>
        <w:t>6</w:t>
      </w:r>
      <w:r>
        <w:rPr>
          <w:sz w:val="32"/>
        </w:rPr>
        <w:t>: Grille de conformité administrative et d’éligibilité pour jumelage standard</w:t>
      </w:r>
      <w:bookmarkEnd w:id="1475"/>
      <w:bookmarkEnd w:id="1476"/>
    </w:p>
    <w:p w14:paraId="5290297B" w14:textId="77777777" w:rsidR="00832F98" w:rsidRPr="005107DF" w:rsidRDefault="00832F98" w:rsidP="007338F0">
      <w:pPr>
        <w:tabs>
          <w:tab w:val="left" w:pos="4820"/>
        </w:tabs>
        <w:spacing w:after="0" w:line="240" w:lineRule="exact"/>
        <w:ind w:left="-142"/>
        <w:jc w:val="both"/>
        <w:rPr>
          <w:rFonts w:ascii="Times New Roman" w:eastAsia="Times New Roman" w:hAnsi="Times New Roman" w:cs="Times New Roman"/>
          <w:b/>
          <w:color w:val="000000"/>
          <w:szCs w:val="24"/>
        </w:rPr>
      </w:pPr>
      <w:r>
        <w:rPr>
          <w:rFonts w:ascii="Times New Roman" w:hAnsi="Times New Roman"/>
          <w:b/>
          <w:color w:val="000000"/>
        </w:rPr>
        <w:t xml:space="preserve">Compte tenu de la nature des projets de jumelage, l’administration contractante devrait en principe demander des précisions à l’État membre en cas de doute concernant les documents fournis. </w:t>
      </w:r>
    </w:p>
    <w:p w14:paraId="7F94401A" w14:textId="77777777" w:rsidR="00832F98" w:rsidRPr="005107DF" w:rsidRDefault="00832F98" w:rsidP="00BE42CA">
      <w:pPr>
        <w:tabs>
          <w:tab w:val="left" w:pos="4820"/>
        </w:tabs>
        <w:spacing w:after="0" w:line="240" w:lineRule="exact"/>
        <w:ind w:left="-142"/>
        <w:rPr>
          <w:rFonts w:ascii="Times New Roman" w:eastAsia="Times New Roman" w:hAnsi="Times New Roman" w:cs="Times New Roman"/>
          <w:b/>
          <w:color w:val="000000"/>
          <w:sz w:val="16"/>
          <w:szCs w:val="16"/>
        </w:rPr>
      </w:pPr>
    </w:p>
    <w:p w14:paraId="756C1F47" w14:textId="77777777" w:rsidR="00832F98" w:rsidRPr="005107DF" w:rsidRDefault="00832F98" w:rsidP="00BE42CA">
      <w:pPr>
        <w:tabs>
          <w:tab w:val="left" w:pos="4820"/>
        </w:tabs>
        <w:spacing w:after="0" w:line="240" w:lineRule="exact"/>
        <w:ind w:left="-142"/>
        <w:rPr>
          <w:rFonts w:ascii="Times New Roman" w:eastAsia="Times New Roman" w:hAnsi="Times New Roman" w:cs="Times New Roman"/>
          <w:b/>
          <w:color w:val="000000"/>
          <w:szCs w:val="24"/>
        </w:rPr>
      </w:pPr>
      <w:r>
        <w:rPr>
          <w:rFonts w:ascii="Times New Roman" w:hAnsi="Times New Roman"/>
          <w:b/>
          <w:color w:val="000000"/>
        </w:rPr>
        <w:t>Grille remplie par _____________________________________ Date ____</w:t>
      </w:r>
    </w:p>
    <w:p w14:paraId="4FF8CE1E" w14:textId="77777777" w:rsidR="00832F98" w:rsidRPr="005107DF" w:rsidRDefault="00832F98" w:rsidP="00BE42CA">
      <w:pPr>
        <w:tabs>
          <w:tab w:val="left" w:pos="-284"/>
        </w:tabs>
        <w:spacing w:after="0" w:line="240" w:lineRule="exact"/>
        <w:ind w:left="-142"/>
        <w:rPr>
          <w:rFonts w:ascii="Times New Roman" w:eastAsia="Times New Roman" w:hAnsi="Times New Roman" w:cs="Times New Roman"/>
          <w:b/>
          <w:caps/>
          <w:color w:val="000000"/>
          <w:sz w:val="16"/>
          <w:szCs w:val="16"/>
          <w:u w:val="single"/>
        </w:rPr>
      </w:pPr>
    </w:p>
    <w:p w14:paraId="17084153" w14:textId="77777777" w:rsidR="00832F98" w:rsidRPr="005107DF" w:rsidRDefault="00832F98" w:rsidP="00BE42CA">
      <w:pPr>
        <w:tabs>
          <w:tab w:val="left" w:pos="-284"/>
        </w:tabs>
        <w:spacing w:after="0" w:line="240" w:lineRule="exact"/>
        <w:ind w:left="-142"/>
        <w:rPr>
          <w:rFonts w:ascii="Times New Roman" w:eastAsia="Times New Roman" w:hAnsi="Times New Roman" w:cs="Times New Roman"/>
          <w:b/>
          <w:color w:val="000000"/>
          <w:sz w:val="24"/>
          <w:szCs w:val="24"/>
        </w:rPr>
      </w:pPr>
      <w:r>
        <w:rPr>
          <w:rFonts w:ascii="Times New Roman" w:hAnsi="Times New Roman"/>
          <w:b/>
          <w:caps/>
          <w:color w:val="000000"/>
          <w:sz w:val="24"/>
        </w:rPr>
        <w:t>CRITÈRES FORMELS (</w:t>
      </w:r>
      <w:r>
        <w:rPr>
          <w:rFonts w:ascii="Times New Roman" w:hAnsi="Times New Roman"/>
          <w:b/>
          <w:i/>
          <w:color w:val="000000"/>
          <w:sz w:val="24"/>
        </w:rPr>
        <w:t>à vérifier avant les réunions de sélection)</w:t>
      </w:r>
    </w:p>
    <w:p w14:paraId="32BEBA43" w14:textId="77777777" w:rsidR="00832F98" w:rsidRPr="005107DF" w:rsidRDefault="00832F98" w:rsidP="00BE42CA">
      <w:pPr>
        <w:tabs>
          <w:tab w:val="left" w:pos="-284"/>
        </w:tabs>
        <w:spacing w:after="0" w:line="240" w:lineRule="exact"/>
        <w:ind w:left="-142"/>
        <w:rPr>
          <w:rFonts w:ascii="Times New Roman" w:eastAsia="Times New Roman" w:hAnsi="Times New Roman" w:cs="Times New Roman"/>
          <w:color w:val="000000"/>
          <w:sz w:val="16"/>
          <w:szCs w:val="16"/>
        </w:rPr>
      </w:pPr>
    </w:p>
    <w:p w14:paraId="59FC5D27" w14:textId="77777777" w:rsidR="00832F98" w:rsidRPr="005107DF" w:rsidRDefault="00832F98" w:rsidP="005106CB">
      <w:pPr>
        <w:tabs>
          <w:tab w:val="left" w:pos="-284"/>
        </w:tabs>
        <w:spacing w:after="0" w:line="240" w:lineRule="exact"/>
        <w:rPr>
          <w:rFonts w:ascii="Times New Roman" w:eastAsia="Times New Roman" w:hAnsi="Times New Roman" w:cs="Times New Roman"/>
          <w:color w:val="000000"/>
          <w:sz w:val="16"/>
          <w:szCs w:val="16"/>
        </w:rPr>
      </w:pPr>
      <w:r>
        <w:rPr>
          <w:rFonts w:ascii="Times New Roman" w:hAnsi="Times New Roman"/>
          <w:b/>
          <w:caps/>
          <w:color w:val="000000"/>
        </w:rPr>
        <w:t xml:space="preserve">I. </w:t>
      </w:r>
      <w:r>
        <w:tab/>
      </w:r>
      <w:r>
        <w:rPr>
          <w:rFonts w:ascii="Times New Roman" w:hAnsi="Times New Roman"/>
          <w:b/>
          <w:caps/>
          <w:color w:val="000000"/>
        </w:rPr>
        <w:t>Données d’identification</w:t>
      </w:r>
    </w:p>
    <w:tbl>
      <w:tblPr>
        <w:tblW w:w="92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43"/>
        <w:gridCol w:w="6171"/>
      </w:tblGrid>
      <w:tr w:rsidR="00832F98" w:rsidRPr="005107DF" w14:paraId="16C8D6C7" w14:textId="77777777" w:rsidTr="007338F0">
        <w:trPr>
          <w:trHeight w:val="379"/>
        </w:trPr>
        <w:tc>
          <w:tcPr>
            <w:tcW w:w="3043" w:type="dxa"/>
          </w:tcPr>
          <w:p w14:paraId="418E7F94" w14:textId="77777777" w:rsidR="00832F98" w:rsidRPr="005107DF" w:rsidRDefault="00832F98" w:rsidP="005106CB">
            <w:pPr>
              <w:tabs>
                <w:tab w:val="left" w:pos="4820"/>
              </w:tabs>
              <w:spacing w:before="80" w:after="80" w:line="240" w:lineRule="exact"/>
              <w:ind w:left="38"/>
              <w:rPr>
                <w:rFonts w:ascii="Times New Roman" w:eastAsia="Times New Roman" w:hAnsi="Times New Roman" w:cs="Times New Roman"/>
                <w:color w:val="000000"/>
                <w:szCs w:val="24"/>
              </w:rPr>
            </w:pPr>
            <w:r>
              <w:rPr>
                <w:rFonts w:ascii="Times New Roman" w:hAnsi="Times New Roman"/>
                <w:color w:val="000000"/>
              </w:rPr>
              <w:t xml:space="preserve">Numéro de publication </w:t>
            </w:r>
          </w:p>
        </w:tc>
        <w:tc>
          <w:tcPr>
            <w:tcW w:w="6171" w:type="dxa"/>
          </w:tcPr>
          <w:p w14:paraId="12C12583"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r w:rsidR="00832F98" w:rsidRPr="005107DF" w14:paraId="0E533F27" w14:textId="77777777" w:rsidTr="007338F0">
        <w:trPr>
          <w:trHeight w:val="379"/>
        </w:trPr>
        <w:tc>
          <w:tcPr>
            <w:tcW w:w="3043" w:type="dxa"/>
          </w:tcPr>
          <w:p w14:paraId="31E44F02" w14:textId="77777777" w:rsidR="00832F98" w:rsidRPr="005107DF" w:rsidRDefault="00832F98" w:rsidP="005106CB">
            <w:pPr>
              <w:tabs>
                <w:tab w:val="left" w:pos="4820"/>
              </w:tabs>
              <w:spacing w:before="80" w:after="80" w:line="240" w:lineRule="exact"/>
              <w:ind w:left="38"/>
              <w:rPr>
                <w:rFonts w:ascii="Times New Roman" w:eastAsia="Times New Roman" w:hAnsi="Times New Roman" w:cs="Times New Roman"/>
                <w:color w:val="000000"/>
                <w:szCs w:val="24"/>
              </w:rPr>
            </w:pPr>
            <w:r>
              <w:rPr>
                <w:rFonts w:ascii="Times New Roman" w:hAnsi="Times New Roman"/>
                <w:color w:val="000000"/>
              </w:rPr>
              <w:t>Intitulé et numéro de la fiche de jumelage</w:t>
            </w:r>
          </w:p>
        </w:tc>
        <w:tc>
          <w:tcPr>
            <w:tcW w:w="6171" w:type="dxa"/>
          </w:tcPr>
          <w:p w14:paraId="1EB7DAD7"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r w:rsidR="00832F98" w:rsidRPr="005107DF" w14:paraId="3044925A" w14:textId="77777777" w:rsidTr="007338F0">
        <w:trPr>
          <w:trHeight w:val="397"/>
        </w:trPr>
        <w:tc>
          <w:tcPr>
            <w:tcW w:w="3043" w:type="dxa"/>
          </w:tcPr>
          <w:p w14:paraId="2AAA74DD" w14:textId="77777777" w:rsidR="00832F98" w:rsidRPr="005107DF" w:rsidRDefault="00832F98" w:rsidP="005106CB">
            <w:pPr>
              <w:tabs>
                <w:tab w:val="left" w:pos="4820"/>
              </w:tabs>
              <w:spacing w:before="80" w:after="80" w:line="240" w:lineRule="exact"/>
              <w:ind w:left="38"/>
              <w:rPr>
                <w:rFonts w:ascii="Times New Roman" w:eastAsia="Times New Roman" w:hAnsi="Times New Roman" w:cs="Times New Roman"/>
                <w:color w:val="000000"/>
                <w:szCs w:val="24"/>
              </w:rPr>
            </w:pPr>
            <w:r>
              <w:rPr>
                <w:rFonts w:ascii="Times New Roman" w:hAnsi="Times New Roman"/>
                <w:color w:val="000000"/>
              </w:rPr>
              <w:t>Intitulé et numéro de la décision de financement</w:t>
            </w:r>
          </w:p>
        </w:tc>
        <w:tc>
          <w:tcPr>
            <w:tcW w:w="6171" w:type="dxa"/>
          </w:tcPr>
          <w:p w14:paraId="685216E1"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r w:rsidR="00832F98" w:rsidRPr="005107DF" w14:paraId="18B340FF" w14:textId="77777777" w:rsidTr="007338F0">
        <w:trPr>
          <w:trHeight w:val="379"/>
        </w:trPr>
        <w:tc>
          <w:tcPr>
            <w:tcW w:w="3043" w:type="dxa"/>
          </w:tcPr>
          <w:p w14:paraId="51AF4DA7" w14:textId="77777777" w:rsidR="00832F98" w:rsidRPr="005107DF" w:rsidRDefault="00832F98" w:rsidP="005106CB">
            <w:pPr>
              <w:tabs>
                <w:tab w:val="left" w:pos="4820"/>
              </w:tabs>
              <w:spacing w:before="80" w:after="80" w:line="240" w:lineRule="exact"/>
              <w:ind w:left="38"/>
              <w:rPr>
                <w:rFonts w:ascii="Times New Roman" w:eastAsia="Times New Roman" w:hAnsi="Times New Roman" w:cs="Times New Roman"/>
                <w:color w:val="000000"/>
                <w:szCs w:val="24"/>
              </w:rPr>
            </w:pPr>
            <w:r>
              <w:rPr>
                <w:rFonts w:ascii="Times New Roman" w:hAnsi="Times New Roman"/>
                <w:color w:val="000000"/>
              </w:rPr>
              <w:t>Demandeur (État membre principal)</w:t>
            </w:r>
          </w:p>
        </w:tc>
        <w:tc>
          <w:tcPr>
            <w:tcW w:w="6171" w:type="dxa"/>
          </w:tcPr>
          <w:p w14:paraId="4D42DA08"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r w:rsidR="00832F98" w:rsidRPr="005107DF" w14:paraId="69111369" w14:textId="77777777" w:rsidTr="007338F0">
        <w:trPr>
          <w:trHeight w:val="397"/>
        </w:trPr>
        <w:tc>
          <w:tcPr>
            <w:tcW w:w="3043" w:type="dxa"/>
          </w:tcPr>
          <w:p w14:paraId="2FD1332E" w14:textId="77777777" w:rsidR="00832F98" w:rsidRPr="005107DF" w:rsidRDefault="00832F98" w:rsidP="005106CB">
            <w:pPr>
              <w:tabs>
                <w:tab w:val="left" w:pos="4820"/>
              </w:tabs>
              <w:spacing w:before="80" w:after="80" w:line="240" w:lineRule="exact"/>
              <w:ind w:left="38"/>
              <w:rPr>
                <w:rFonts w:ascii="Times New Roman" w:eastAsia="Times New Roman" w:hAnsi="Times New Roman" w:cs="Times New Roman"/>
                <w:color w:val="000000"/>
                <w:szCs w:val="24"/>
              </w:rPr>
            </w:pPr>
            <w:r>
              <w:rPr>
                <w:rFonts w:ascii="Times New Roman" w:hAnsi="Times New Roman"/>
                <w:color w:val="000000"/>
              </w:rPr>
              <w:t>Demandeur </w:t>
            </w:r>
            <w:r w:rsidRPr="00452C1A">
              <w:rPr>
                <w:rFonts w:ascii="Times New Roman" w:hAnsi="Times New Roman"/>
                <w:color w:val="000000"/>
              </w:rPr>
              <w:t>2</w:t>
            </w:r>
            <w:r>
              <w:rPr>
                <w:rFonts w:ascii="Times New Roman" w:hAnsi="Times New Roman"/>
                <w:color w:val="000000"/>
              </w:rPr>
              <w:t xml:space="preserve"> (État membre junior, le cas échéant)</w:t>
            </w:r>
          </w:p>
        </w:tc>
        <w:tc>
          <w:tcPr>
            <w:tcW w:w="6171" w:type="dxa"/>
          </w:tcPr>
          <w:p w14:paraId="07A53C90"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r w:rsidR="00832F98" w:rsidRPr="005107DF" w14:paraId="71F8DD87" w14:textId="77777777" w:rsidTr="007338F0">
        <w:trPr>
          <w:trHeight w:val="397"/>
        </w:trPr>
        <w:tc>
          <w:tcPr>
            <w:tcW w:w="3043" w:type="dxa"/>
          </w:tcPr>
          <w:p w14:paraId="4F229EB3" w14:textId="77777777" w:rsidR="00832F98" w:rsidRPr="005107DF" w:rsidRDefault="00832F98" w:rsidP="005106CB">
            <w:pPr>
              <w:tabs>
                <w:tab w:val="left" w:pos="4820"/>
              </w:tabs>
              <w:spacing w:before="80" w:after="80" w:line="240" w:lineRule="exact"/>
              <w:ind w:left="38"/>
              <w:rPr>
                <w:rFonts w:ascii="Times New Roman" w:eastAsia="Times New Roman" w:hAnsi="Times New Roman" w:cs="Times New Roman"/>
                <w:color w:val="000000"/>
                <w:szCs w:val="24"/>
              </w:rPr>
            </w:pPr>
            <w:r>
              <w:rPr>
                <w:rFonts w:ascii="Times New Roman" w:hAnsi="Times New Roman"/>
                <w:color w:val="000000"/>
              </w:rPr>
              <w:t>Demandeur </w:t>
            </w:r>
            <w:r w:rsidRPr="00452C1A">
              <w:rPr>
                <w:rFonts w:ascii="Times New Roman" w:hAnsi="Times New Roman"/>
                <w:color w:val="000000"/>
              </w:rPr>
              <w:t>3</w:t>
            </w:r>
            <w:r>
              <w:rPr>
                <w:rFonts w:ascii="Times New Roman" w:hAnsi="Times New Roman"/>
                <w:color w:val="000000"/>
              </w:rPr>
              <w:t xml:space="preserve"> (État membre junior, le cas échéant)</w:t>
            </w:r>
          </w:p>
        </w:tc>
        <w:tc>
          <w:tcPr>
            <w:tcW w:w="6171" w:type="dxa"/>
          </w:tcPr>
          <w:p w14:paraId="7E2F2705"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r w:rsidR="00832F98" w:rsidRPr="005107DF" w14:paraId="1565A00A" w14:textId="77777777" w:rsidTr="007338F0">
        <w:trPr>
          <w:trHeight w:val="397"/>
        </w:trPr>
        <w:tc>
          <w:tcPr>
            <w:tcW w:w="3043" w:type="dxa"/>
          </w:tcPr>
          <w:p w14:paraId="735787D7" w14:textId="77777777" w:rsidR="00832F98" w:rsidRPr="005107DF" w:rsidRDefault="00832F98" w:rsidP="005106CB">
            <w:pPr>
              <w:tabs>
                <w:tab w:val="left" w:pos="4820"/>
              </w:tabs>
              <w:spacing w:before="80" w:after="80" w:line="240" w:lineRule="exact"/>
              <w:ind w:left="38"/>
              <w:rPr>
                <w:rFonts w:ascii="Times New Roman" w:eastAsia="Times New Roman" w:hAnsi="Times New Roman" w:cs="Times New Roman"/>
                <w:color w:val="000000"/>
                <w:szCs w:val="24"/>
              </w:rPr>
            </w:pPr>
            <w:r>
              <w:rPr>
                <w:rFonts w:ascii="Times New Roman" w:hAnsi="Times New Roman"/>
                <w:color w:val="000000"/>
              </w:rPr>
              <w:t>Administration bénéficiaire</w:t>
            </w:r>
          </w:p>
        </w:tc>
        <w:tc>
          <w:tcPr>
            <w:tcW w:w="6171" w:type="dxa"/>
          </w:tcPr>
          <w:p w14:paraId="0003306E"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bl>
    <w:p w14:paraId="76B95C53" w14:textId="77777777" w:rsidR="00832F98" w:rsidRPr="005107DF" w:rsidRDefault="00832F98" w:rsidP="00BE42CA">
      <w:pPr>
        <w:tabs>
          <w:tab w:val="left" w:pos="4820"/>
        </w:tabs>
        <w:spacing w:after="0" w:line="240" w:lineRule="exact"/>
        <w:ind w:left="-142"/>
        <w:rPr>
          <w:rFonts w:ascii="Times New Roman" w:eastAsia="Times New Roman" w:hAnsi="Times New Roman" w:cs="Times New Roman"/>
          <w:color w:val="000000"/>
          <w:sz w:val="16"/>
          <w:szCs w:val="16"/>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5"/>
        <w:gridCol w:w="851"/>
        <w:gridCol w:w="708"/>
      </w:tblGrid>
      <w:tr w:rsidR="00832F98" w:rsidRPr="005107DF" w14:paraId="367BE973" w14:textId="77777777" w:rsidTr="007338F0">
        <w:trPr>
          <w:trHeight w:val="420"/>
        </w:trPr>
        <w:tc>
          <w:tcPr>
            <w:tcW w:w="7655" w:type="dxa"/>
          </w:tcPr>
          <w:p w14:paraId="4017C8C3" w14:textId="77777777" w:rsidR="00832F98" w:rsidRPr="005107DF" w:rsidRDefault="00832F98" w:rsidP="005106CB">
            <w:pPr>
              <w:spacing w:before="80" w:after="80" w:line="240" w:lineRule="exact"/>
              <w:ind w:left="38"/>
              <w:rPr>
                <w:rFonts w:ascii="Times New Roman" w:eastAsia="Times New Roman" w:hAnsi="Times New Roman" w:cs="Times New Roman"/>
                <w:b/>
                <w:caps/>
                <w:color w:val="000000"/>
                <w:szCs w:val="24"/>
              </w:rPr>
            </w:pPr>
            <w:r>
              <w:rPr>
                <w:rFonts w:ascii="Times New Roman" w:hAnsi="Times New Roman"/>
                <w:b/>
                <w:caps/>
                <w:color w:val="000000"/>
              </w:rPr>
              <w:t>II.          Conformité avec les critères administratifs</w:t>
            </w:r>
          </w:p>
        </w:tc>
        <w:tc>
          <w:tcPr>
            <w:tcW w:w="851" w:type="dxa"/>
          </w:tcPr>
          <w:p w14:paraId="6B7DB296"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r>
              <w:rPr>
                <w:rFonts w:ascii="Times New Roman" w:hAnsi="Times New Roman"/>
                <w:b/>
                <w:color w:val="000000"/>
              </w:rPr>
              <w:t>Oui</w:t>
            </w:r>
          </w:p>
        </w:tc>
        <w:tc>
          <w:tcPr>
            <w:tcW w:w="708" w:type="dxa"/>
          </w:tcPr>
          <w:p w14:paraId="503904D9"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r>
              <w:rPr>
                <w:rFonts w:ascii="Times New Roman" w:hAnsi="Times New Roman"/>
                <w:b/>
                <w:color w:val="000000"/>
              </w:rPr>
              <w:t>Non</w:t>
            </w:r>
          </w:p>
        </w:tc>
      </w:tr>
      <w:tr w:rsidR="00832F98" w:rsidRPr="005107DF" w14:paraId="17AE414C" w14:textId="77777777" w:rsidTr="007338F0">
        <w:trPr>
          <w:trHeight w:val="402"/>
        </w:trPr>
        <w:tc>
          <w:tcPr>
            <w:tcW w:w="7655" w:type="dxa"/>
          </w:tcPr>
          <w:p w14:paraId="4AB7BAD7" w14:textId="77777777" w:rsidR="00832F98" w:rsidRPr="005107DF" w:rsidRDefault="00832F98" w:rsidP="005106CB">
            <w:pPr>
              <w:numPr>
                <w:ilvl w:val="0"/>
                <w:numId w:val="150"/>
              </w:numPr>
              <w:spacing w:before="80" w:after="80" w:line="240" w:lineRule="exact"/>
              <w:ind w:left="38" w:firstLine="0"/>
              <w:rPr>
                <w:rFonts w:ascii="Times New Roman" w:eastAsia="Times New Roman" w:hAnsi="Times New Roman" w:cs="Times New Roman"/>
                <w:color w:val="000000"/>
                <w:szCs w:val="24"/>
              </w:rPr>
            </w:pPr>
            <w:r>
              <w:rPr>
                <w:rFonts w:ascii="Times New Roman" w:hAnsi="Times New Roman"/>
                <w:color w:val="000000"/>
              </w:rPr>
              <w:t>La proposition est complète et présentée au bon format</w:t>
            </w:r>
          </w:p>
        </w:tc>
        <w:tc>
          <w:tcPr>
            <w:tcW w:w="851" w:type="dxa"/>
          </w:tcPr>
          <w:p w14:paraId="0587B0B0"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p>
        </w:tc>
        <w:tc>
          <w:tcPr>
            <w:tcW w:w="708" w:type="dxa"/>
          </w:tcPr>
          <w:p w14:paraId="4191F69A"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p>
        </w:tc>
      </w:tr>
      <w:tr w:rsidR="00832F98" w:rsidRPr="005107DF" w14:paraId="2BC84523" w14:textId="77777777" w:rsidTr="007338F0">
        <w:trPr>
          <w:trHeight w:val="402"/>
        </w:trPr>
        <w:tc>
          <w:tcPr>
            <w:tcW w:w="7655" w:type="dxa"/>
          </w:tcPr>
          <w:p w14:paraId="130BC1CD" w14:textId="77777777" w:rsidR="00832F98" w:rsidRPr="005107DF" w:rsidRDefault="00832F98" w:rsidP="005106CB">
            <w:pPr>
              <w:numPr>
                <w:ilvl w:val="0"/>
                <w:numId w:val="150"/>
              </w:numPr>
              <w:spacing w:before="80" w:after="80" w:line="240" w:lineRule="exact"/>
              <w:ind w:left="38" w:firstLine="0"/>
              <w:rPr>
                <w:rFonts w:ascii="Times New Roman" w:eastAsia="Times New Roman" w:hAnsi="Times New Roman" w:cs="Times New Roman"/>
                <w:color w:val="000000"/>
                <w:szCs w:val="24"/>
              </w:rPr>
            </w:pPr>
            <w:r>
              <w:rPr>
                <w:rFonts w:ascii="Times New Roman" w:hAnsi="Times New Roman"/>
                <w:color w:val="000000"/>
              </w:rPr>
              <w:t>La proposition inclut les CV du chef de projet, du CRJ et des responsables de volets</w:t>
            </w:r>
          </w:p>
        </w:tc>
        <w:tc>
          <w:tcPr>
            <w:tcW w:w="851" w:type="dxa"/>
          </w:tcPr>
          <w:p w14:paraId="451689FF"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p>
        </w:tc>
        <w:tc>
          <w:tcPr>
            <w:tcW w:w="708" w:type="dxa"/>
          </w:tcPr>
          <w:p w14:paraId="0CB8E224"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p>
        </w:tc>
      </w:tr>
      <w:tr w:rsidR="00832F98" w:rsidRPr="005107DF" w14:paraId="3FAD5A24" w14:textId="77777777" w:rsidTr="007338F0">
        <w:trPr>
          <w:trHeight w:val="402"/>
        </w:trPr>
        <w:tc>
          <w:tcPr>
            <w:tcW w:w="7655" w:type="dxa"/>
          </w:tcPr>
          <w:p w14:paraId="3D11232F" w14:textId="77777777" w:rsidR="00832F98" w:rsidRPr="005107DF" w:rsidRDefault="00832F98" w:rsidP="001D7280">
            <w:pPr>
              <w:numPr>
                <w:ilvl w:val="0"/>
                <w:numId w:val="150"/>
              </w:numPr>
              <w:spacing w:before="80" w:after="80" w:line="240" w:lineRule="exact"/>
              <w:ind w:left="747" w:hanging="709"/>
              <w:rPr>
                <w:rFonts w:ascii="Times New Roman" w:eastAsia="Times New Roman" w:hAnsi="Times New Roman" w:cs="Times New Roman"/>
                <w:color w:val="000000"/>
                <w:szCs w:val="24"/>
              </w:rPr>
            </w:pPr>
            <w:r>
              <w:rPr>
                <w:rFonts w:ascii="Times New Roman" w:hAnsi="Times New Roman"/>
                <w:color w:val="000000"/>
                <w:sz w:val="24"/>
              </w:rPr>
              <w:t>Les coordonnées complètes du point de contact national et du demandeur (État membre principal) sont indiquées</w:t>
            </w:r>
          </w:p>
        </w:tc>
        <w:tc>
          <w:tcPr>
            <w:tcW w:w="851" w:type="dxa"/>
          </w:tcPr>
          <w:p w14:paraId="557FA940"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p>
        </w:tc>
        <w:tc>
          <w:tcPr>
            <w:tcW w:w="708" w:type="dxa"/>
          </w:tcPr>
          <w:p w14:paraId="1D8CDAA9"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p>
        </w:tc>
      </w:tr>
      <w:tr w:rsidR="00832F98" w:rsidRPr="005107DF" w14:paraId="40F9DD76" w14:textId="77777777" w:rsidTr="007338F0">
        <w:trPr>
          <w:trHeight w:val="402"/>
        </w:trPr>
        <w:tc>
          <w:tcPr>
            <w:tcW w:w="7655" w:type="dxa"/>
          </w:tcPr>
          <w:p w14:paraId="7867DB42" w14:textId="77777777" w:rsidR="00832F98" w:rsidRPr="005107DF" w:rsidRDefault="00832F98" w:rsidP="001D7280">
            <w:pPr>
              <w:numPr>
                <w:ilvl w:val="0"/>
                <w:numId w:val="150"/>
              </w:numPr>
              <w:spacing w:before="80" w:after="80" w:line="240" w:lineRule="exact"/>
              <w:ind w:left="747" w:hanging="709"/>
              <w:rPr>
                <w:rFonts w:ascii="Times New Roman" w:eastAsia="Times New Roman" w:hAnsi="Times New Roman" w:cs="Times New Roman"/>
                <w:color w:val="000000"/>
                <w:sz w:val="24"/>
                <w:szCs w:val="24"/>
              </w:rPr>
            </w:pPr>
            <w:r>
              <w:rPr>
                <w:rFonts w:ascii="Times New Roman" w:hAnsi="Times New Roman"/>
                <w:color w:val="000000"/>
                <w:sz w:val="24"/>
              </w:rPr>
              <w:t>La proposition est envoyée à partir de l’adresse de courrier électronique du point de contact national de l’État membre principal</w:t>
            </w:r>
          </w:p>
        </w:tc>
        <w:tc>
          <w:tcPr>
            <w:tcW w:w="851" w:type="dxa"/>
          </w:tcPr>
          <w:p w14:paraId="43537E6B"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p>
        </w:tc>
        <w:tc>
          <w:tcPr>
            <w:tcW w:w="708" w:type="dxa"/>
          </w:tcPr>
          <w:p w14:paraId="7525AA0E"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p>
        </w:tc>
      </w:tr>
    </w:tbl>
    <w:p w14:paraId="4CB1D3CE" w14:textId="77777777" w:rsidR="00832F98" w:rsidRPr="005107DF" w:rsidRDefault="00832F98" w:rsidP="00BE42CA">
      <w:pPr>
        <w:tabs>
          <w:tab w:val="left" w:pos="4820"/>
        </w:tabs>
        <w:spacing w:after="0" w:line="240" w:lineRule="exact"/>
        <w:ind w:left="-142"/>
        <w:rPr>
          <w:rFonts w:ascii="Times New Roman" w:eastAsia="Times New Roman" w:hAnsi="Times New Roman" w:cs="Times New Roman"/>
          <w:caps/>
          <w:color w:val="000000"/>
          <w:sz w:val="16"/>
          <w:szCs w:val="16"/>
        </w:rPr>
      </w:pPr>
    </w:p>
    <w:tbl>
      <w:tblPr>
        <w:tblW w:w="9214"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707"/>
        <w:gridCol w:w="799"/>
        <w:gridCol w:w="708"/>
      </w:tblGrid>
      <w:tr w:rsidR="00832F98" w:rsidRPr="005107DF" w14:paraId="0B97E4CE" w14:textId="77777777" w:rsidTr="007338F0">
        <w:trPr>
          <w:trHeight w:val="409"/>
        </w:trPr>
        <w:tc>
          <w:tcPr>
            <w:tcW w:w="7707" w:type="dxa"/>
          </w:tcPr>
          <w:p w14:paraId="5D175ACE" w14:textId="77777777" w:rsidR="00832F98" w:rsidRPr="005107DF" w:rsidRDefault="00832F98" w:rsidP="005106CB">
            <w:pPr>
              <w:tabs>
                <w:tab w:val="left" w:pos="38"/>
              </w:tabs>
              <w:spacing w:before="80" w:after="80" w:line="240" w:lineRule="exact"/>
              <w:ind w:left="38"/>
              <w:rPr>
                <w:rFonts w:ascii="Times New Roman" w:eastAsia="Times New Roman" w:hAnsi="Times New Roman" w:cs="Times New Roman"/>
                <w:caps/>
                <w:color w:val="000000"/>
                <w:szCs w:val="24"/>
              </w:rPr>
            </w:pPr>
            <w:r>
              <w:rPr>
                <w:rFonts w:ascii="Times New Roman" w:hAnsi="Times New Roman"/>
                <w:b/>
                <w:caps/>
                <w:color w:val="000000"/>
              </w:rPr>
              <w:t>III.           Éligibilité</w:t>
            </w:r>
          </w:p>
        </w:tc>
        <w:tc>
          <w:tcPr>
            <w:tcW w:w="799" w:type="dxa"/>
          </w:tcPr>
          <w:p w14:paraId="640369EC"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r>
              <w:rPr>
                <w:rFonts w:ascii="Times New Roman" w:hAnsi="Times New Roman"/>
                <w:b/>
                <w:color w:val="000000"/>
              </w:rPr>
              <w:t>Oui</w:t>
            </w:r>
          </w:p>
        </w:tc>
        <w:tc>
          <w:tcPr>
            <w:tcW w:w="708" w:type="dxa"/>
          </w:tcPr>
          <w:p w14:paraId="720381CF"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r>
              <w:rPr>
                <w:rFonts w:ascii="Times New Roman" w:hAnsi="Times New Roman"/>
                <w:b/>
                <w:color w:val="000000"/>
              </w:rPr>
              <w:t>Non</w:t>
            </w:r>
          </w:p>
        </w:tc>
      </w:tr>
      <w:tr w:rsidR="00832F98" w:rsidRPr="005107DF" w14:paraId="3332D1CD" w14:textId="77777777" w:rsidTr="007338F0">
        <w:trPr>
          <w:trHeight w:val="663"/>
        </w:trPr>
        <w:tc>
          <w:tcPr>
            <w:tcW w:w="7707" w:type="dxa"/>
          </w:tcPr>
          <w:p w14:paraId="5D315706" w14:textId="77777777" w:rsidR="00832F98" w:rsidRPr="005107DF" w:rsidRDefault="00832F98"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rPr>
            </w:pPr>
            <w:r>
              <w:rPr>
                <w:rFonts w:ascii="Times New Roman" w:hAnsi="Times New Roman"/>
                <w:color w:val="000000"/>
              </w:rPr>
              <w:t xml:space="preserve">Le CP, le CRJ et les responsables de volets proposés sont éligibles (nationalité et nombre officiel d’années d’expérience) et répondent aux critères </w:t>
            </w:r>
          </w:p>
        </w:tc>
        <w:tc>
          <w:tcPr>
            <w:tcW w:w="799" w:type="dxa"/>
          </w:tcPr>
          <w:p w14:paraId="48E4771E"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c>
          <w:tcPr>
            <w:tcW w:w="708" w:type="dxa"/>
          </w:tcPr>
          <w:p w14:paraId="7FBA8FFD"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r w:rsidR="00832F98" w:rsidRPr="005107DF" w14:paraId="651275A7" w14:textId="77777777" w:rsidTr="007338F0">
        <w:trPr>
          <w:trHeight w:val="409"/>
        </w:trPr>
        <w:tc>
          <w:tcPr>
            <w:tcW w:w="7707" w:type="dxa"/>
          </w:tcPr>
          <w:p w14:paraId="3FA766BC" w14:textId="77777777" w:rsidR="00832F98" w:rsidRPr="005107DF" w:rsidRDefault="00832F98"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rPr>
            </w:pPr>
            <w:r>
              <w:rPr>
                <w:rFonts w:ascii="Times New Roman" w:hAnsi="Times New Roman"/>
                <w:color w:val="000000"/>
              </w:rPr>
              <w:t>La durée de projet proposée n’excède pas la durée maximale autorisée</w:t>
            </w:r>
          </w:p>
        </w:tc>
        <w:tc>
          <w:tcPr>
            <w:tcW w:w="799" w:type="dxa"/>
          </w:tcPr>
          <w:p w14:paraId="141D1C28"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c>
          <w:tcPr>
            <w:tcW w:w="708" w:type="dxa"/>
          </w:tcPr>
          <w:p w14:paraId="3BCDE68D"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r w:rsidR="00832F98" w:rsidRPr="005107DF" w14:paraId="0EE1C032" w14:textId="77777777" w:rsidTr="007338F0">
        <w:trPr>
          <w:trHeight w:val="428"/>
        </w:trPr>
        <w:tc>
          <w:tcPr>
            <w:tcW w:w="7707" w:type="dxa"/>
          </w:tcPr>
          <w:p w14:paraId="10387DFC" w14:textId="77777777" w:rsidR="00832F98" w:rsidRPr="005107DF" w:rsidRDefault="00832F98"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rPr>
            </w:pPr>
            <w:r>
              <w:rPr>
                <w:rFonts w:ascii="Times New Roman" w:hAnsi="Times New Roman"/>
                <w:color w:val="000000"/>
              </w:rPr>
              <w:t>L’organisme demandeur principal est une administration d’un État membre ou un organisme mandaté agréé</w:t>
            </w:r>
          </w:p>
        </w:tc>
        <w:tc>
          <w:tcPr>
            <w:tcW w:w="799" w:type="dxa"/>
          </w:tcPr>
          <w:p w14:paraId="6245D8C1"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c>
          <w:tcPr>
            <w:tcW w:w="708" w:type="dxa"/>
          </w:tcPr>
          <w:p w14:paraId="2C994466"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r w:rsidR="00832F98" w:rsidRPr="005107DF" w14:paraId="12EBF9DA" w14:textId="77777777" w:rsidTr="007338F0">
        <w:trPr>
          <w:trHeight w:val="428"/>
        </w:trPr>
        <w:tc>
          <w:tcPr>
            <w:tcW w:w="7707" w:type="dxa"/>
          </w:tcPr>
          <w:p w14:paraId="0596E80E" w14:textId="77777777" w:rsidR="00832F98" w:rsidRPr="005107DF" w:rsidRDefault="00832F98"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rPr>
            </w:pPr>
            <w:r>
              <w:rPr>
                <w:rFonts w:ascii="Times New Roman" w:hAnsi="Times New Roman"/>
                <w:color w:val="000000"/>
              </w:rPr>
              <w:t>L’organisme demandeur </w:t>
            </w:r>
            <w:r w:rsidRPr="00452C1A">
              <w:rPr>
                <w:rFonts w:ascii="Times New Roman" w:hAnsi="Times New Roman"/>
                <w:color w:val="000000"/>
              </w:rPr>
              <w:t>2</w:t>
            </w:r>
            <w:r>
              <w:rPr>
                <w:rFonts w:ascii="Times New Roman" w:hAnsi="Times New Roman"/>
                <w:color w:val="000000"/>
              </w:rPr>
              <w:t xml:space="preserve"> est une administration d’un État membre ou un organisme mandaté agréé</w:t>
            </w:r>
          </w:p>
        </w:tc>
        <w:tc>
          <w:tcPr>
            <w:tcW w:w="799" w:type="dxa"/>
          </w:tcPr>
          <w:p w14:paraId="095102CF"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c>
          <w:tcPr>
            <w:tcW w:w="708" w:type="dxa"/>
          </w:tcPr>
          <w:p w14:paraId="03E568A3"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r w:rsidR="00832F98" w:rsidRPr="005107DF" w14:paraId="720D3CB4" w14:textId="77777777" w:rsidTr="007338F0">
        <w:trPr>
          <w:trHeight w:val="428"/>
        </w:trPr>
        <w:tc>
          <w:tcPr>
            <w:tcW w:w="7707" w:type="dxa"/>
          </w:tcPr>
          <w:p w14:paraId="01DCE25C" w14:textId="77777777" w:rsidR="00832F98" w:rsidRPr="005107DF" w:rsidRDefault="00832F98"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rPr>
            </w:pPr>
            <w:r>
              <w:rPr>
                <w:rFonts w:ascii="Times New Roman" w:hAnsi="Times New Roman"/>
                <w:color w:val="000000"/>
              </w:rPr>
              <w:t>L’organisme demandeur </w:t>
            </w:r>
            <w:r w:rsidRPr="00452C1A">
              <w:rPr>
                <w:rFonts w:ascii="Times New Roman" w:hAnsi="Times New Roman"/>
                <w:color w:val="000000"/>
              </w:rPr>
              <w:t>3</w:t>
            </w:r>
            <w:r>
              <w:rPr>
                <w:rFonts w:ascii="Times New Roman" w:hAnsi="Times New Roman"/>
                <w:color w:val="000000"/>
              </w:rPr>
              <w:t xml:space="preserve"> est une administration d’un État membre ou un </w:t>
            </w:r>
            <w:r>
              <w:rPr>
                <w:rFonts w:ascii="Times New Roman" w:hAnsi="Times New Roman"/>
                <w:color w:val="000000"/>
              </w:rPr>
              <w:lastRenderedPageBreak/>
              <w:t>organisme mandaté agréé</w:t>
            </w:r>
            <w:r>
              <w:rPr>
                <w:rStyle w:val="FootnoteReference"/>
                <w:rFonts w:ascii="Times New Roman" w:hAnsi="Times New Roman"/>
                <w:color w:val="000000"/>
              </w:rPr>
              <w:footnoteReference w:id="54"/>
            </w:r>
          </w:p>
        </w:tc>
        <w:tc>
          <w:tcPr>
            <w:tcW w:w="799" w:type="dxa"/>
          </w:tcPr>
          <w:p w14:paraId="11E4A5D0"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c>
          <w:tcPr>
            <w:tcW w:w="708" w:type="dxa"/>
          </w:tcPr>
          <w:p w14:paraId="0BB9CD7F"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bl>
    <w:p w14:paraId="00DEAEBE" w14:textId="77777777" w:rsidR="00832F98" w:rsidRPr="005107DF" w:rsidRDefault="00832F98" w:rsidP="00BE42CA">
      <w:pPr>
        <w:tabs>
          <w:tab w:val="left" w:pos="4820"/>
        </w:tabs>
        <w:spacing w:after="0" w:line="240" w:lineRule="exact"/>
        <w:ind w:left="-142"/>
        <w:rPr>
          <w:rFonts w:ascii="Times New Roman" w:eastAsia="Times New Roman" w:hAnsi="Times New Roman" w:cs="Times New Roman"/>
          <w:caps/>
          <w:color w:val="000000"/>
          <w:sz w:val="16"/>
          <w:szCs w:val="16"/>
        </w:rPr>
      </w:pPr>
    </w:p>
    <w:p w14:paraId="79E2717B" w14:textId="77777777" w:rsidR="00832F98" w:rsidRPr="005107DF" w:rsidRDefault="00832F98" w:rsidP="00BE42CA">
      <w:pPr>
        <w:tabs>
          <w:tab w:val="left" w:pos="4820"/>
        </w:tabs>
        <w:spacing w:after="0" w:line="240" w:lineRule="exact"/>
        <w:ind w:left="-142"/>
        <w:rPr>
          <w:rFonts w:ascii="Times New Roman" w:eastAsia="Times New Roman" w:hAnsi="Times New Roman" w:cs="Times New Roman"/>
          <w:b/>
          <w:caps/>
          <w:color w:val="000000"/>
          <w:szCs w:val="24"/>
        </w:rPr>
      </w:pPr>
    </w:p>
    <w:p w14:paraId="7F28804E" w14:textId="77777777" w:rsidR="00832F98" w:rsidRPr="005107DF" w:rsidRDefault="00832F98" w:rsidP="00BE42CA">
      <w:pPr>
        <w:tabs>
          <w:tab w:val="left" w:pos="4820"/>
        </w:tabs>
        <w:spacing w:after="0" w:line="240" w:lineRule="exact"/>
        <w:ind w:left="-142"/>
        <w:rPr>
          <w:rFonts w:ascii="Times New Roman" w:eastAsia="Times New Roman" w:hAnsi="Times New Roman" w:cs="Times New Roman"/>
          <w:color w:val="000000"/>
          <w:szCs w:val="24"/>
        </w:rPr>
      </w:pPr>
      <w:r>
        <w:rPr>
          <w:rFonts w:ascii="Times New Roman" w:hAnsi="Times New Roman"/>
          <w:b/>
          <w:caps/>
          <w:color w:val="000000"/>
        </w:rPr>
        <w:t>IV.          COMMENTAIRES</w:t>
      </w:r>
      <w:r>
        <w:t xml:space="preserve"> </w:t>
      </w:r>
      <w:r>
        <w:rPr>
          <w:rFonts w:ascii="Times New Roman" w:hAnsi="Times New Roman"/>
          <w:color w:val="000000"/>
        </w:rPr>
        <w:t>(Précisez, le cas échéant, les informations ou les documents manquants)</w:t>
      </w:r>
      <w:r>
        <w:rPr>
          <w:rStyle w:val="FootnoteReference"/>
          <w:rFonts w:ascii="Times New Roman" w:hAnsi="Times New Roman"/>
          <w:color w:val="000000"/>
        </w:rPr>
        <w:footnoteReference w:id="55"/>
      </w:r>
    </w:p>
    <w:p w14:paraId="4FCF290B" w14:textId="77777777" w:rsidR="00832F98" w:rsidRPr="005107DF" w:rsidRDefault="00832F98" w:rsidP="00BE42CA">
      <w:pPr>
        <w:spacing w:after="0" w:line="240" w:lineRule="auto"/>
        <w:ind w:left="-142"/>
        <w:rPr>
          <w:rFonts w:ascii="Times New Roman" w:eastAsia="Times New Roman" w:hAnsi="Times New Roman" w:cs="Times New Roman"/>
          <w:sz w:val="24"/>
          <w:szCs w:val="24"/>
        </w:rPr>
      </w:pPr>
      <w:r>
        <w:rPr>
          <w:rFonts w:ascii="Times New Roman" w:hAnsi="Times New Roman"/>
          <w:sz w:val="24"/>
        </w:rPr>
        <w:t xml:space="preserve">La proposition satisfait-elle aux critères administratifs et formels? </w:t>
      </w:r>
      <w:r>
        <w:tab/>
      </w:r>
      <w:r>
        <w:rPr>
          <w:rFonts w:ascii="Times New Roman" w:hAnsi="Times New Roman"/>
          <w:sz w:val="24"/>
        </w:rPr>
        <w:t xml:space="preserve">Oui </w:t>
      </w:r>
      <w:r>
        <w:rPr>
          <w:rFonts w:ascii="Times New Roman" w:eastAsia="Times New Roman" w:hAnsi="Times New Roman" w:cs="Times New Roman"/>
          <w:sz w:val="24"/>
          <w:szCs w:val="24"/>
        </w:rPr>
        <w:sym w:font="Wingdings" w:char="F06F"/>
      </w:r>
      <w:r>
        <w:tab/>
      </w:r>
      <w:r>
        <w:rPr>
          <w:rFonts w:ascii="Times New Roman" w:hAnsi="Times New Roman"/>
          <w:sz w:val="24"/>
        </w:rPr>
        <w:t xml:space="preserve">Non </w:t>
      </w:r>
      <w:r>
        <w:rPr>
          <w:rFonts w:ascii="Times New Roman" w:eastAsia="Times New Roman" w:hAnsi="Times New Roman" w:cs="Times New Roman"/>
          <w:sz w:val="24"/>
          <w:szCs w:val="24"/>
        </w:rPr>
        <w:sym w:font="Wingdings" w:char="F06F"/>
      </w:r>
    </w:p>
    <w:p w14:paraId="59667CD0" w14:textId="77777777" w:rsidR="00832F98" w:rsidRPr="005107DF" w:rsidRDefault="00832F98" w:rsidP="00BE42CA">
      <w:pPr>
        <w:spacing w:after="0" w:line="240" w:lineRule="auto"/>
        <w:ind w:left="-142"/>
        <w:rPr>
          <w:rFonts w:ascii="Times New Roman" w:eastAsia="Times New Roman" w:hAnsi="Times New Roman" w:cs="Times New Roman"/>
          <w:color w:val="000000"/>
          <w:sz w:val="24"/>
          <w:szCs w:val="24"/>
        </w:rPr>
        <w:sectPr w:rsidR="00832F98" w:rsidRPr="005107DF" w:rsidSect="0019382C">
          <w:headerReference w:type="even" r:id="rId55"/>
          <w:headerReference w:type="default" r:id="rId56"/>
          <w:footerReference w:type="even" r:id="rId57"/>
          <w:footerReference w:type="default" r:id="rId58"/>
          <w:headerReference w:type="first" r:id="rId59"/>
          <w:type w:val="continuous"/>
          <w:pgSz w:w="11907" w:h="16840" w:code="9"/>
          <w:pgMar w:top="1134" w:right="1417" w:bottom="851" w:left="1418" w:header="567" w:footer="1145" w:gutter="0"/>
          <w:cols w:space="720"/>
        </w:sectPr>
      </w:pPr>
    </w:p>
    <w:p w14:paraId="4BCF0E08"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ind w:left="1134" w:hanging="1134"/>
        <w:rPr>
          <w:sz w:val="32"/>
          <w:szCs w:val="32"/>
        </w:rPr>
      </w:pPr>
      <w:bookmarkStart w:id="1477" w:name="_Toc517434483"/>
      <w:bookmarkStart w:id="1478" w:name="_Toc2861050"/>
      <w:bookmarkStart w:id="1479" w:name="_Toc63844507"/>
      <w:bookmarkStart w:id="1480" w:name="_Toc71600508"/>
      <w:bookmarkStart w:id="1481" w:name="_Toc71600551"/>
      <w:bookmarkStart w:id="1482" w:name="_Toc72222217"/>
      <w:bookmarkStart w:id="1483" w:name="_Toc77496170"/>
      <w:bookmarkStart w:id="1484" w:name="_Toc86057398"/>
      <w:r>
        <w:rPr>
          <w:sz w:val="32"/>
        </w:rPr>
        <w:lastRenderedPageBreak/>
        <w:t>ANNEXE C</w:t>
      </w:r>
      <w:r w:rsidRPr="00452C1A">
        <w:rPr>
          <w:sz w:val="32"/>
        </w:rPr>
        <w:t>6</w:t>
      </w:r>
      <w:r>
        <w:rPr>
          <w:sz w:val="32"/>
        </w:rPr>
        <w:t>bis: Grille de conformité administrative et d’éligibilité pour jumelage léger</w:t>
      </w:r>
      <w:bookmarkEnd w:id="1477"/>
      <w:bookmarkEnd w:id="1478"/>
    </w:p>
    <w:p w14:paraId="615A13E8" w14:textId="77777777" w:rsidR="00832F98" w:rsidRPr="005107DF" w:rsidRDefault="00832F98" w:rsidP="00A92DE1">
      <w:pPr>
        <w:tabs>
          <w:tab w:val="left" w:pos="4820"/>
        </w:tabs>
        <w:spacing w:after="0" w:line="240" w:lineRule="exact"/>
        <w:rPr>
          <w:rFonts w:ascii="Times New Roman" w:eastAsia="Times New Roman" w:hAnsi="Times New Roman" w:cs="Times New Roman"/>
          <w:b/>
          <w:color w:val="000000"/>
          <w:szCs w:val="24"/>
        </w:rPr>
      </w:pPr>
      <w:r>
        <w:rPr>
          <w:rFonts w:ascii="Times New Roman" w:hAnsi="Times New Roman"/>
          <w:b/>
          <w:color w:val="000000"/>
        </w:rPr>
        <w:t xml:space="preserve">Compte tenu de la nature des projets de jumelage, l’administration contractante devrait en principe demander des précisions à l’État membre en cas de doute concernant les documents fournis. </w:t>
      </w:r>
    </w:p>
    <w:p w14:paraId="57BAA4AA" w14:textId="77777777" w:rsidR="00832F98" w:rsidRPr="005107DF" w:rsidRDefault="00832F98" w:rsidP="00A92DE1">
      <w:pPr>
        <w:tabs>
          <w:tab w:val="left" w:pos="4820"/>
        </w:tabs>
        <w:spacing w:after="0" w:line="240" w:lineRule="exact"/>
        <w:rPr>
          <w:rFonts w:ascii="Times New Roman" w:eastAsia="Times New Roman" w:hAnsi="Times New Roman" w:cs="Times New Roman"/>
          <w:color w:val="000000"/>
          <w:sz w:val="32"/>
          <w:szCs w:val="32"/>
        </w:rPr>
      </w:pPr>
    </w:p>
    <w:p w14:paraId="2E4BF17D" w14:textId="77777777" w:rsidR="00832F98" w:rsidRPr="005107DF" w:rsidRDefault="00832F98" w:rsidP="00A92DE1">
      <w:pPr>
        <w:tabs>
          <w:tab w:val="left" w:pos="4820"/>
        </w:tabs>
        <w:spacing w:after="0" w:line="240" w:lineRule="exact"/>
        <w:rPr>
          <w:rFonts w:ascii="Times New Roman" w:eastAsia="Times New Roman" w:hAnsi="Times New Roman" w:cs="Times New Roman"/>
          <w:color w:val="000000"/>
          <w:sz w:val="32"/>
          <w:szCs w:val="32"/>
        </w:rPr>
      </w:pPr>
    </w:p>
    <w:p w14:paraId="327C192F" w14:textId="77777777" w:rsidR="00832F98" w:rsidRPr="005107DF" w:rsidRDefault="00832F98" w:rsidP="00A92DE1">
      <w:pPr>
        <w:tabs>
          <w:tab w:val="left" w:pos="4820"/>
        </w:tabs>
        <w:spacing w:after="0" w:line="240" w:lineRule="exact"/>
        <w:rPr>
          <w:rFonts w:ascii="Times New Roman" w:eastAsia="Times New Roman" w:hAnsi="Times New Roman" w:cs="Times New Roman"/>
          <w:b/>
          <w:color w:val="000000"/>
          <w:szCs w:val="24"/>
        </w:rPr>
      </w:pPr>
      <w:r>
        <w:rPr>
          <w:rFonts w:ascii="Times New Roman" w:hAnsi="Times New Roman"/>
          <w:b/>
          <w:color w:val="000000"/>
        </w:rPr>
        <w:t>Grille remplie par _____________________________________ Date ____</w:t>
      </w:r>
    </w:p>
    <w:p w14:paraId="5DDEF292" w14:textId="77777777" w:rsidR="00832F98" w:rsidRPr="005107DF" w:rsidRDefault="00832F98" w:rsidP="00A92DE1">
      <w:pPr>
        <w:tabs>
          <w:tab w:val="left" w:pos="-284"/>
        </w:tabs>
        <w:spacing w:after="0" w:line="240" w:lineRule="exact"/>
        <w:rPr>
          <w:rFonts w:ascii="Times New Roman" w:eastAsia="Times New Roman" w:hAnsi="Times New Roman" w:cs="Times New Roman"/>
          <w:b/>
          <w:caps/>
          <w:color w:val="000000"/>
          <w:szCs w:val="24"/>
          <w:u w:val="single"/>
        </w:rPr>
      </w:pPr>
    </w:p>
    <w:p w14:paraId="4D0CA45A" w14:textId="77777777" w:rsidR="00832F98" w:rsidRPr="005107DF" w:rsidRDefault="00832F98" w:rsidP="00A92DE1">
      <w:pPr>
        <w:tabs>
          <w:tab w:val="left" w:pos="-284"/>
        </w:tabs>
        <w:spacing w:after="0" w:line="240" w:lineRule="exact"/>
        <w:rPr>
          <w:rFonts w:ascii="Times New Roman" w:eastAsia="Times New Roman" w:hAnsi="Times New Roman" w:cs="Times New Roman"/>
          <w:b/>
          <w:color w:val="000000"/>
          <w:sz w:val="24"/>
          <w:szCs w:val="24"/>
        </w:rPr>
      </w:pPr>
      <w:r>
        <w:rPr>
          <w:rFonts w:ascii="Times New Roman" w:hAnsi="Times New Roman"/>
          <w:b/>
          <w:caps/>
          <w:color w:val="000000"/>
          <w:sz w:val="24"/>
        </w:rPr>
        <w:t>CRITÈRES FORMELS (</w:t>
      </w:r>
      <w:r>
        <w:rPr>
          <w:rFonts w:ascii="Times New Roman" w:hAnsi="Times New Roman"/>
          <w:b/>
          <w:i/>
          <w:color w:val="000000"/>
          <w:sz w:val="24"/>
        </w:rPr>
        <w:t>à vérifier avant les réunions de sélection)</w:t>
      </w:r>
    </w:p>
    <w:p w14:paraId="7909FE50" w14:textId="77777777" w:rsidR="00832F98" w:rsidRPr="005107DF" w:rsidRDefault="00832F98" w:rsidP="00A92DE1">
      <w:pPr>
        <w:tabs>
          <w:tab w:val="left" w:pos="-284"/>
        </w:tabs>
        <w:spacing w:after="0" w:line="240" w:lineRule="exact"/>
        <w:rPr>
          <w:rFonts w:ascii="Times New Roman" w:eastAsia="Times New Roman" w:hAnsi="Times New Roman" w:cs="Times New Roman"/>
          <w:b/>
          <w:caps/>
          <w:color w:val="000000"/>
          <w:szCs w:val="24"/>
          <w:u w:val="single"/>
        </w:rPr>
      </w:pPr>
    </w:p>
    <w:bookmarkEnd w:id="1479"/>
    <w:bookmarkEnd w:id="1480"/>
    <w:bookmarkEnd w:id="1481"/>
    <w:bookmarkEnd w:id="1482"/>
    <w:bookmarkEnd w:id="1483"/>
    <w:bookmarkEnd w:id="1484"/>
    <w:p w14:paraId="0F6E394D" w14:textId="77777777" w:rsidR="00832F98" w:rsidRPr="005107DF" w:rsidRDefault="00832F98" w:rsidP="00502DA6">
      <w:pPr>
        <w:tabs>
          <w:tab w:val="left" w:pos="-284"/>
        </w:tabs>
        <w:spacing w:after="0" w:line="240" w:lineRule="exact"/>
        <w:rPr>
          <w:rFonts w:ascii="Times New Roman" w:eastAsia="Times New Roman" w:hAnsi="Times New Roman" w:cs="Times New Roman"/>
          <w:b/>
          <w:caps/>
          <w:color w:val="000000"/>
          <w:szCs w:val="24"/>
        </w:rPr>
      </w:pPr>
      <w:r>
        <w:rPr>
          <w:rFonts w:ascii="Times New Roman" w:hAnsi="Times New Roman"/>
          <w:b/>
          <w:caps/>
          <w:color w:val="000000"/>
        </w:rPr>
        <w:t xml:space="preserve">I. </w:t>
      </w:r>
      <w:r>
        <w:tab/>
      </w:r>
      <w:r>
        <w:rPr>
          <w:rFonts w:ascii="Times New Roman" w:hAnsi="Times New Roman"/>
          <w:b/>
          <w:caps/>
          <w:color w:val="000000"/>
        </w:rPr>
        <w:t>Données d’identification</w:t>
      </w:r>
    </w:p>
    <w:tbl>
      <w:tblPr>
        <w:tblpPr w:leftFromText="180" w:rightFromText="180" w:vertAnchor="text" w:horzAnchor="margin" w:tblpY="175"/>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43"/>
        <w:gridCol w:w="6279"/>
      </w:tblGrid>
      <w:tr w:rsidR="00832F98" w:rsidRPr="005107DF" w14:paraId="0ED4D4BF" w14:textId="77777777" w:rsidTr="007338F0">
        <w:trPr>
          <w:trHeight w:val="379"/>
        </w:trPr>
        <w:tc>
          <w:tcPr>
            <w:tcW w:w="3043" w:type="dxa"/>
          </w:tcPr>
          <w:p w14:paraId="12990ABA"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r>
              <w:rPr>
                <w:rFonts w:ascii="Times New Roman" w:hAnsi="Times New Roman"/>
                <w:color w:val="000000"/>
              </w:rPr>
              <w:t xml:space="preserve">Numéro de publication </w:t>
            </w:r>
          </w:p>
        </w:tc>
        <w:tc>
          <w:tcPr>
            <w:tcW w:w="6279" w:type="dxa"/>
          </w:tcPr>
          <w:p w14:paraId="143D4D8D"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r>
      <w:tr w:rsidR="00832F98" w:rsidRPr="005107DF" w14:paraId="05978B29" w14:textId="77777777" w:rsidTr="007338F0">
        <w:trPr>
          <w:trHeight w:val="379"/>
        </w:trPr>
        <w:tc>
          <w:tcPr>
            <w:tcW w:w="3043" w:type="dxa"/>
          </w:tcPr>
          <w:p w14:paraId="15F2518C"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r>
              <w:rPr>
                <w:rFonts w:ascii="Times New Roman" w:hAnsi="Times New Roman"/>
                <w:color w:val="000000"/>
              </w:rPr>
              <w:t>Intitulé et numéro de la fiche de jumelage</w:t>
            </w:r>
          </w:p>
        </w:tc>
        <w:tc>
          <w:tcPr>
            <w:tcW w:w="6279" w:type="dxa"/>
          </w:tcPr>
          <w:p w14:paraId="0C2F1725"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r>
      <w:tr w:rsidR="00832F98" w:rsidRPr="005107DF" w14:paraId="395A1D3F" w14:textId="77777777" w:rsidTr="007338F0">
        <w:trPr>
          <w:trHeight w:val="397"/>
        </w:trPr>
        <w:tc>
          <w:tcPr>
            <w:tcW w:w="3043" w:type="dxa"/>
          </w:tcPr>
          <w:p w14:paraId="21C25786"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r>
              <w:rPr>
                <w:rFonts w:ascii="Times New Roman" w:hAnsi="Times New Roman"/>
                <w:color w:val="000000"/>
              </w:rPr>
              <w:t>Intitulé et numéro de la décision de financement</w:t>
            </w:r>
          </w:p>
        </w:tc>
        <w:tc>
          <w:tcPr>
            <w:tcW w:w="6279" w:type="dxa"/>
          </w:tcPr>
          <w:p w14:paraId="37A468ED"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r>
      <w:tr w:rsidR="00832F98" w:rsidRPr="005107DF" w14:paraId="68CF21C4" w14:textId="77777777" w:rsidTr="007338F0">
        <w:trPr>
          <w:trHeight w:val="379"/>
        </w:trPr>
        <w:tc>
          <w:tcPr>
            <w:tcW w:w="3043" w:type="dxa"/>
          </w:tcPr>
          <w:p w14:paraId="5120C8DC"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r>
              <w:rPr>
                <w:rFonts w:ascii="Times New Roman" w:hAnsi="Times New Roman"/>
                <w:color w:val="000000"/>
              </w:rPr>
              <w:t>Demandeur (État membre)</w:t>
            </w:r>
          </w:p>
        </w:tc>
        <w:tc>
          <w:tcPr>
            <w:tcW w:w="6279" w:type="dxa"/>
          </w:tcPr>
          <w:p w14:paraId="71C68AFE"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r>
      <w:tr w:rsidR="00832F98" w:rsidRPr="005107DF" w14:paraId="34BCAAEB" w14:textId="77777777" w:rsidTr="007338F0">
        <w:trPr>
          <w:trHeight w:val="397"/>
        </w:trPr>
        <w:tc>
          <w:tcPr>
            <w:tcW w:w="3043" w:type="dxa"/>
          </w:tcPr>
          <w:p w14:paraId="6D4F40D4"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r>
              <w:rPr>
                <w:rFonts w:ascii="Times New Roman" w:hAnsi="Times New Roman"/>
                <w:color w:val="000000"/>
              </w:rPr>
              <w:t>Administration bénéficiaire</w:t>
            </w:r>
          </w:p>
        </w:tc>
        <w:tc>
          <w:tcPr>
            <w:tcW w:w="6279" w:type="dxa"/>
          </w:tcPr>
          <w:p w14:paraId="1477030C"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r>
    </w:tbl>
    <w:p w14:paraId="44F5BEC1" w14:textId="77777777" w:rsidR="00832F98" w:rsidRPr="005107DF" w:rsidRDefault="00832F98" w:rsidP="00502DA6">
      <w:pPr>
        <w:tabs>
          <w:tab w:val="left" w:pos="4820"/>
        </w:tabs>
        <w:spacing w:after="0" w:line="240" w:lineRule="exact"/>
        <w:rPr>
          <w:rFonts w:ascii="Times New Roman" w:eastAsia="Times New Roman" w:hAnsi="Times New Roman" w:cs="Times New Roman"/>
          <w:b/>
          <w:color w:val="000000"/>
          <w:szCs w:val="24"/>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5"/>
        <w:gridCol w:w="708"/>
        <w:gridCol w:w="709"/>
      </w:tblGrid>
      <w:tr w:rsidR="00832F98" w:rsidRPr="005107DF" w14:paraId="553ACC0D" w14:textId="77777777" w:rsidTr="007338F0">
        <w:trPr>
          <w:trHeight w:val="420"/>
        </w:trPr>
        <w:tc>
          <w:tcPr>
            <w:tcW w:w="7905" w:type="dxa"/>
          </w:tcPr>
          <w:p w14:paraId="22A3D399" w14:textId="77777777" w:rsidR="00832F98" w:rsidRPr="005107DF" w:rsidRDefault="00832F98" w:rsidP="00162FB4">
            <w:pPr>
              <w:spacing w:before="80" w:after="80" w:line="240" w:lineRule="exact"/>
              <w:rPr>
                <w:rFonts w:ascii="Times New Roman" w:eastAsia="Times New Roman" w:hAnsi="Times New Roman" w:cs="Times New Roman"/>
                <w:b/>
                <w:caps/>
                <w:color w:val="000000"/>
                <w:szCs w:val="24"/>
              </w:rPr>
            </w:pPr>
            <w:r>
              <w:rPr>
                <w:rFonts w:ascii="Times New Roman" w:hAnsi="Times New Roman"/>
                <w:b/>
                <w:caps/>
                <w:color w:val="000000"/>
              </w:rPr>
              <w:t>II.          Conformité avec les critères administratifs</w:t>
            </w:r>
          </w:p>
        </w:tc>
        <w:tc>
          <w:tcPr>
            <w:tcW w:w="708" w:type="dxa"/>
          </w:tcPr>
          <w:p w14:paraId="01F95420" w14:textId="77777777" w:rsidR="00832F98" w:rsidRPr="005107DF" w:rsidRDefault="00832F98" w:rsidP="00162FB4">
            <w:pPr>
              <w:tabs>
                <w:tab w:val="left" w:pos="4820"/>
              </w:tabs>
              <w:spacing w:before="80" w:after="80" w:line="240" w:lineRule="exact"/>
              <w:jc w:val="center"/>
              <w:rPr>
                <w:rFonts w:ascii="Times New Roman" w:eastAsia="Times New Roman" w:hAnsi="Times New Roman" w:cs="Times New Roman"/>
                <w:b/>
                <w:color w:val="000000"/>
                <w:szCs w:val="24"/>
              </w:rPr>
            </w:pPr>
            <w:r>
              <w:rPr>
                <w:rFonts w:ascii="Times New Roman" w:hAnsi="Times New Roman"/>
                <w:b/>
                <w:color w:val="000000"/>
              </w:rPr>
              <w:t>Oui</w:t>
            </w:r>
          </w:p>
        </w:tc>
        <w:tc>
          <w:tcPr>
            <w:tcW w:w="709" w:type="dxa"/>
          </w:tcPr>
          <w:p w14:paraId="551D044C" w14:textId="77777777" w:rsidR="00832F98" w:rsidRPr="005107DF" w:rsidRDefault="00832F98" w:rsidP="00162FB4">
            <w:pPr>
              <w:tabs>
                <w:tab w:val="left" w:pos="4820"/>
              </w:tabs>
              <w:spacing w:before="80" w:after="80" w:line="240" w:lineRule="exact"/>
              <w:jc w:val="center"/>
              <w:rPr>
                <w:rFonts w:ascii="Times New Roman" w:eastAsia="Times New Roman" w:hAnsi="Times New Roman" w:cs="Times New Roman"/>
                <w:b/>
                <w:color w:val="000000"/>
                <w:szCs w:val="24"/>
              </w:rPr>
            </w:pPr>
            <w:r>
              <w:rPr>
                <w:rFonts w:ascii="Times New Roman" w:hAnsi="Times New Roman"/>
                <w:b/>
                <w:color w:val="000000"/>
              </w:rPr>
              <w:t>Non</w:t>
            </w:r>
          </w:p>
        </w:tc>
      </w:tr>
      <w:tr w:rsidR="00832F98" w:rsidRPr="005107DF" w14:paraId="281348D4" w14:textId="77777777" w:rsidTr="007338F0">
        <w:trPr>
          <w:trHeight w:val="402"/>
        </w:trPr>
        <w:tc>
          <w:tcPr>
            <w:tcW w:w="7905" w:type="dxa"/>
          </w:tcPr>
          <w:p w14:paraId="4BB2E38B" w14:textId="77777777" w:rsidR="00832F98" w:rsidRPr="005107DF" w:rsidRDefault="00832F98" w:rsidP="005975F2">
            <w:pPr>
              <w:spacing w:before="80" w:after="80" w:line="240" w:lineRule="exact"/>
              <w:rPr>
                <w:rFonts w:ascii="Times New Roman" w:eastAsia="Times New Roman" w:hAnsi="Times New Roman" w:cs="Times New Roman"/>
                <w:color w:val="000000"/>
                <w:szCs w:val="24"/>
              </w:rPr>
            </w:pPr>
            <w:r w:rsidRPr="00452C1A">
              <w:rPr>
                <w:rFonts w:ascii="Times New Roman" w:hAnsi="Times New Roman"/>
                <w:color w:val="000000"/>
              </w:rPr>
              <w:t>1</w:t>
            </w:r>
            <w:r>
              <w:rPr>
                <w:rFonts w:ascii="Times New Roman" w:hAnsi="Times New Roman"/>
                <w:color w:val="000000"/>
              </w:rPr>
              <w:t>. La proposition est complète et présentée au bon format</w:t>
            </w:r>
          </w:p>
        </w:tc>
        <w:tc>
          <w:tcPr>
            <w:tcW w:w="708" w:type="dxa"/>
          </w:tcPr>
          <w:p w14:paraId="28D016A7" w14:textId="77777777" w:rsidR="00832F98" w:rsidRPr="005107DF" w:rsidRDefault="00832F98" w:rsidP="00162FB4">
            <w:pPr>
              <w:tabs>
                <w:tab w:val="left" w:pos="4820"/>
              </w:tabs>
              <w:spacing w:before="80" w:after="80" w:line="240" w:lineRule="exact"/>
              <w:jc w:val="center"/>
              <w:rPr>
                <w:rFonts w:ascii="Times New Roman" w:eastAsia="Times New Roman" w:hAnsi="Times New Roman" w:cs="Times New Roman"/>
                <w:b/>
                <w:color w:val="000000"/>
                <w:szCs w:val="24"/>
              </w:rPr>
            </w:pPr>
          </w:p>
        </w:tc>
        <w:tc>
          <w:tcPr>
            <w:tcW w:w="709" w:type="dxa"/>
          </w:tcPr>
          <w:p w14:paraId="5201BF43" w14:textId="77777777" w:rsidR="00832F98" w:rsidRPr="005107DF" w:rsidRDefault="00832F98" w:rsidP="00162FB4">
            <w:pPr>
              <w:tabs>
                <w:tab w:val="left" w:pos="4820"/>
              </w:tabs>
              <w:spacing w:before="80" w:after="80" w:line="240" w:lineRule="exact"/>
              <w:jc w:val="center"/>
              <w:rPr>
                <w:rFonts w:ascii="Times New Roman" w:eastAsia="Times New Roman" w:hAnsi="Times New Roman" w:cs="Times New Roman"/>
                <w:b/>
                <w:color w:val="000000"/>
                <w:szCs w:val="24"/>
              </w:rPr>
            </w:pPr>
          </w:p>
        </w:tc>
      </w:tr>
      <w:tr w:rsidR="00832F98" w:rsidRPr="005107DF" w14:paraId="78476F5E" w14:textId="77777777" w:rsidTr="007338F0">
        <w:trPr>
          <w:trHeight w:val="402"/>
        </w:trPr>
        <w:tc>
          <w:tcPr>
            <w:tcW w:w="7905" w:type="dxa"/>
          </w:tcPr>
          <w:p w14:paraId="06DDBE8B" w14:textId="77777777" w:rsidR="00832F98" w:rsidRPr="005107DF" w:rsidRDefault="00832F98" w:rsidP="005975F2">
            <w:pPr>
              <w:spacing w:before="80" w:after="80" w:line="240" w:lineRule="exact"/>
              <w:rPr>
                <w:rFonts w:ascii="Times New Roman" w:eastAsia="Times New Roman" w:hAnsi="Times New Roman" w:cs="Times New Roman"/>
                <w:color w:val="000000"/>
                <w:szCs w:val="24"/>
              </w:rPr>
            </w:pPr>
            <w:r w:rsidRPr="00452C1A">
              <w:rPr>
                <w:rFonts w:ascii="Times New Roman" w:hAnsi="Times New Roman"/>
                <w:color w:val="000000"/>
              </w:rPr>
              <w:t>2</w:t>
            </w:r>
            <w:r>
              <w:rPr>
                <w:rFonts w:ascii="Times New Roman" w:hAnsi="Times New Roman"/>
                <w:color w:val="000000"/>
              </w:rPr>
              <w:t>. La proposition inclut le CV du chef de projet et des experts</w:t>
            </w:r>
          </w:p>
        </w:tc>
        <w:tc>
          <w:tcPr>
            <w:tcW w:w="708" w:type="dxa"/>
          </w:tcPr>
          <w:p w14:paraId="03E37F97" w14:textId="77777777" w:rsidR="00832F98" w:rsidRPr="005107DF" w:rsidRDefault="00832F98" w:rsidP="00162FB4">
            <w:pPr>
              <w:tabs>
                <w:tab w:val="left" w:pos="4820"/>
              </w:tabs>
              <w:spacing w:before="80" w:after="80" w:line="240" w:lineRule="exact"/>
              <w:jc w:val="center"/>
              <w:rPr>
                <w:rFonts w:ascii="Times New Roman" w:eastAsia="Times New Roman" w:hAnsi="Times New Roman" w:cs="Times New Roman"/>
                <w:b/>
                <w:color w:val="000000"/>
                <w:szCs w:val="24"/>
              </w:rPr>
            </w:pPr>
          </w:p>
        </w:tc>
        <w:tc>
          <w:tcPr>
            <w:tcW w:w="709" w:type="dxa"/>
          </w:tcPr>
          <w:p w14:paraId="49A273F6" w14:textId="77777777" w:rsidR="00832F98" w:rsidRPr="005107DF" w:rsidRDefault="00832F98" w:rsidP="00162FB4">
            <w:pPr>
              <w:tabs>
                <w:tab w:val="left" w:pos="4820"/>
              </w:tabs>
              <w:spacing w:before="80" w:after="80" w:line="240" w:lineRule="exact"/>
              <w:jc w:val="center"/>
              <w:rPr>
                <w:rFonts w:ascii="Times New Roman" w:eastAsia="Times New Roman" w:hAnsi="Times New Roman" w:cs="Times New Roman"/>
                <w:b/>
                <w:color w:val="000000"/>
                <w:szCs w:val="24"/>
              </w:rPr>
            </w:pPr>
          </w:p>
        </w:tc>
      </w:tr>
      <w:tr w:rsidR="00832F98" w:rsidRPr="005107DF" w14:paraId="4F33180E" w14:textId="77777777" w:rsidTr="007338F0">
        <w:trPr>
          <w:trHeight w:val="402"/>
        </w:trPr>
        <w:tc>
          <w:tcPr>
            <w:tcW w:w="7905" w:type="dxa"/>
          </w:tcPr>
          <w:p w14:paraId="67886288" w14:textId="77777777" w:rsidR="00832F98" w:rsidRPr="005107DF" w:rsidRDefault="00832F98" w:rsidP="005975F2">
            <w:pPr>
              <w:spacing w:before="80" w:after="80" w:line="240" w:lineRule="exact"/>
              <w:rPr>
                <w:rFonts w:ascii="Times New Roman" w:eastAsia="Times New Roman" w:hAnsi="Times New Roman" w:cs="Times New Roman"/>
                <w:color w:val="000000"/>
                <w:szCs w:val="24"/>
              </w:rPr>
            </w:pPr>
            <w:r w:rsidRPr="00452C1A">
              <w:rPr>
                <w:rFonts w:ascii="Times New Roman" w:hAnsi="Times New Roman"/>
                <w:color w:val="000000"/>
                <w:sz w:val="24"/>
              </w:rPr>
              <w:t>3</w:t>
            </w:r>
            <w:r>
              <w:rPr>
                <w:rFonts w:ascii="Times New Roman" w:hAnsi="Times New Roman"/>
                <w:color w:val="000000"/>
                <w:sz w:val="24"/>
              </w:rPr>
              <w:t>. Les coordonnées complètes du point de contact national et du demandeur (État membre) sont indiquées</w:t>
            </w:r>
          </w:p>
        </w:tc>
        <w:tc>
          <w:tcPr>
            <w:tcW w:w="708" w:type="dxa"/>
          </w:tcPr>
          <w:p w14:paraId="7638DF22" w14:textId="77777777" w:rsidR="00832F98" w:rsidRPr="005107DF" w:rsidRDefault="00832F98" w:rsidP="00162FB4">
            <w:pPr>
              <w:tabs>
                <w:tab w:val="left" w:pos="4820"/>
              </w:tabs>
              <w:spacing w:before="80" w:after="80" w:line="240" w:lineRule="exact"/>
              <w:jc w:val="center"/>
              <w:rPr>
                <w:rFonts w:ascii="Times New Roman" w:eastAsia="Times New Roman" w:hAnsi="Times New Roman" w:cs="Times New Roman"/>
                <w:b/>
                <w:color w:val="000000"/>
                <w:szCs w:val="24"/>
              </w:rPr>
            </w:pPr>
          </w:p>
        </w:tc>
        <w:tc>
          <w:tcPr>
            <w:tcW w:w="709" w:type="dxa"/>
          </w:tcPr>
          <w:p w14:paraId="7ED5127C" w14:textId="77777777" w:rsidR="00832F98" w:rsidRPr="005107DF" w:rsidRDefault="00832F98" w:rsidP="00162FB4">
            <w:pPr>
              <w:tabs>
                <w:tab w:val="left" w:pos="4820"/>
              </w:tabs>
              <w:spacing w:before="80" w:after="80" w:line="240" w:lineRule="exact"/>
              <w:jc w:val="center"/>
              <w:rPr>
                <w:rFonts w:ascii="Times New Roman" w:eastAsia="Times New Roman" w:hAnsi="Times New Roman" w:cs="Times New Roman"/>
                <w:b/>
                <w:color w:val="000000"/>
                <w:szCs w:val="24"/>
              </w:rPr>
            </w:pPr>
          </w:p>
        </w:tc>
      </w:tr>
      <w:tr w:rsidR="00832F98" w:rsidRPr="005107DF" w14:paraId="69A4DE8B" w14:textId="77777777" w:rsidTr="007338F0">
        <w:trPr>
          <w:trHeight w:val="402"/>
        </w:trPr>
        <w:tc>
          <w:tcPr>
            <w:tcW w:w="7905" w:type="dxa"/>
          </w:tcPr>
          <w:p w14:paraId="762EB869" w14:textId="77777777" w:rsidR="00832F98" w:rsidRPr="005107DF" w:rsidRDefault="00832F98" w:rsidP="005975F2">
            <w:pPr>
              <w:spacing w:before="80" w:after="80" w:line="240" w:lineRule="exact"/>
              <w:rPr>
                <w:rFonts w:ascii="Times New Roman" w:eastAsia="Times New Roman" w:hAnsi="Times New Roman" w:cs="Times New Roman"/>
                <w:color w:val="000000"/>
                <w:sz w:val="24"/>
                <w:szCs w:val="24"/>
              </w:rPr>
            </w:pPr>
            <w:r w:rsidRPr="00452C1A">
              <w:rPr>
                <w:rFonts w:ascii="Times New Roman" w:hAnsi="Times New Roman"/>
                <w:color w:val="000000"/>
                <w:sz w:val="24"/>
              </w:rPr>
              <w:t>4</w:t>
            </w:r>
            <w:r>
              <w:rPr>
                <w:rFonts w:ascii="Times New Roman" w:hAnsi="Times New Roman"/>
                <w:color w:val="000000"/>
                <w:sz w:val="24"/>
              </w:rPr>
              <w:t>. La proposition est envoyée à partir de l’adresse de courrier électronique du point de contact national de l’État membre demandeur</w:t>
            </w:r>
          </w:p>
        </w:tc>
        <w:tc>
          <w:tcPr>
            <w:tcW w:w="708" w:type="dxa"/>
          </w:tcPr>
          <w:p w14:paraId="7965807D" w14:textId="77777777" w:rsidR="00832F98" w:rsidRPr="005107DF" w:rsidRDefault="00832F98" w:rsidP="00162FB4">
            <w:pPr>
              <w:tabs>
                <w:tab w:val="left" w:pos="4820"/>
              </w:tabs>
              <w:spacing w:before="80" w:after="80" w:line="240" w:lineRule="exact"/>
              <w:jc w:val="center"/>
              <w:rPr>
                <w:rFonts w:ascii="Times New Roman" w:eastAsia="Times New Roman" w:hAnsi="Times New Roman" w:cs="Times New Roman"/>
                <w:b/>
                <w:color w:val="000000"/>
                <w:szCs w:val="24"/>
              </w:rPr>
            </w:pPr>
          </w:p>
        </w:tc>
        <w:tc>
          <w:tcPr>
            <w:tcW w:w="709" w:type="dxa"/>
          </w:tcPr>
          <w:p w14:paraId="45FF2E6D" w14:textId="77777777" w:rsidR="00832F98" w:rsidRPr="005107DF" w:rsidRDefault="00832F98" w:rsidP="00162FB4">
            <w:pPr>
              <w:tabs>
                <w:tab w:val="left" w:pos="4820"/>
              </w:tabs>
              <w:spacing w:before="80" w:after="80" w:line="240" w:lineRule="exact"/>
              <w:jc w:val="center"/>
              <w:rPr>
                <w:rFonts w:ascii="Times New Roman" w:eastAsia="Times New Roman" w:hAnsi="Times New Roman" w:cs="Times New Roman"/>
                <w:b/>
                <w:color w:val="000000"/>
                <w:szCs w:val="24"/>
              </w:rPr>
            </w:pPr>
          </w:p>
        </w:tc>
      </w:tr>
    </w:tbl>
    <w:tbl>
      <w:tblPr>
        <w:tblpPr w:leftFromText="180" w:rightFromText="180" w:vertAnchor="text" w:horzAnchor="margin" w:tblpY="157"/>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905"/>
        <w:gridCol w:w="708"/>
        <w:gridCol w:w="709"/>
      </w:tblGrid>
      <w:tr w:rsidR="00832F98" w:rsidRPr="005107DF" w14:paraId="3C79290F" w14:textId="77777777" w:rsidTr="007338F0">
        <w:trPr>
          <w:trHeight w:val="409"/>
        </w:trPr>
        <w:tc>
          <w:tcPr>
            <w:tcW w:w="7905" w:type="dxa"/>
          </w:tcPr>
          <w:p w14:paraId="74FA5741" w14:textId="77777777" w:rsidR="00832F98" w:rsidRPr="005107DF" w:rsidRDefault="00832F98" w:rsidP="00502DA6">
            <w:pPr>
              <w:tabs>
                <w:tab w:val="left" w:pos="0"/>
              </w:tabs>
              <w:spacing w:before="80" w:after="80" w:line="240" w:lineRule="exact"/>
              <w:rPr>
                <w:rFonts w:ascii="Times New Roman" w:eastAsia="Times New Roman" w:hAnsi="Times New Roman" w:cs="Times New Roman"/>
                <w:caps/>
                <w:color w:val="000000"/>
                <w:szCs w:val="24"/>
              </w:rPr>
            </w:pPr>
            <w:r>
              <w:rPr>
                <w:rFonts w:ascii="Times New Roman" w:hAnsi="Times New Roman"/>
                <w:b/>
                <w:caps/>
                <w:color w:val="000000"/>
              </w:rPr>
              <w:t>III.           Éligibilité</w:t>
            </w:r>
          </w:p>
        </w:tc>
        <w:tc>
          <w:tcPr>
            <w:tcW w:w="708" w:type="dxa"/>
          </w:tcPr>
          <w:p w14:paraId="42F253DF" w14:textId="77777777" w:rsidR="00832F98" w:rsidRPr="005107DF" w:rsidRDefault="00832F98" w:rsidP="00502DA6">
            <w:pPr>
              <w:tabs>
                <w:tab w:val="left" w:pos="4820"/>
              </w:tabs>
              <w:spacing w:before="80" w:after="80" w:line="240" w:lineRule="exact"/>
              <w:jc w:val="center"/>
              <w:rPr>
                <w:rFonts w:ascii="Times New Roman" w:eastAsia="Times New Roman" w:hAnsi="Times New Roman" w:cs="Times New Roman"/>
                <w:b/>
                <w:color w:val="000000"/>
                <w:szCs w:val="24"/>
              </w:rPr>
            </w:pPr>
            <w:r>
              <w:rPr>
                <w:rFonts w:ascii="Times New Roman" w:hAnsi="Times New Roman"/>
                <w:b/>
                <w:color w:val="000000"/>
              </w:rPr>
              <w:t>Oui</w:t>
            </w:r>
          </w:p>
        </w:tc>
        <w:tc>
          <w:tcPr>
            <w:tcW w:w="709" w:type="dxa"/>
          </w:tcPr>
          <w:p w14:paraId="65886435" w14:textId="77777777" w:rsidR="00832F98" w:rsidRPr="005107DF" w:rsidRDefault="00832F98" w:rsidP="00502DA6">
            <w:pPr>
              <w:tabs>
                <w:tab w:val="left" w:pos="4820"/>
              </w:tabs>
              <w:spacing w:before="80" w:after="80" w:line="240" w:lineRule="exact"/>
              <w:jc w:val="center"/>
              <w:rPr>
                <w:rFonts w:ascii="Times New Roman" w:eastAsia="Times New Roman" w:hAnsi="Times New Roman" w:cs="Times New Roman"/>
                <w:b/>
                <w:color w:val="000000"/>
                <w:szCs w:val="24"/>
              </w:rPr>
            </w:pPr>
            <w:r>
              <w:rPr>
                <w:rFonts w:ascii="Times New Roman" w:hAnsi="Times New Roman"/>
                <w:b/>
                <w:color w:val="000000"/>
              </w:rPr>
              <w:t>Non</w:t>
            </w:r>
          </w:p>
        </w:tc>
      </w:tr>
      <w:tr w:rsidR="00832F98" w:rsidRPr="005107DF" w14:paraId="5B493D5E" w14:textId="77777777" w:rsidTr="007338F0">
        <w:trPr>
          <w:trHeight w:val="663"/>
        </w:trPr>
        <w:tc>
          <w:tcPr>
            <w:tcW w:w="7905" w:type="dxa"/>
          </w:tcPr>
          <w:p w14:paraId="0F28FC32" w14:textId="77777777" w:rsidR="00832F98" w:rsidRPr="005107DF" w:rsidRDefault="00832F98" w:rsidP="005975F2">
            <w:pPr>
              <w:tabs>
                <w:tab w:val="left" w:pos="4820"/>
              </w:tabs>
              <w:spacing w:before="80" w:after="80" w:line="240" w:lineRule="exact"/>
              <w:jc w:val="both"/>
              <w:rPr>
                <w:rFonts w:ascii="Times New Roman" w:eastAsia="Times New Roman" w:hAnsi="Times New Roman" w:cs="Times New Roman"/>
                <w:color w:val="000000"/>
                <w:szCs w:val="24"/>
              </w:rPr>
            </w:pPr>
            <w:r w:rsidRPr="00452C1A">
              <w:rPr>
                <w:rFonts w:ascii="Times New Roman" w:hAnsi="Times New Roman"/>
                <w:color w:val="000000"/>
              </w:rPr>
              <w:t>1</w:t>
            </w:r>
            <w:r>
              <w:rPr>
                <w:rFonts w:ascii="Times New Roman" w:hAnsi="Times New Roman"/>
                <w:color w:val="000000"/>
              </w:rPr>
              <w:t xml:space="preserve">.  Le chef de projet proposé est éligible (nationalité et nombre officiel d’années d’expérience) et répond aux critères </w:t>
            </w:r>
          </w:p>
        </w:tc>
        <w:tc>
          <w:tcPr>
            <w:tcW w:w="708" w:type="dxa"/>
          </w:tcPr>
          <w:p w14:paraId="325FB22D"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c>
          <w:tcPr>
            <w:tcW w:w="709" w:type="dxa"/>
          </w:tcPr>
          <w:p w14:paraId="1C43420A"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r>
      <w:tr w:rsidR="00832F98" w:rsidRPr="005107DF" w14:paraId="080EF5A2" w14:textId="77777777" w:rsidTr="007338F0">
        <w:trPr>
          <w:trHeight w:val="409"/>
        </w:trPr>
        <w:tc>
          <w:tcPr>
            <w:tcW w:w="7905" w:type="dxa"/>
          </w:tcPr>
          <w:p w14:paraId="23C420C8" w14:textId="77777777" w:rsidR="00832F98" w:rsidRPr="005107DF" w:rsidRDefault="00832F98" w:rsidP="005975F2">
            <w:pPr>
              <w:tabs>
                <w:tab w:val="left" w:pos="4820"/>
              </w:tabs>
              <w:spacing w:before="80" w:after="80" w:line="240" w:lineRule="exact"/>
              <w:jc w:val="both"/>
              <w:rPr>
                <w:rFonts w:ascii="Times New Roman" w:eastAsia="Times New Roman" w:hAnsi="Times New Roman" w:cs="Times New Roman"/>
                <w:color w:val="000000"/>
                <w:szCs w:val="24"/>
              </w:rPr>
            </w:pPr>
            <w:r w:rsidRPr="00452C1A">
              <w:rPr>
                <w:rFonts w:ascii="Times New Roman" w:hAnsi="Times New Roman"/>
                <w:color w:val="000000"/>
              </w:rPr>
              <w:t>2</w:t>
            </w:r>
            <w:r>
              <w:rPr>
                <w:rFonts w:ascii="Times New Roman" w:hAnsi="Times New Roman"/>
                <w:color w:val="000000"/>
              </w:rPr>
              <w:t>. La durée de projet proposée n’excède pas la durée maximale autorisée</w:t>
            </w:r>
          </w:p>
        </w:tc>
        <w:tc>
          <w:tcPr>
            <w:tcW w:w="708" w:type="dxa"/>
          </w:tcPr>
          <w:p w14:paraId="362A6622"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c>
          <w:tcPr>
            <w:tcW w:w="709" w:type="dxa"/>
          </w:tcPr>
          <w:p w14:paraId="139CF926"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r>
      <w:tr w:rsidR="00832F98" w:rsidRPr="005107DF" w14:paraId="4E9A8D29" w14:textId="77777777" w:rsidTr="007338F0">
        <w:trPr>
          <w:trHeight w:val="428"/>
        </w:trPr>
        <w:tc>
          <w:tcPr>
            <w:tcW w:w="7905" w:type="dxa"/>
          </w:tcPr>
          <w:p w14:paraId="40F1FEA0" w14:textId="77777777" w:rsidR="00832F98" w:rsidRPr="005107DF" w:rsidRDefault="00832F98" w:rsidP="00F970B7">
            <w:pPr>
              <w:tabs>
                <w:tab w:val="left" w:pos="4820"/>
              </w:tabs>
              <w:spacing w:before="80" w:after="80" w:line="240" w:lineRule="exact"/>
              <w:jc w:val="both"/>
              <w:rPr>
                <w:rFonts w:ascii="Times New Roman" w:eastAsia="Times New Roman" w:hAnsi="Times New Roman" w:cs="Times New Roman"/>
                <w:color w:val="000000"/>
                <w:szCs w:val="24"/>
              </w:rPr>
            </w:pPr>
            <w:r w:rsidRPr="00452C1A">
              <w:rPr>
                <w:rFonts w:ascii="Times New Roman" w:hAnsi="Times New Roman"/>
                <w:color w:val="000000"/>
              </w:rPr>
              <w:t>3</w:t>
            </w:r>
            <w:r>
              <w:rPr>
                <w:rFonts w:ascii="Times New Roman" w:hAnsi="Times New Roman"/>
                <w:color w:val="000000"/>
              </w:rPr>
              <w:t xml:space="preserve">. L’organisme demandeur est une administration d’un État membre ou un organisme mandaté agréé </w:t>
            </w:r>
            <w:r>
              <w:rPr>
                <w:rFonts w:ascii="Times New Roman" w:hAnsi="Times New Roman"/>
                <w:color w:val="000000"/>
                <w:sz w:val="24"/>
              </w:rPr>
              <w:t xml:space="preserve"> </w:t>
            </w:r>
          </w:p>
        </w:tc>
        <w:tc>
          <w:tcPr>
            <w:tcW w:w="708" w:type="dxa"/>
          </w:tcPr>
          <w:p w14:paraId="1EC21180"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c>
          <w:tcPr>
            <w:tcW w:w="709" w:type="dxa"/>
          </w:tcPr>
          <w:p w14:paraId="16261905"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r>
    </w:tbl>
    <w:p w14:paraId="1A264E84" w14:textId="77777777" w:rsidR="00832F98" w:rsidRPr="005107DF" w:rsidRDefault="00832F98" w:rsidP="00502DA6">
      <w:pPr>
        <w:tabs>
          <w:tab w:val="left" w:pos="4820"/>
        </w:tabs>
        <w:spacing w:after="0" w:line="240" w:lineRule="exact"/>
        <w:rPr>
          <w:rFonts w:ascii="Times New Roman" w:eastAsia="Times New Roman" w:hAnsi="Times New Roman" w:cs="Times New Roman"/>
          <w:b/>
          <w:caps/>
          <w:color w:val="000000"/>
          <w:szCs w:val="24"/>
          <w:u w:val="single"/>
        </w:rPr>
      </w:pPr>
    </w:p>
    <w:p w14:paraId="4A9ED1A7" w14:textId="77777777" w:rsidR="00832F98" w:rsidRPr="005107DF" w:rsidRDefault="00832F98" w:rsidP="00A92DE1">
      <w:pPr>
        <w:tabs>
          <w:tab w:val="left" w:pos="4820"/>
        </w:tabs>
        <w:spacing w:after="0" w:line="240" w:lineRule="exact"/>
        <w:rPr>
          <w:rFonts w:ascii="Times New Roman" w:eastAsia="Times New Roman" w:hAnsi="Times New Roman" w:cs="Times New Roman"/>
          <w:b/>
          <w:caps/>
          <w:color w:val="000000"/>
          <w:szCs w:val="24"/>
        </w:rPr>
      </w:pPr>
    </w:p>
    <w:p w14:paraId="49DDDA3F" w14:textId="77777777" w:rsidR="00832F98" w:rsidRPr="005107DF" w:rsidRDefault="00832F98" w:rsidP="00A92DE1">
      <w:pPr>
        <w:tabs>
          <w:tab w:val="left" w:pos="4820"/>
        </w:tabs>
        <w:spacing w:after="0" w:line="240" w:lineRule="exact"/>
        <w:rPr>
          <w:rFonts w:ascii="Times New Roman" w:eastAsia="Times New Roman" w:hAnsi="Times New Roman" w:cs="Times New Roman"/>
          <w:color w:val="000000"/>
          <w:szCs w:val="24"/>
        </w:rPr>
      </w:pPr>
      <w:r>
        <w:rPr>
          <w:rFonts w:ascii="Times New Roman" w:hAnsi="Times New Roman"/>
          <w:b/>
          <w:caps/>
          <w:color w:val="000000"/>
        </w:rPr>
        <w:t>IV.          COMMENTAIRES</w:t>
      </w:r>
      <w:r>
        <w:t xml:space="preserve"> </w:t>
      </w:r>
      <w:r>
        <w:rPr>
          <w:rFonts w:ascii="Times New Roman" w:hAnsi="Times New Roman"/>
          <w:color w:val="000000"/>
        </w:rPr>
        <w:t>(Précisez, le cas échéant, les informations ou les documents manquants)</w:t>
      </w:r>
      <w:r>
        <w:rPr>
          <w:rStyle w:val="FootnoteReference"/>
          <w:rFonts w:ascii="Times New Roman" w:hAnsi="Times New Roman"/>
          <w:color w:val="000000"/>
        </w:rPr>
        <w:footnoteReference w:id="56"/>
      </w:r>
    </w:p>
    <w:p w14:paraId="5F0A6FE9" w14:textId="77777777" w:rsidR="00832F98" w:rsidRPr="005107DF" w:rsidRDefault="00832F98" w:rsidP="00A92DE1">
      <w:pPr>
        <w:tabs>
          <w:tab w:val="left" w:pos="4820"/>
        </w:tabs>
        <w:spacing w:after="0" w:line="240" w:lineRule="exact"/>
        <w:ind w:left="851"/>
        <w:rPr>
          <w:rFonts w:ascii="Times New Roman" w:eastAsia="Times New Roman" w:hAnsi="Times New Roman" w:cs="Times New Roman"/>
          <w:color w:val="000000"/>
          <w:szCs w:val="24"/>
        </w:rPr>
      </w:pPr>
    </w:p>
    <w:p w14:paraId="2E74335C" w14:textId="77777777" w:rsidR="00832F98" w:rsidRPr="005107DF" w:rsidRDefault="00832F98">
      <w:pPr>
        <w:rPr>
          <w:rFonts w:ascii="Times New Roman" w:eastAsia="Times New Roman" w:hAnsi="Times New Roman" w:cs="Times New Roman"/>
          <w:szCs w:val="20"/>
        </w:rPr>
      </w:pPr>
      <w:r>
        <w:rPr>
          <w:rFonts w:ascii="Times New Roman" w:hAnsi="Times New Roman"/>
          <w:sz w:val="24"/>
        </w:rPr>
        <w:t xml:space="preserve">La proposition satisfait-elle aux critères administratifs et formels? </w:t>
      </w:r>
      <w:r>
        <w:tab/>
      </w:r>
      <w:r>
        <w:rPr>
          <w:rFonts w:ascii="Times New Roman" w:hAnsi="Times New Roman"/>
          <w:sz w:val="24"/>
        </w:rPr>
        <w:t>OUI </w:t>
      </w:r>
      <w:r>
        <w:rPr>
          <w:rFonts w:ascii="Times New Roman" w:eastAsia="Times New Roman" w:hAnsi="Times New Roman" w:cs="Times New Roman"/>
          <w:sz w:val="24"/>
          <w:szCs w:val="24"/>
        </w:rPr>
        <w:sym w:font="Wingdings" w:char="F06F"/>
      </w:r>
      <w:r>
        <w:tab/>
      </w:r>
      <w:r>
        <w:rPr>
          <w:rFonts w:ascii="Times New Roman" w:hAnsi="Times New Roman"/>
          <w:sz w:val="24"/>
        </w:rPr>
        <w:t xml:space="preserve">NON </w:t>
      </w:r>
      <w:r>
        <w:br w:type="page"/>
      </w:r>
    </w:p>
    <w:p w14:paraId="3AE3119C"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rFonts w:eastAsia="Times New Roman"/>
          <w:sz w:val="24"/>
          <w:szCs w:val="24"/>
        </w:rPr>
      </w:pPr>
      <w:bookmarkStart w:id="1485" w:name="_Toc442374573"/>
      <w:bookmarkStart w:id="1486" w:name="_Toc442375063"/>
      <w:bookmarkStart w:id="1487" w:name="_Toc443320385"/>
      <w:bookmarkStart w:id="1488" w:name="_Toc464460232"/>
      <w:bookmarkStart w:id="1489" w:name="_Toc476063580"/>
      <w:bookmarkStart w:id="1490" w:name="_Toc476068062"/>
      <w:bookmarkStart w:id="1491" w:name="_Toc517434484"/>
      <w:bookmarkStart w:id="1492" w:name="_Toc2861051"/>
      <w:r>
        <w:rPr>
          <w:sz w:val="32"/>
        </w:rPr>
        <w:lastRenderedPageBreak/>
        <w:t>ANNEXE C</w:t>
      </w:r>
      <w:r w:rsidRPr="00452C1A">
        <w:rPr>
          <w:sz w:val="32"/>
        </w:rPr>
        <w:t>7</w:t>
      </w:r>
      <w:r>
        <w:rPr>
          <w:sz w:val="32"/>
        </w:rPr>
        <w:t>: Grille d’évaluation pour la sélection des propositions de jumelage</w:t>
      </w:r>
      <w:bookmarkEnd w:id="1485"/>
      <w:bookmarkEnd w:id="1486"/>
      <w:bookmarkEnd w:id="1487"/>
      <w:bookmarkEnd w:id="1488"/>
      <w:bookmarkEnd w:id="1489"/>
      <w:bookmarkEnd w:id="1490"/>
      <w:bookmarkEnd w:id="1491"/>
      <w:bookmarkEnd w:id="1492"/>
    </w:p>
    <w:p w14:paraId="34276890" w14:textId="77777777" w:rsidR="00832F98" w:rsidRPr="005107DF" w:rsidRDefault="00832F98" w:rsidP="001A78F7">
      <w:pPr>
        <w:spacing w:after="0" w:line="240" w:lineRule="auto"/>
        <w:outlineLvl w:val="0"/>
        <w:rPr>
          <w:rFonts w:ascii="Times New Roman" w:eastAsia="Times New Roman" w:hAnsi="Times New Roman" w:cs="Times New Roman"/>
          <w:color w:val="000000"/>
          <w:sz w:val="24"/>
          <w:szCs w:val="24"/>
        </w:rPr>
      </w:pPr>
    </w:p>
    <w:p w14:paraId="66E31C73" w14:textId="77777777" w:rsidR="00832F98" w:rsidRPr="005107DF" w:rsidRDefault="00832F98" w:rsidP="007338F0">
      <w:pPr>
        <w:jc w:val="center"/>
        <w:rPr>
          <w:rFonts w:ascii="Times New Roman" w:hAnsi="Times New Roman" w:cs="Times New Roman"/>
          <w:b/>
          <w:u w:val="single"/>
        </w:rPr>
      </w:pPr>
      <w:bookmarkStart w:id="1493" w:name="_Toc442374576"/>
      <w:bookmarkStart w:id="1494" w:name="_Toc442375066"/>
      <w:bookmarkStart w:id="1495" w:name="_Toc443320388"/>
      <w:bookmarkStart w:id="1496" w:name="_Toc464460235"/>
      <w:bookmarkStart w:id="1497" w:name="_Toc476063582"/>
      <w:bookmarkStart w:id="1498" w:name="_Toc476068064"/>
      <w:r>
        <w:rPr>
          <w:rFonts w:ascii="Times New Roman" w:hAnsi="Times New Roman" w:cs="Times New Roman"/>
          <w:noProof/>
          <w:lang w:val="en-GB" w:eastAsia="en-GB" w:bidi="ar-SA"/>
        </w:rPr>
        <w:drawing>
          <wp:inline distT="0" distB="0" distL="0" distR="0" wp14:anchorId="08A0763B" wp14:editId="0EE45E93">
            <wp:extent cx="1000125" cy="657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bookmarkEnd w:id="1493"/>
      <w:bookmarkEnd w:id="1494"/>
      <w:bookmarkEnd w:id="1495"/>
      <w:bookmarkEnd w:id="1496"/>
      <w:bookmarkEnd w:id="1497"/>
      <w:bookmarkEnd w:id="1498"/>
    </w:p>
    <w:p w14:paraId="31C75433" w14:textId="77777777" w:rsidR="00832F98" w:rsidRPr="005107DF" w:rsidRDefault="00832F98" w:rsidP="001A78F7">
      <w:pPr>
        <w:spacing w:after="0" w:line="240" w:lineRule="auto"/>
        <w:jc w:val="center"/>
        <w:outlineLvl w:val="0"/>
        <w:rPr>
          <w:rFonts w:ascii="Times New Roman" w:eastAsia="Times New Roman" w:hAnsi="Times New Roman" w:cs="Times New Roman"/>
          <w:b/>
          <w:caps/>
          <w:color w:val="000000"/>
          <w:sz w:val="24"/>
          <w:szCs w:val="24"/>
        </w:rPr>
      </w:pPr>
    </w:p>
    <w:p w14:paraId="46F5FBFF" w14:textId="77777777" w:rsidR="00832F98" w:rsidRPr="005107DF" w:rsidRDefault="00832F98" w:rsidP="001A78F7">
      <w:pPr>
        <w:spacing w:after="0" w:line="240" w:lineRule="auto"/>
        <w:jc w:val="center"/>
        <w:rPr>
          <w:rFonts w:ascii="Times New Roman" w:eastAsia="Times New Roman" w:hAnsi="Times New Roman" w:cs="Times New Roman"/>
          <w:color w:val="000000"/>
          <w:sz w:val="18"/>
          <w:szCs w:val="24"/>
        </w:rPr>
      </w:pPr>
      <w:r>
        <w:rPr>
          <w:rFonts w:ascii="Times New Roman" w:hAnsi="Times New Roman"/>
          <w:b/>
          <w:i/>
          <w:color w:val="000000"/>
          <w:sz w:val="18"/>
        </w:rPr>
        <w:t>Cette grille d’évaluation couvre aussi bien la proposition écrite que la présentation orale</w:t>
      </w:r>
    </w:p>
    <w:p w14:paraId="65D14CD0" w14:textId="77777777" w:rsidR="00832F98" w:rsidRPr="005107DF" w:rsidRDefault="00832F98" w:rsidP="001A78F7">
      <w:pPr>
        <w:tabs>
          <w:tab w:val="left" w:pos="4820"/>
        </w:tabs>
        <w:spacing w:after="0" w:line="240" w:lineRule="exact"/>
        <w:rPr>
          <w:rFonts w:ascii="Times New Roman" w:eastAsia="Times New Roman" w:hAnsi="Times New Roman" w:cs="Times New Roman"/>
          <w:color w:val="000000"/>
          <w:sz w:val="24"/>
          <w:szCs w:val="24"/>
        </w:rPr>
      </w:pPr>
    </w:p>
    <w:p w14:paraId="297CA5F9" w14:textId="77777777" w:rsidR="00832F98" w:rsidRPr="005107DF" w:rsidRDefault="00832F98" w:rsidP="001A78F7">
      <w:pPr>
        <w:tabs>
          <w:tab w:val="left" w:pos="4820"/>
        </w:tabs>
        <w:spacing w:after="0" w:line="240" w:lineRule="exact"/>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DONNÉES D’IDENTIFICATION DU PROJET</w:t>
      </w:r>
    </w:p>
    <w:p w14:paraId="2DF81634" w14:textId="77777777" w:rsidR="00832F98" w:rsidRPr="005107DF" w:rsidRDefault="00832F98" w:rsidP="001A78F7">
      <w:pPr>
        <w:tabs>
          <w:tab w:val="left" w:pos="-284"/>
        </w:tabs>
        <w:spacing w:after="0" w:line="240" w:lineRule="exact"/>
        <w:rPr>
          <w:rFonts w:ascii="Times New Roman" w:eastAsia="Times New Roman" w:hAnsi="Times New Roman" w:cs="Times New Roman"/>
          <w:color w:val="000000"/>
          <w:sz w:val="24"/>
          <w:szCs w:val="24"/>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361"/>
        <w:gridCol w:w="4961"/>
      </w:tblGrid>
      <w:tr w:rsidR="00832F98" w:rsidRPr="005107DF" w14:paraId="40B7D64C" w14:textId="77777777" w:rsidTr="007338F0">
        <w:tc>
          <w:tcPr>
            <w:tcW w:w="4361" w:type="dxa"/>
          </w:tcPr>
          <w:p w14:paraId="21788D14"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Numéro de publication</w:t>
            </w:r>
          </w:p>
        </w:tc>
        <w:tc>
          <w:tcPr>
            <w:tcW w:w="4961" w:type="dxa"/>
          </w:tcPr>
          <w:p w14:paraId="28C8F6FB"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4C34682A" w14:textId="77777777" w:rsidTr="007338F0">
        <w:tc>
          <w:tcPr>
            <w:tcW w:w="4361" w:type="dxa"/>
          </w:tcPr>
          <w:p w14:paraId="67A4F6A7" w14:textId="77777777" w:rsidR="00832F98" w:rsidRPr="005107DF" w:rsidRDefault="00832F98">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Intitulé et numéro de la fiche de jumelage</w:t>
            </w:r>
          </w:p>
        </w:tc>
        <w:tc>
          <w:tcPr>
            <w:tcW w:w="4961" w:type="dxa"/>
          </w:tcPr>
          <w:p w14:paraId="3E9744BA"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7B5A7874" w14:textId="77777777" w:rsidTr="007338F0">
        <w:tc>
          <w:tcPr>
            <w:tcW w:w="4361" w:type="dxa"/>
          </w:tcPr>
          <w:p w14:paraId="118CEFDF"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Intitulé et numéro de la décision de financement</w:t>
            </w:r>
          </w:p>
        </w:tc>
        <w:tc>
          <w:tcPr>
            <w:tcW w:w="4961" w:type="dxa"/>
          </w:tcPr>
          <w:p w14:paraId="66DB04F7"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357DAF4B" w14:textId="77777777" w:rsidTr="007338F0">
        <w:tc>
          <w:tcPr>
            <w:tcW w:w="4361" w:type="dxa"/>
            <w:vAlign w:val="center"/>
          </w:tcPr>
          <w:p w14:paraId="58CBFC97" w14:textId="77777777" w:rsidR="00832F98" w:rsidRPr="005107DF" w:rsidRDefault="00832F98" w:rsidP="002C3E42">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Demandeur (État membre principal)</w:t>
            </w:r>
          </w:p>
        </w:tc>
        <w:tc>
          <w:tcPr>
            <w:tcW w:w="4961" w:type="dxa"/>
          </w:tcPr>
          <w:p w14:paraId="24A60FD6"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p w14:paraId="11BA5C90"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1FD7E279" w14:textId="77777777" w:rsidTr="007338F0">
        <w:tc>
          <w:tcPr>
            <w:tcW w:w="4361" w:type="dxa"/>
          </w:tcPr>
          <w:p w14:paraId="31BAA5D1" w14:textId="77777777" w:rsidR="00832F98" w:rsidRPr="005107DF" w:rsidRDefault="00832F98" w:rsidP="00162FB4">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Demandeur </w:t>
            </w:r>
            <w:r w:rsidRPr="00452C1A">
              <w:rPr>
                <w:rFonts w:ascii="Times New Roman" w:hAnsi="Times New Roman"/>
                <w:b/>
                <w:color w:val="000000"/>
                <w:sz w:val="24"/>
              </w:rPr>
              <w:t>2</w:t>
            </w:r>
            <w:r>
              <w:rPr>
                <w:rFonts w:ascii="Times New Roman" w:hAnsi="Times New Roman"/>
                <w:b/>
                <w:color w:val="000000"/>
                <w:sz w:val="24"/>
              </w:rPr>
              <w:t xml:space="preserve"> (État membre junior, </w:t>
            </w:r>
            <w:r>
              <w:rPr>
                <w:rFonts w:ascii="Times New Roman" w:hAnsi="Times New Roman"/>
                <w:b/>
                <w:i/>
                <w:color w:val="000000"/>
                <w:sz w:val="24"/>
              </w:rPr>
              <w:t>le cas échéant</w:t>
            </w:r>
            <w:r>
              <w:rPr>
                <w:rFonts w:ascii="Times New Roman" w:hAnsi="Times New Roman"/>
                <w:b/>
                <w:color w:val="000000"/>
                <w:sz w:val="24"/>
              </w:rPr>
              <w:t>)</w:t>
            </w:r>
          </w:p>
        </w:tc>
        <w:tc>
          <w:tcPr>
            <w:tcW w:w="4961" w:type="dxa"/>
          </w:tcPr>
          <w:p w14:paraId="60780709"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p w14:paraId="77B2C260"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1D55257C" w14:textId="77777777" w:rsidTr="007338F0">
        <w:tc>
          <w:tcPr>
            <w:tcW w:w="4361" w:type="dxa"/>
          </w:tcPr>
          <w:p w14:paraId="381810B4"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Demandeur </w:t>
            </w:r>
            <w:r w:rsidRPr="00452C1A">
              <w:rPr>
                <w:rFonts w:ascii="Times New Roman" w:hAnsi="Times New Roman"/>
                <w:b/>
                <w:color w:val="000000"/>
                <w:sz w:val="24"/>
              </w:rPr>
              <w:t>3</w:t>
            </w:r>
            <w:r>
              <w:rPr>
                <w:rFonts w:ascii="Times New Roman" w:hAnsi="Times New Roman"/>
                <w:b/>
                <w:color w:val="000000"/>
                <w:sz w:val="24"/>
              </w:rPr>
              <w:t xml:space="preserve"> (État membre junior, </w:t>
            </w:r>
            <w:r>
              <w:rPr>
                <w:rFonts w:ascii="Times New Roman" w:hAnsi="Times New Roman"/>
                <w:b/>
                <w:i/>
                <w:color w:val="000000"/>
                <w:sz w:val="24"/>
              </w:rPr>
              <w:t>le cas échéant</w:t>
            </w:r>
            <w:r>
              <w:rPr>
                <w:rFonts w:ascii="Times New Roman" w:hAnsi="Times New Roman"/>
                <w:b/>
                <w:color w:val="000000"/>
                <w:sz w:val="24"/>
              </w:rPr>
              <w:t>)</w:t>
            </w:r>
            <w:r>
              <w:rPr>
                <w:rStyle w:val="FootnoteReference"/>
                <w:rFonts w:ascii="Times New Roman" w:hAnsi="Times New Roman"/>
                <w:b/>
                <w:i/>
                <w:color w:val="000000"/>
                <w:sz w:val="24"/>
              </w:rPr>
              <w:footnoteReference w:id="57"/>
            </w:r>
          </w:p>
        </w:tc>
        <w:tc>
          <w:tcPr>
            <w:tcW w:w="4961" w:type="dxa"/>
          </w:tcPr>
          <w:p w14:paraId="0E458D94"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5D282D39" w14:textId="77777777" w:rsidTr="007338F0">
        <w:tc>
          <w:tcPr>
            <w:tcW w:w="4361" w:type="dxa"/>
          </w:tcPr>
          <w:p w14:paraId="668BBACB"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Durée</w:t>
            </w:r>
          </w:p>
        </w:tc>
        <w:tc>
          <w:tcPr>
            <w:tcW w:w="4961" w:type="dxa"/>
          </w:tcPr>
          <w:p w14:paraId="1989F928"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color w:val="000000"/>
                <w:sz w:val="24"/>
                <w:szCs w:val="24"/>
              </w:rPr>
            </w:pPr>
            <w:r>
              <w:rPr>
                <w:rFonts w:ascii="Times New Roman" w:hAnsi="Times New Roman"/>
                <w:color w:val="000000"/>
                <w:sz w:val="24"/>
              </w:rPr>
              <w:t>____________</w:t>
            </w:r>
            <w:r>
              <w:rPr>
                <w:rFonts w:ascii="Times New Roman" w:hAnsi="Times New Roman"/>
                <w:i/>
                <w:color w:val="000000"/>
                <w:sz w:val="24"/>
              </w:rPr>
              <w:t>Mois</w:t>
            </w:r>
          </w:p>
        </w:tc>
      </w:tr>
      <w:tr w:rsidR="00832F98" w:rsidRPr="005107DF" w14:paraId="56D38F78" w14:textId="77777777" w:rsidTr="007338F0">
        <w:tc>
          <w:tcPr>
            <w:tcW w:w="4361" w:type="dxa"/>
          </w:tcPr>
          <w:p w14:paraId="695BDEAA"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Budget total</w:t>
            </w:r>
          </w:p>
        </w:tc>
        <w:tc>
          <w:tcPr>
            <w:tcW w:w="4961" w:type="dxa"/>
          </w:tcPr>
          <w:p w14:paraId="0479FC60"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2834C443" w14:textId="77777777" w:rsidTr="007338F0">
        <w:tc>
          <w:tcPr>
            <w:tcW w:w="4361" w:type="dxa"/>
          </w:tcPr>
          <w:p w14:paraId="0D33C8F6"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Date de la réunion de sélection</w:t>
            </w:r>
          </w:p>
        </w:tc>
        <w:tc>
          <w:tcPr>
            <w:tcW w:w="4961" w:type="dxa"/>
          </w:tcPr>
          <w:p w14:paraId="16B13B18"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bl>
    <w:p w14:paraId="0B5A0F31"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19057DE8" w14:textId="77777777" w:rsidR="00832F98" w:rsidRPr="005107DF" w:rsidRDefault="00832F98" w:rsidP="005300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Le comité de sélection notera que la FICHE DE SÉLECTION DANS SON INTÉGRALITÉ sera transmise au point de contact national par l’intermédiaire duquel la proposition a été soumise.</w:t>
      </w:r>
    </w:p>
    <w:p w14:paraId="02BBDC1E"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7BF80C2A"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u w:val="single"/>
        </w:rPr>
        <w:t>CRITÈRES FORMELS</w:t>
      </w:r>
      <w:r>
        <w:rPr>
          <w:rFonts w:ascii="Times New Roman" w:hAnsi="Times New Roman"/>
          <w:b/>
          <w:color w:val="000000"/>
          <w:sz w:val="24"/>
        </w:rPr>
        <w:t xml:space="preserve"> </w:t>
      </w:r>
      <w:r>
        <w:rPr>
          <w:rFonts w:ascii="Times New Roman" w:hAnsi="Times New Roman"/>
          <w:b/>
          <w:color w:val="000000"/>
          <w:sz w:val="20"/>
        </w:rPr>
        <w:t>(</w:t>
      </w:r>
      <w:r>
        <w:rPr>
          <w:rFonts w:ascii="Times New Roman" w:hAnsi="Times New Roman"/>
          <w:i/>
          <w:color w:val="000000"/>
          <w:sz w:val="20"/>
        </w:rPr>
        <w:t>à vérifier avant les réunions de sélection</w:t>
      </w:r>
      <w:r>
        <w:rPr>
          <w:rFonts w:ascii="Times New Roman" w:hAnsi="Times New Roman"/>
          <w:i/>
          <w:color w:val="000000"/>
          <w:sz w:val="18"/>
        </w:rPr>
        <w:t>)</w:t>
      </w:r>
    </w:p>
    <w:p w14:paraId="75F799F9"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204"/>
        <w:gridCol w:w="3118"/>
      </w:tblGrid>
      <w:tr w:rsidR="00832F98" w:rsidRPr="005107DF" w14:paraId="19E528B7" w14:textId="77777777" w:rsidTr="007338F0">
        <w:tc>
          <w:tcPr>
            <w:tcW w:w="6204" w:type="dxa"/>
            <w:vAlign w:val="center"/>
          </w:tcPr>
          <w:p w14:paraId="36DAD9D2" w14:textId="77777777" w:rsidR="00832F98" w:rsidRPr="005107DF" w:rsidRDefault="00832F98" w:rsidP="00D76EF0">
            <w:pPr>
              <w:tabs>
                <w:tab w:val="left" w:pos="4820"/>
              </w:tabs>
              <w:spacing w:before="80" w:after="80" w:line="240" w:lineRule="exact"/>
              <w:rPr>
                <w:rFonts w:ascii="Times New Roman" w:eastAsia="Times New Roman" w:hAnsi="Times New Roman" w:cs="Times New Roman"/>
                <w:color w:val="000000"/>
                <w:sz w:val="24"/>
                <w:szCs w:val="24"/>
              </w:rPr>
            </w:pPr>
            <w:r>
              <w:rPr>
                <w:rFonts w:ascii="Times New Roman" w:hAnsi="Times New Roman"/>
                <w:color w:val="000000"/>
                <w:sz w:val="24"/>
              </w:rPr>
              <w:t>Les institutions proposées par l’État membre sont-elles des administrations publiques et/ou sont-elles enregistrées en tant qu’organismes mandatés?</w:t>
            </w:r>
          </w:p>
        </w:tc>
        <w:tc>
          <w:tcPr>
            <w:tcW w:w="3118" w:type="dxa"/>
          </w:tcPr>
          <w:p w14:paraId="04E32A94"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400C3A9D" w14:textId="77777777" w:rsidTr="007338F0">
        <w:tc>
          <w:tcPr>
            <w:tcW w:w="6204" w:type="dxa"/>
          </w:tcPr>
          <w:p w14:paraId="0757A9C2" w14:textId="77777777" w:rsidR="00832F98" w:rsidRPr="005107DF" w:rsidRDefault="00832F98" w:rsidP="00162FB4">
            <w:pPr>
              <w:tabs>
                <w:tab w:val="left" w:pos="4820"/>
              </w:tabs>
              <w:spacing w:before="80" w:after="80" w:line="240" w:lineRule="exact"/>
              <w:rPr>
                <w:rFonts w:ascii="Times New Roman" w:eastAsia="Times New Roman" w:hAnsi="Times New Roman" w:cs="Times New Roman"/>
                <w:color w:val="000000"/>
                <w:sz w:val="24"/>
                <w:szCs w:val="24"/>
              </w:rPr>
            </w:pPr>
            <w:r>
              <w:rPr>
                <w:rFonts w:ascii="Times New Roman" w:hAnsi="Times New Roman"/>
                <w:color w:val="000000"/>
                <w:sz w:val="24"/>
              </w:rPr>
              <w:t>La proposition inclut-elle les CV du chef de projet, du CRJ et des responsables de volets?</w:t>
            </w:r>
          </w:p>
        </w:tc>
        <w:tc>
          <w:tcPr>
            <w:tcW w:w="3118" w:type="dxa"/>
          </w:tcPr>
          <w:p w14:paraId="49183092"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2FF6A494" w14:textId="77777777" w:rsidTr="007338F0">
        <w:tc>
          <w:tcPr>
            <w:tcW w:w="6204" w:type="dxa"/>
          </w:tcPr>
          <w:p w14:paraId="30317041"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r>
              <w:rPr>
                <w:rFonts w:ascii="Times New Roman" w:hAnsi="Times New Roman"/>
                <w:color w:val="000000"/>
                <w:sz w:val="24"/>
              </w:rPr>
              <w:t>Le CP et le CRJ remplissent-ils les conditions minimales?</w:t>
            </w:r>
          </w:p>
        </w:tc>
        <w:tc>
          <w:tcPr>
            <w:tcW w:w="3118" w:type="dxa"/>
          </w:tcPr>
          <w:p w14:paraId="73AC3192"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36517C70" w14:textId="77777777" w:rsidTr="007338F0">
        <w:tc>
          <w:tcPr>
            <w:tcW w:w="6204" w:type="dxa"/>
          </w:tcPr>
          <w:p w14:paraId="24148308"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r>
              <w:rPr>
                <w:rFonts w:ascii="Times New Roman" w:hAnsi="Times New Roman"/>
                <w:color w:val="000000"/>
                <w:sz w:val="24"/>
              </w:rPr>
              <w:t xml:space="preserve">La proposition indique-t-elle les coordonnées complètes d’une personne de contact pour l’État membre principal? </w:t>
            </w:r>
          </w:p>
        </w:tc>
        <w:tc>
          <w:tcPr>
            <w:tcW w:w="3118" w:type="dxa"/>
          </w:tcPr>
          <w:p w14:paraId="41F38566"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bl>
    <w:p w14:paraId="6F1F9B1E"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2A8EC436"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 xml:space="preserve">La proposition de l’État membre satisfait-elle aux critères formels? </w:t>
      </w:r>
      <w:r>
        <w:tab/>
      </w:r>
      <w:r>
        <w:rPr>
          <w:rFonts w:ascii="Times New Roman" w:hAnsi="Times New Roman"/>
          <w:b/>
          <w:color w:val="000000"/>
          <w:sz w:val="24"/>
        </w:rPr>
        <w:t>OUI </w:t>
      </w:r>
      <w:r>
        <w:rPr>
          <w:rFonts w:ascii="Times New Roman" w:eastAsia="Times New Roman" w:hAnsi="Times New Roman" w:cs="Times New Roman"/>
          <w:b/>
          <w:color w:val="000000"/>
          <w:sz w:val="24"/>
          <w:szCs w:val="24"/>
        </w:rPr>
        <w:sym w:font="Wingdings" w:char="F06F"/>
      </w:r>
      <w:r>
        <w:tab/>
      </w:r>
      <w:r>
        <w:tab/>
      </w:r>
      <w:r>
        <w:rPr>
          <w:rFonts w:ascii="Times New Roman" w:hAnsi="Times New Roman"/>
          <w:b/>
          <w:color w:val="000000"/>
          <w:sz w:val="24"/>
        </w:rPr>
        <w:t>NON </w:t>
      </w:r>
      <w:r>
        <w:rPr>
          <w:rFonts w:ascii="Times New Roman" w:eastAsia="Times New Roman" w:hAnsi="Times New Roman" w:cs="Times New Roman"/>
          <w:b/>
          <w:color w:val="000000"/>
          <w:sz w:val="24"/>
          <w:szCs w:val="24"/>
        </w:rPr>
        <w:sym w:font="Wingdings" w:char="F06F"/>
      </w:r>
    </w:p>
    <w:p w14:paraId="420A1E43" w14:textId="77777777" w:rsidR="00832F98" w:rsidRPr="005107DF" w:rsidRDefault="00832F98" w:rsidP="001A78F7">
      <w:pPr>
        <w:pBdr>
          <w:top w:val="single" w:sz="4" w:space="1" w:color="auto"/>
        </w:pBdr>
        <w:spacing w:after="120" w:line="240" w:lineRule="auto"/>
        <w:rPr>
          <w:rFonts w:ascii="Times New Roman" w:eastAsia="Times New Roman" w:hAnsi="Times New Roman" w:cs="Times New Roman"/>
          <w:b/>
          <w:color w:val="000000"/>
          <w:sz w:val="24"/>
          <w:szCs w:val="24"/>
        </w:rPr>
      </w:pPr>
    </w:p>
    <w:p w14:paraId="0E56A13D" w14:textId="401E3D10" w:rsidR="00832F98" w:rsidRPr="005107DF" w:rsidRDefault="00832F98" w:rsidP="00434C10">
      <w:pPr>
        <w:rPr>
          <w:rFonts w:ascii="Times New Roman" w:eastAsia="Times New Roman" w:hAnsi="Times New Roman" w:cs="Times New Roman"/>
          <w:b/>
          <w:color w:val="000000"/>
          <w:sz w:val="24"/>
          <w:szCs w:val="24"/>
          <w:u w:val="single"/>
        </w:rPr>
      </w:pPr>
      <w:r>
        <w:br w:type="page"/>
      </w:r>
      <w:r>
        <w:rPr>
          <w:rFonts w:ascii="Times New Roman" w:hAnsi="Times New Roman"/>
          <w:b/>
          <w:color w:val="000000"/>
          <w:sz w:val="24"/>
          <w:u w:val="single"/>
        </w:rPr>
        <w:lastRenderedPageBreak/>
        <w:t>GRILLE D’ÉVALUATION – CRITÈRES SUBSTANTIELS</w:t>
      </w:r>
    </w:p>
    <w:p w14:paraId="2C744B6C"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Lignes directrices pour la notation</w:t>
      </w:r>
    </w:p>
    <w:p w14:paraId="047E32CC"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786F774D"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La présente grille d’évaluation se subdivise en </w:t>
      </w:r>
      <w:r>
        <w:rPr>
          <w:rFonts w:ascii="Times New Roman" w:hAnsi="Times New Roman"/>
          <w:b/>
          <w:color w:val="000000"/>
          <w:sz w:val="24"/>
        </w:rPr>
        <w:t>rubriques</w:t>
      </w:r>
      <w:r>
        <w:rPr>
          <w:rFonts w:ascii="Times New Roman" w:hAnsi="Times New Roman"/>
          <w:color w:val="000000"/>
          <w:sz w:val="24"/>
        </w:rPr>
        <w:t xml:space="preserve"> et </w:t>
      </w:r>
      <w:r>
        <w:rPr>
          <w:rFonts w:ascii="Times New Roman" w:hAnsi="Times New Roman"/>
          <w:b/>
          <w:color w:val="000000"/>
          <w:sz w:val="24"/>
        </w:rPr>
        <w:t>sous-rubriques</w:t>
      </w:r>
      <w:r>
        <w:rPr>
          <w:rFonts w:ascii="Times New Roman" w:hAnsi="Times New Roman"/>
          <w:color w:val="000000"/>
          <w:sz w:val="24"/>
        </w:rPr>
        <w:t xml:space="preserve">. Pour chaque sous-rubrique, une note comprise entre </w:t>
      </w:r>
      <w:r w:rsidRPr="00452C1A">
        <w:rPr>
          <w:rFonts w:ascii="Times New Roman" w:hAnsi="Times New Roman"/>
          <w:color w:val="000000"/>
          <w:sz w:val="24"/>
        </w:rPr>
        <w:t>1</w:t>
      </w:r>
      <w:r>
        <w:rPr>
          <w:rFonts w:ascii="Times New Roman" w:hAnsi="Times New Roman"/>
          <w:color w:val="000000"/>
          <w:sz w:val="24"/>
        </w:rPr>
        <w:t xml:space="preserve"> et </w:t>
      </w:r>
      <w:r w:rsidRPr="00452C1A">
        <w:rPr>
          <w:rFonts w:ascii="Times New Roman" w:hAnsi="Times New Roman"/>
          <w:color w:val="000000"/>
          <w:sz w:val="24"/>
        </w:rPr>
        <w:t>5</w:t>
      </w:r>
      <w:r>
        <w:rPr>
          <w:rFonts w:ascii="Times New Roman" w:hAnsi="Times New Roman"/>
          <w:color w:val="000000"/>
          <w:sz w:val="24"/>
        </w:rPr>
        <w:t xml:space="preserve"> est attribuée, conformément à l’échelle d’appréciation ci-dessous:</w:t>
      </w:r>
    </w:p>
    <w:p w14:paraId="6740B1D7"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tblGrid>
      <w:tr w:rsidR="00832F98" w:rsidRPr="005107DF" w14:paraId="2FF0D30F" w14:textId="77777777" w:rsidTr="0013042C">
        <w:trPr>
          <w:trHeight w:val="249"/>
          <w:jc w:val="center"/>
        </w:trPr>
        <w:tc>
          <w:tcPr>
            <w:tcW w:w="993" w:type="dxa"/>
            <w:shd w:val="pct10" w:color="auto" w:fill="FFFFFF"/>
          </w:tcPr>
          <w:p w14:paraId="37F38276"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Pr>
                <w:rFonts w:ascii="Times New Roman" w:hAnsi="Times New Roman"/>
                <w:color w:val="000000"/>
              </w:rPr>
              <w:t>Note</w:t>
            </w:r>
          </w:p>
        </w:tc>
        <w:tc>
          <w:tcPr>
            <w:tcW w:w="1701" w:type="dxa"/>
            <w:shd w:val="pct10" w:color="auto" w:fill="FFFFFF"/>
          </w:tcPr>
          <w:p w14:paraId="13E0BE4A"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Pr>
                <w:rFonts w:ascii="Times New Roman" w:hAnsi="Times New Roman"/>
                <w:color w:val="000000"/>
              </w:rPr>
              <w:t>Signification</w:t>
            </w:r>
          </w:p>
        </w:tc>
      </w:tr>
      <w:tr w:rsidR="00832F98" w:rsidRPr="005107DF" w14:paraId="6B3874B2" w14:textId="77777777" w:rsidTr="0013042C">
        <w:trPr>
          <w:trHeight w:val="249"/>
          <w:jc w:val="center"/>
        </w:trPr>
        <w:tc>
          <w:tcPr>
            <w:tcW w:w="993" w:type="dxa"/>
          </w:tcPr>
          <w:p w14:paraId="44DDA670"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sidRPr="00452C1A">
              <w:rPr>
                <w:rFonts w:ascii="Times New Roman" w:hAnsi="Times New Roman"/>
                <w:color w:val="000000"/>
              </w:rPr>
              <w:t>1</w:t>
            </w:r>
          </w:p>
        </w:tc>
        <w:tc>
          <w:tcPr>
            <w:tcW w:w="1701" w:type="dxa"/>
          </w:tcPr>
          <w:p w14:paraId="0646F52D"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Pr>
                <w:rFonts w:ascii="Times New Roman" w:hAnsi="Times New Roman"/>
                <w:color w:val="000000"/>
              </w:rPr>
              <w:t>très insuffisant</w:t>
            </w:r>
          </w:p>
        </w:tc>
      </w:tr>
      <w:tr w:rsidR="00832F98" w:rsidRPr="005107DF" w14:paraId="625C06BC" w14:textId="77777777" w:rsidTr="0013042C">
        <w:trPr>
          <w:trHeight w:val="249"/>
          <w:jc w:val="center"/>
        </w:trPr>
        <w:tc>
          <w:tcPr>
            <w:tcW w:w="993" w:type="dxa"/>
          </w:tcPr>
          <w:p w14:paraId="6FE1B717"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sidRPr="00452C1A">
              <w:rPr>
                <w:rFonts w:ascii="Times New Roman" w:hAnsi="Times New Roman"/>
                <w:color w:val="000000"/>
              </w:rPr>
              <w:t>2</w:t>
            </w:r>
          </w:p>
        </w:tc>
        <w:tc>
          <w:tcPr>
            <w:tcW w:w="1701" w:type="dxa"/>
          </w:tcPr>
          <w:p w14:paraId="4139D2E2"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Pr>
                <w:rFonts w:ascii="Times New Roman" w:hAnsi="Times New Roman"/>
                <w:color w:val="000000"/>
              </w:rPr>
              <w:t>médiocre</w:t>
            </w:r>
          </w:p>
        </w:tc>
      </w:tr>
      <w:tr w:rsidR="00832F98" w:rsidRPr="005107DF" w14:paraId="5C349A5C" w14:textId="77777777" w:rsidTr="0013042C">
        <w:trPr>
          <w:trHeight w:val="249"/>
          <w:jc w:val="center"/>
        </w:trPr>
        <w:tc>
          <w:tcPr>
            <w:tcW w:w="993" w:type="dxa"/>
          </w:tcPr>
          <w:p w14:paraId="7F7B43F1"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sidRPr="00452C1A">
              <w:rPr>
                <w:rFonts w:ascii="Times New Roman" w:hAnsi="Times New Roman"/>
                <w:color w:val="000000"/>
              </w:rPr>
              <w:t>3</w:t>
            </w:r>
          </w:p>
        </w:tc>
        <w:tc>
          <w:tcPr>
            <w:tcW w:w="1701" w:type="dxa"/>
          </w:tcPr>
          <w:p w14:paraId="36EA791A"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Pr>
                <w:rFonts w:ascii="Times New Roman" w:hAnsi="Times New Roman"/>
                <w:color w:val="000000"/>
              </w:rPr>
              <w:t>moyen</w:t>
            </w:r>
          </w:p>
        </w:tc>
      </w:tr>
      <w:tr w:rsidR="00832F98" w:rsidRPr="005107DF" w14:paraId="5F1462DE" w14:textId="77777777" w:rsidTr="0013042C">
        <w:trPr>
          <w:trHeight w:val="249"/>
          <w:jc w:val="center"/>
        </w:trPr>
        <w:tc>
          <w:tcPr>
            <w:tcW w:w="993" w:type="dxa"/>
          </w:tcPr>
          <w:p w14:paraId="691292F0"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sidRPr="00452C1A">
              <w:rPr>
                <w:rFonts w:ascii="Times New Roman" w:hAnsi="Times New Roman"/>
                <w:color w:val="000000"/>
              </w:rPr>
              <w:t>4</w:t>
            </w:r>
          </w:p>
        </w:tc>
        <w:tc>
          <w:tcPr>
            <w:tcW w:w="1701" w:type="dxa"/>
          </w:tcPr>
          <w:p w14:paraId="089BE106"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Pr>
                <w:rFonts w:ascii="Times New Roman" w:hAnsi="Times New Roman"/>
                <w:color w:val="000000"/>
              </w:rPr>
              <w:t>bon</w:t>
            </w:r>
          </w:p>
        </w:tc>
      </w:tr>
      <w:tr w:rsidR="00832F98" w:rsidRPr="005107DF" w14:paraId="7B553DEE" w14:textId="77777777" w:rsidTr="0013042C">
        <w:trPr>
          <w:trHeight w:val="249"/>
          <w:jc w:val="center"/>
        </w:trPr>
        <w:tc>
          <w:tcPr>
            <w:tcW w:w="993" w:type="dxa"/>
          </w:tcPr>
          <w:p w14:paraId="2C21C7A0"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sidRPr="00452C1A">
              <w:rPr>
                <w:rFonts w:ascii="Times New Roman" w:hAnsi="Times New Roman"/>
                <w:color w:val="000000"/>
              </w:rPr>
              <w:t>5</w:t>
            </w:r>
          </w:p>
        </w:tc>
        <w:tc>
          <w:tcPr>
            <w:tcW w:w="1701" w:type="dxa"/>
          </w:tcPr>
          <w:p w14:paraId="26F40AF6"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Pr>
                <w:rFonts w:ascii="Times New Roman" w:hAnsi="Times New Roman"/>
                <w:color w:val="000000"/>
              </w:rPr>
              <w:t>très bon</w:t>
            </w:r>
          </w:p>
        </w:tc>
      </w:tr>
    </w:tbl>
    <w:p w14:paraId="1035C701"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7A20286F"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Ces notes doivent être additionnées pour obtenir la note totale de la rubrique en question. Les notes totales de chaque rubrique doivent être reportées dans la rubrique </w:t>
      </w:r>
      <w:r w:rsidRPr="00452C1A">
        <w:rPr>
          <w:rFonts w:ascii="Times New Roman" w:hAnsi="Times New Roman"/>
          <w:color w:val="000000"/>
          <w:sz w:val="24"/>
        </w:rPr>
        <w:t>4</w:t>
      </w:r>
      <w:r>
        <w:rPr>
          <w:rFonts w:ascii="Times New Roman" w:hAnsi="Times New Roman"/>
          <w:color w:val="000000"/>
          <w:sz w:val="24"/>
        </w:rPr>
        <w:t xml:space="preserve"> et additionnées pour obtenir la note globale pour la proposition évaluée.</w:t>
      </w:r>
    </w:p>
    <w:p w14:paraId="3EBC1792"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4"/>
        <w:gridCol w:w="1222"/>
      </w:tblGrid>
      <w:tr w:rsidR="00832F98" w:rsidRPr="005107DF" w14:paraId="3AAAEE3F" w14:textId="77777777" w:rsidTr="005300AD">
        <w:tc>
          <w:tcPr>
            <w:tcW w:w="4338" w:type="pct"/>
            <w:shd w:val="pct10" w:color="auto" w:fill="FFFFFF"/>
          </w:tcPr>
          <w:p w14:paraId="50E10F95" w14:textId="77777777" w:rsidR="00832F98" w:rsidRPr="005107DF" w:rsidRDefault="00832F98" w:rsidP="001A78F7">
            <w:pPr>
              <w:spacing w:after="0" w:line="240" w:lineRule="auto"/>
              <w:rPr>
                <w:rFonts w:ascii="Times New Roman" w:eastAsia="Times New Roman" w:hAnsi="Times New Roman" w:cs="Times New Roman"/>
                <w:b/>
                <w:color w:val="000000"/>
                <w:sz w:val="28"/>
                <w:szCs w:val="28"/>
                <w:u w:val="single"/>
              </w:rPr>
            </w:pPr>
            <w:r w:rsidRPr="00452C1A">
              <w:rPr>
                <w:rFonts w:ascii="Times New Roman" w:hAnsi="Times New Roman"/>
                <w:b/>
                <w:color w:val="000000"/>
                <w:sz w:val="28"/>
                <w:u w:val="single"/>
              </w:rPr>
              <w:t>1</w:t>
            </w:r>
            <w:r>
              <w:rPr>
                <w:rFonts w:ascii="Times New Roman" w:hAnsi="Times New Roman"/>
                <w:b/>
                <w:color w:val="000000"/>
                <w:sz w:val="28"/>
                <w:u w:val="single"/>
              </w:rPr>
              <w:t>. Capacité opérationnelle</w:t>
            </w:r>
          </w:p>
          <w:p w14:paraId="651FB546"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0C7A18B9"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r>
              <w:rPr>
                <w:rFonts w:ascii="Times New Roman" w:hAnsi="Times New Roman"/>
                <w:b/>
                <w:color w:val="000000"/>
                <w:sz w:val="24"/>
              </w:rPr>
              <w:t>A. Conseiller résident de jumelage et chef de projet</w:t>
            </w:r>
          </w:p>
        </w:tc>
        <w:tc>
          <w:tcPr>
            <w:tcW w:w="662" w:type="pct"/>
            <w:shd w:val="pct10" w:color="auto" w:fill="FFFFFF"/>
          </w:tcPr>
          <w:p w14:paraId="43131FF6"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4FBE0765"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Note</w:t>
            </w:r>
          </w:p>
          <w:p w14:paraId="482E7E2A" w14:textId="77777777" w:rsidR="00832F98" w:rsidRPr="005107DF" w:rsidRDefault="00832F98" w:rsidP="001A78F7">
            <w:pPr>
              <w:spacing w:after="0" w:line="240" w:lineRule="auto"/>
              <w:jc w:val="center"/>
              <w:rPr>
                <w:rFonts w:ascii="Times New Roman" w:eastAsia="Times New Roman" w:hAnsi="Times New Roman" w:cs="Times New Roman"/>
                <w:color w:val="000000"/>
                <w:sz w:val="24"/>
                <w:szCs w:val="24"/>
              </w:rPr>
            </w:pPr>
          </w:p>
        </w:tc>
      </w:tr>
      <w:tr w:rsidR="00832F98" w:rsidRPr="005107DF" w14:paraId="35AD5B38" w14:textId="77777777" w:rsidTr="005300AD">
        <w:tc>
          <w:tcPr>
            <w:tcW w:w="4338" w:type="pct"/>
          </w:tcPr>
          <w:p w14:paraId="4A82AA52"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11CCF7EA"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r w:rsidRPr="00452C1A">
              <w:rPr>
                <w:rFonts w:ascii="Times New Roman" w:hAnsi="Times New Roman"/>
                <w:color w:val="000000"/>
                <w:sz w:val="24"/>
              </w:rPr>
              <w:t>1</w:t>
            </w:r>
            <w:r>
              <w:rPr>
                <w:rFonts w:ascii="Times New Roman" w:hAnsi="Times New Roman"/>
                <w:color w:val="000000"/>
                <w:sz w:val="24"/>
              </w:rPr>
              <w:t>.</w:t>
            </w:r>
            <w:r w:rsidRPr="00452C1A">
              <w:rPr>
                <w:rFonts w:ascii="Times New Roman" w:hAnsi="Times New Roman"/>
                <w:color w:val="000000"/>
                <w:sz w:val="24"/>
              </w:rPr>
              <w:t>1</w:t>
            </w:r>
            <w:r>
              <w:tab/>
            </w:r>
            <w:r>
              <w:rPr>
                <w:rFonts w:ascii="Times New Roman" w:hAnsi="Times New Roman"/>
                <w:color w:val="000000"/>
                <w:sz w:val="24"/>
              </w:rPr>
              <w:t>Dans quelle mesure l’expertise du CRJ proposé est-elle appropriée par rapport à la tâche prévue (connaissance des questions à résoudre et expérience dans la mise en œuvre de l’acquis de l’Union/du domaine de coopération à la réforme concerné)?</w:t>
            </w:r>
          </w:p>
          <w:p w14:paraId="7F4F839A"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c>
          <w:tcPr>
            <w:tcW w:w="662" w:type="pct"/>
          </w:tcPr>
          <w:p w14:paraId="2878A29C"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3702F14C"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06EFB40C"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34DAF61E"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4F20BADC"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2</w:t>
            </w:r>
            <w:r>
              <w:rPr>
                <w:rFonts w:ascii="Times New Roman" w:hAnsi="Times New Roman"/>
                <w:color w:val="000000"/>
                <w:sz w:val="24"/>
              </w:rPr>
              <w:t xml:space="preserve"> x </w:t>
            </w:r>
            <w:r w:rsidRPr="00452C1A">
              <w:rPr>
                <w:rFonts w:ascii="Times New Roman" w:hAnsi="Times New Roman"/>
                <w:color w:val="000000"/>
                <w:sz w:val="24"/>
              </w:rPr>
              <w:t>5</w:t>
            </w:r>
          </w:p>
        </w:tc>
      </w:tr>
      <w:tr w:rsidR="00832F98" w:rsidRPr="005107DF" w14:paraId="7277883E" w14:textId="77777777" w:rsidTr="005300AD">
        <w:trPr>
          <w:trHeight w:val="1136"/>
        </w:trPr>
        <w:tc>
          <w:tcPr>
            <w:tcW w:w="4338" w:type="pct"/>
          </w:tcPr>
          <w:p w14:paraId="56915041"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1FC0B072"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r w:rsidRPr="00452C1A">
              <w:rPr>
                <w:rFonts w:ascii="Times New Roman" w:hAnsi="Times New Roman"/>
                <w:color w:val="000000"/>
                <w:sz w:val="24"/>
              </w:rPr>
              <w:t>1</w:t>
            </w:r>
            <w:r>
              <w:rPr>
                <w:rFonts w:ascii="Times New Roman" w:hAnsi="Times New Roman"/>
                <w:color w:val="000000"/>
                <w:sz w:val="24"/>
              </w:rPr>
              <w:t>.</w:t>
            </w:r>
            <w:r w:rsidRPr="00452C1A">
              <w:rPr>
                <w:rFonts w:ascii="Times New Roman" w:hAnsi="Times New Roman"/>
                <w:color w:val="000000"/>
                <w:sz w:val="24"/>
              </w:rPr>
              <w:t>2</w:t>
            </w:r>
            <w:r>
              <w:tab/>
            </w:r>
            <w:r>
              <w:rPr>
                <w:rFonts w:ascii="Times New Roman" w:hAnsi="Times New Roman"/>
                <w:color w:val="000000"/>
                <w:sz w:val="24"/>
              </w:rPr>
              <w:t>Dans quelle mesure l’expérience et la capacité du chef de projet proposé pour l'UE et de l’administration dont il relève dans le domaine de la gestion est-elle satisfaisante (y compris le personnel et son aptitude à gérer le budget du projet)?</w:t>
            </w:r>
          </w:p>
        </w:tc>
        <w:tc>
          <w:tcPr>
            <w:tcW w:w="662" w:type="pct"/>
          </w:tcPr>
          <w:p w14:paraId="3E3DCF4B"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64464DD4"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7824B932"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33E1A4AE"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1200D569" w14:textId="77777777" w:rsidTr="00434C10">
        <w:trPr>
          <w:trHeight w:val="1517"/>
        </w:trPr>
        <w:tc>
          <w:tcPr>
            <w:tcW w:w="4338" w:type="pct"/>
          </w:tcPr>
          <w:p w14:paraId="6EB294FA"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p>
          <w:p w14:paraId="540A2EBC"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r w:rsidRPr="00452C1A">
              <w:rPr>
                <w:rFonts w:ascii="Times New Roman" w:hAnsi="Times New Roman"/>
                <w:color w:val="000000"/>
                <w:sz w:val="24"/>
              </w:rPr>
              <w:t>1</w:t>
            </w:r>
            <w:r>
              <w:rPr>
                <w:rFonts w:ascii="Times New Roman" w:hAnsi="Times New Roman"/>
                <w:color w:val="000000"/>
                <w:sz w:val="24"/>
              </w:rPr>
              <w:t>.</w:t>
            </w:r>
            <w:r w:rsidRPr="00452C1A">
              <w:rPr>
                <w:rFonts w:ascii="Times New Roman" w:hAnsi="Times New Roman"/>
                <w:color w:val="000000"/>
                <w:sz w:val="24"/>
              </w:rPr>
              <w:t>3</w:t>
            </w:r>
            <w:r>
              <w:tab/>
            </w:r>
            <w:r>
              <w:rPr>
                <w:rFonts w:ascii="Times New Roman" w:hAnsi="Times New Roman"/>
                <w:color w:val="000000"/>
                <w:sz w:val="24"/>
              </w:rPr>
              <w:t>Le conseiller résident de jumelage possède-t-il une expérience antérieure satisfaisante en matière de gestion et de coordination de projets? Son éventuel manque d’expérience (bien que celle-ci réponde à l’exigence minimale) pourrait-il être compensé par les autres membres de l’équipe?</w:t>
            </w:r>
          </w:p>
          <w:p w14:paraId="25AFBC23"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c>
          <w:tcPr>
            <w:tcW w:w="662" w:type="pct"/>
          </w:tcPr>
          <w:p w14:paraId="61D15C63"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37D21B5B"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12704049"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775EFC45"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479C9DF5" w14:textId="77777777" w:rsidTr="00434C10">
        <w:trPr>
          <w:trHeight w:val="1130"/>
        </w:trPr>
        <w:tc>
          <w:tcPr>
            <w:tcW w:w="4338" w:type="pct"/>
          </w:tcPr>
          <w:p w14:paraId="4507D7D0"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58EF2904"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1</w:t>
            </w:r>
            <w:r>
              <w:rPr>
                <w:rFonts w:ascii="Times New Roman" w:hAnsi="Times New Roman"/>
                <w:color w:val="000000"/>
                <w:sz w:val="24"/>
              </w:rPr>
              <w:t>.</w:t>
            </w:r>
            <w:r w:rsidRPr="00452C1A">
              <w:rPr>
                <w:rFonts w:ascii="Times New Roman" w:hAnsi="Times New Roman"/>
                <w:color w:val="000000"/>
                <w:sz w:val="24"/>
              </w:rPr>
              <w:t>4</w:t>
            </w:r>
            <w:r>
              <w:rPr>
                <w:rFonts w:ascii="Times New Roman" w:hAnsi="Times New Roman"/>
                <w:color w:val="000000"/>
                <w:sz w:val="24"/>
              </w:rPr>
              <w:t xml:space="preserve"> Le chef de projet et l’administration dont il relève possèdent-t-ils une expérience antérieure</w:t>
            </w:r>
          </w:p>
          <w:p w14:paraId="6A057237"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      satisfaisante en matière de gestion de projets?</w:t>
            </w:r>
          </w:p>
          <w:p w14:paraId="6DFB9A2B"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c>
          <w:tcPr>
            <w:tcW w:w="662" w:type="pct"/>
          </w:tcPr>
          <w:p w14:paraId="68565CEE"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5437F34C"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017D867A" w14:textId="77777777" w:rsidR="00832F98" w:rsidRPr="005107DF" w:rsidRDefault="00832F98" w:rsidP="007338F0">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 xml:space="preserve">            /</w:t>
            </w:r>
            <w:r w:rsidRPr="00452C1A">
              <w:rPr>
                <w:rFonts w:ascii="Times New Roman" w:hAnsi="Times New Roman"/>
                <w:color w:val="000000"/>
                <w:sz w:val="24"/>
              </w:rPr>
              <w:t>5</w:t>
            </w:r>
          </w:p>
        </w:tc>
      </w:tr>
      <w:tr w:rsidR="00832F98" w:rsidRPr="005107DF" w14:paraId="1CA638C3" w14:textId="77777777" w:rsidTr="005300AD">
        <w:tc>
          <w:tcPr>
            <w:tcW w:w="4338" w:type="pct"/>
          </w:tcPr>
          <w:p w14:paraId="5E649D37" w14:textId="77777777" w:rsidR="00832F98" w:rsidRPr="005107DF" w:rsidRDefault="00832F98" w:rsidP="001A78F7">
            <w:pPr>
              <w:spacing w:before="120" w:after="12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Note totale</w:t>
            </w:r>
          </w:p>
        </w:tc>
        <w:tc>
          <w:tcPr>
            <w:tcW w:w="662" w:type="pct"/>
          </w:tcPr>
          <w:p w14:paraId="54F02AC9" w14:textId="77777777" w:rsidR="00832F98" w:rsidRPr="005107DF" w:rsidRDefault="00832F98" w:rsidP="001A78F7">
            <w:pPr>
              <w:spacing w:before="120" w:after="12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25</w:t>
            </w:r>
          </w:p>
        </w:tc>
      </w:tr>
    </w:tbl>
    <w:p w14:paraId="3A637C38" w14:textId="35691555" w:rsidR="00832F98" w:rsidRPr="005107DF" w:rsidRDefault="00832F98"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Remarques</w:t>
      </w:r>
      <w:r>
        <w:tab/>
      </w:r>
    </w:p>
    <w:p w14:paraId="15A151FA" w14:textId="77777777" w:rsidR="00832F98" w:rsidRPr="005107DF" w:rsidRDefault="00832F98">
      <w:pPr>
        <w:rPr>
          <w:rFonts w:ascii="Times New Roman" w:hAnsi="Times New Roman" w:cs="Times New Roman"/>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69"/>
        <w:gridCol w:w="1257"/>
      </w:tblGrid>
      <w:tr w:rsidR="00832F98" w:rsidRPr="005107DF" w14:paraId="53B566C5" w14:textId="77777777" w:rsidTr="005300AD">
        <w:tc>
          <w:tcPr>
            <w:tcW w:w="4319" w:type="pct"/>
            <w:shd w:val="pct10" w:color="auto" w:fill="FFFFFF"/>
          </w:tcPr>
          <w:p w14:paraId="68D2B14B" w14:textId="77777777" w:rsidR="00832F98" w:rsidRPr="005107DF" w:rsidRDefault="00832F98" w:rsidP="001A78F7">
            <w:pPr>
              <w:spacing w:after="0" w:line="240" w:lineRule="auto"/>
              <w:ind w:left="460" w:hanging="460"/>
              <w:rPr>
                <w:rFonts w:ascii="Times New Roman" w:eastAsia="Times New Roman" w:hAnsi="Times New Roman" w:cs="Times New Roman"/>
                <w:b/>
                <w:color w:val="000000"/>
                <w:sz w:val="24"/>
                <w:szCs w:val="24"/>
              </w:rPr>
            </w:pPr>
          </w:p>
          <w:p w14:paraId="75E88367" w14:textId="77777777" w:rsidR="00832F98" w:rsidRPr="005107DF" w:rsidRDefault="00832F98" w:rsidP="001A78F7">
            <w:pPr>
              <w:spacing w:after="0" w:line="240" w:lineRule="auto"/>
              <w:ind w:left="460" w:hanging="460"/>
              <w:rPr>
                <w:rFonts w:ascii="Times New Roman" w:eastAsia="Times New Roman" w:hAnsi="Times New Roman" w:cs="Times New Roman"/>
                <w:b/>
                <w:color w:val="000000"/>
                <w:sz w:val="24"/>
                <w:szCs w:val="24"/>
              </w:rPr>
            </w:pPr>
            <w:r>
              <w:rPr>
                <w:rFonts w:ascii="Times New Roman" w:hAnsi="Times New Roman"/>
                <w:b/>
                <w:color w:val="000000"/>
                <w:sz w:val="24"/>
              </w:rPr>
              <w:t xml:space="preserve">B. Responsables de volets et disponibilité de ceux-ci </w:t>
            </w:r>
          </w:p>
          <w:p w14:paraId="7405FB9A"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p>
        </w:tc>
        <w:tc>
          <w:tcPr>
            <w:tcW w:w="681" w:type="pct"/>
            <w:shd w:val="pct10" w:color="auto" w:fill="FFFFFF"/>
          </w:tcPr>
          <w:p w14:paraId="24924672"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1AA554DD" w14:textId="77777777" w:rsidR="00832F98" w:rsidRPr="005107DF" w:rsidRDefault="00832F98" w:rsidP="001A78F7">
            <w:pPr>
              <w:spacing w:after="0" w:line="240" w:lineRule="auto"/>
              <w:jc w:val="center"/>
              <w:rPr>
                <w:rFonts w:ascii="Times New Roman" w:eastAsia="Times New Roman" w:hAnsi="Times New Roman" w:cs="Times New Roman"/>
                <w:color w:val="000000"/>
                <w:sz w:val="24"/>
                <w:szCs w:val="24"/>
              </w:rPr>
            </w:pPr>
            <w:r>
              <w:rPr>
                <w:rFonts w:ascii="Times New Roman" w:hAnsi="Times New Roman"/>
                <w:b/>
                <w:color w:val="000000"/>
                <w:sz w:val="24"/>
              </w:rPr>
              <w:t>Note</w:t>
            </w:r>
          </w:p>
        </w:tc>
      </w:tr>
      <w:tr w:rsidR="00832F98" w:rsidRPr="005107DF" w14:paraId="076EE24C" w14:textId="77777777" w:rsidTr="005300AD">
        <w:tc>
          <w:tcPr>
            <w:tcW w:w="4319" w:type="pct"/>
          </w:tcPr>
          <w:p w14:paraId="71346E27" w14:textId="77777777" w:rsidR="00832F98" w:rsidRPr="005107DF" w:rsidRDefault="00832F98" w:rsidP="0013042C">
            <w:pPr>
              <w:spacing w:after="0" w:line="240" w:lineRule="auto"/>
              <w:ind w:left="460" w:hanging="460"/>
              <w:rPr>
                <w:rFonts w:ascii="Times New Roman" w:eastAsia="Times New Roman" w:hAnsi="Times New Roman" w:cs="Times New Roman"/>
                <w:color w:val="000000"/>
                <w:sz w:val="24"/>
                <w:szCs w:val="24"/>
              </w:rPr>
            </w:pPr>
            <w:r w:rsidRPr="00452C1A">
              <w:rPr>
                <w:rFonts w:ascii="Times New Roman" w:hAnsi="Times New Roman"/>
                <w:color w:val="000000"/>
                <w:sz w:val="24"/>
              </w:rPr>
              <w:t>1</w:t>
            </w:r>
            <w:r>
              <w:rPr>
                <w:rFonts w:ascii="Times New Roman" w:hAnsi="Times New Roman"/>
                <w:color w:val="000000"/>
                <w:sz w:val="24"/>
              </w:rPr>
              <w:t>.</w:t>
            </w:r>
            <w:r w:rsidRPr="00452C1A">
              <w:rPr>
                <w:rFonts w:ascii="Times New Roman" w:hAnsi="Times New Roman"/>
                <w:color w:val="000000"/>
                <w:sz w:val="24"/>
              </w:rPr>
              <w:t>5</w:t>
            </w:r>
            <w:r>
              <w:tab/>
            </w:r>
            <w:r>
              <w:rPr>
                <w:rFonts w:ascii="Times New Roman" w:hAnsi="Times New Roman"/>
                <w:color w:val="000000"/>
                <w:sz w:val="24"/>
              </w:rPr>
              <w:t xml:space="preserve">Les responsables de volets des États membres proposés sont-ils compétents pour s'acquitter des tâches qui leur incombent (expertise spécifique)? Proviennent-ils tous de leur «propre» personnel? </w:t>
            </w:r>
          </w:p>
          <w:p w14:paraId="0372BF2A"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c>
          <w:tcPr>
            <w:tcW w:w="681" w:type="pct"/>
          </w:tcPr>
          <w:p w14:paraId="641C5E6F"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2F5FC0A9"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711C4CCE" w14:textId="77777777" w:rsidTr="005300AD">
        <w:tc>
          <w:tcPr>
            <w:tcW w:w="4319" w:type="pct"/>
          </w:tcPr>
          <w:p w14:paraId="43EC3B5A" w14:textId="77777777" w:rsidR="00832F98" w:rsidRPr="005107DF" w:rsidRDefault="00832F98">
            <w:pPr>
              <w:spacing w:after="0" w:line="240" w:lineRule="auto"/>
              <w:ind w:left="460" w:hanging="460"/>
              <w:rPr>
                <w:rFonts w:ascii="Times New Roman" w:eastAsia="Times New Roman" w:hAnsi="Times New Roman" w:cs="Times New Roman"/>
                <w:color w:val="000000"/>
                <w:sz w:val="24"/>
                <w:szCs w:val="24"/>
              </w:rPr>
            </w:pPr>
            <w:r w:rsidRPr="00452C1A">
              <w:rPr>
                <w:rFonts w:ascii="Times New Roman" w:hAnsi="Times New Roman"/>
                <w:color w:val="000000"/>
                <w:sz w:val="24"/>
              </w:rPr>
              <w:t>1</w:t>
            </w:r>
            <w:r>
              <w:rPr>
                <w:rFonts w:ascii="Times New Roman" w:hAnsi="Times New Roman"/>
                <w:color w:val="000000"/>
                <w:sz w:val="24"/>
              </w:rPr>
              <w:t>.</w:t>
            </w:r>
            <w:r w:rsidRPr="00452C1A">
              <w:rPr>
                <w:rFonts w:ascii="Times New Roman" w:hAnsi="Times New Roman"/>
                <w:color w:val="000000"/>
                <w:sz w:val="24"/>
              </w:rPr>
              <w:t>6</w:t>
            </w:r>
            <w:r>
              <w:tab/>
            </w:r>
            <w:r>
              <w:rPr>
                <w:rFonts w:ascii="Times New Roman" w:hAnsi="Times New Roman"/>
                <w:color w:val="000000"/>
                <w:sz w:val="24"/>
              </w:rPr>
              <w:t xml:space="preserve">L’expérience technique des responsables de volets proposés est-elle satisfaisante? </w:t>
            </w:r>
          </w:p>
        </w:tc>
        <w:tc>
          <w:tcPr>
            <w:tcW w:w="681" w:type="pct"/>
          </w:tcPr>
          <w:p w14:paraId="58ADB8F2"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1B9D002C"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335D2D90" w14:textId="77777777" w:rsidTr="005300AD">
        <w:tc>
          <w:tcPr>
            <w:tcW w:w="4319" w:type="pct"/>
          </w:tcPr>
          <w:p w14:paraId="65BB7D36"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p>
          <w:p w14:paraId="64BF5C8D" w14:textId="77777777" w:rsidR="00832F98" w:rsidRPr="005107DF" w:rsidRDefault="00832F98" w:rsidP="001A78F7">
            <w:pPr>
              <w:spacing w:after="0" w:line="240" w:lineRule="auto"/>
              <w:ind w:left="460" w:hanging="460"/>
              <w:rPr>
                <w:rFonts w:ascii="Times New Roman" w:eastAsia="Times New Roman" w:hAnsi="Times New Roman" w:cs="Times New Roman"/>
                <w:b/>
                <w:color w:val="000000"/>
                <w:sz w:val="24"/>
                <w:szCs w:val="24"/>
              </w:rPr>
            </w:pPr>
            <w:r>
              <w:rPr>
                <w:rFonts w:ascii="Times New Roman" w:hAnsi="Times New Roman"/>
                <w:b/>
                <w:color w:val="000000"/>
                <w:sz w:val="24"/>
              </w:rPr>
              <w:t>Note totale</w:t>
            </w:r>
          </w:p>
        </w:tc>
        <w:tc>
          <w:tcPr>
            <w:tcW w:w="681" w:type="pct"/>
          </w:tcPr>
          <w:p w14:paraId="1C4E888F"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0BD988AE"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10</w:t>
            </w:r>
          </w:p>
        </w:tc>
      </w:tr>
    </w:tbl>
    <w:p w14:paraId="18A9C98D"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44A5F0B4" w14:textId="77777777" w:rsidR="00832F98" w:rsidRPr="005107DF" w:rsidRDefault="00832F98" w:rsidP="005300AD">
      <w:pPr>
        <w:pBdr>
          <w:top w:val="single" w:sz="4" w:space="1" w:color="auto"/>
          <w:left w:val="single" w:sz="4" w:space="4" w:color="auto"/>
          <w:bottom w:val="single" w:sz="4" w:space="1" w:color="auto"/>
          <w:right w:val="single" w:sz="4" w:space="5" w:color="auto"/>
        </w:pBd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Remarques</w:t>
      </w:r>
    </w:p>
    <w:p w14:paraId="2D0FF1FF" w14:textId="77777777" w:rsidR="00832F98" w:rsidRPr="005107DF" w:rsidRDefault="00832F98" w:rsidP="005300AD">
      <w:pPr>
        <w:pBdr>
          <w:top w:val="single" w:sz="4" w:space="1" w:color="auto"/>
          <w:left w:val="single" w:sz="4" w:space="4" w:color="auto"/>
          <w:bottom w:val="single" w:sz="4" w:space="1" w:color="auto"/>
          <w:right w:val="single" w:sz="4" w:space="5" w:color="auto"/>
        </w:pBdr>
        <w:spacing w:after="0" w:line="240" w:lineRule="auto"/>
        <w:rPr>
          <w:rFonts w:ascii="Times New Roman" w:eastAsia="Times New Roman" w:hAnsi="Times New Roman" w:cs="Times New Roman"/>
          <w:b/>
          <w:color w:val="000000"/>
          <w:sz w:val="24"/>
          <w:szCs w:val="24"/>
        </w:rPr>
      </w:pPr>
    </w:p>
    <w:p w14:paraId="57C39DD9"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69"/>
        <w:gridCol w:w="1257"/>
      </w:tblGrid>
      <w:tr w:rsidR="00832F98" w:rsidRPr="005107DF" w14:paraId="1DAA4A02" w14:textId="77777777" w:rsidTr="005300AD">
        <w:tc>
          <w:tcPr>
            <w:tcW w:w="4319" w:type="pct"/>
            <w:shd w:val="pct10" w:color="auto" w:fill="FFFFFF"/>
          </w:tcPr>
          <w:p w14:paraId="068B8259"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3114551E" w14:textId="77777777" w:rsidR="00832F98" w:rsidRPr="005107DF" w:rsidRDefault="00832F98" w:rsidP="001A78F7">
            <w:pPr>
              <w:spacing w:after="0" w:line="240" w:lineRule="auto"/>
              <w:ind w:left="460" w:hanging="460"/>
              <w:rPr>
                <w:rFonts w:ascii="Times New Roman" w:eastAsia="Times New Roman" w:hAnsi="Times New Roman" w:cs="Times New Roman"/>
                <w:b/>
                <w:color w:val="000000"/>
                <w:sz w:val="24"/>
                <w:szCs w:val="24"/>
              </w:rPr>
            </w:pPr>
            <w:r>
              <w:rPr>
                <w:rFonts w:ascii="Times New Roman" w:hAnsi="Times New Roman"/>
                <w:b/>
                <w:color w:val="000000"/>
                <w:sz w:val="24"/>
              </w:rPr>
              <w:t>C</w:t>
            </w:r>
            <w:r>
              <w:rPr>
                <w:rFonts w:ascii="Times New Roman" w:hAnsi="Times New Roman"/>
                <w:b/>
                <w:color w:val="000000"/>
                <w:sz w:val="24"/>
                <w:vertAlign w:val="superscript"/>
              </w:rPr>
              <w:footnoteReference w:id="58"/>
            </w:r>
            <w:r>
              <w:rPr>
                <w:rFonts w:ascii="Times New Roman" w:hAnsi="Times New Roman"/>
                <w:b/>
                <w:color w:val="000000"/>
                <w:sz w:val="24"/>
              </w:rPr>
              <w:t xml:space="preserve">. État membre partenaire junior </w:t>
            </w:r>
          </w:p>
          <w:p w14:paraId="74122FFE"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p>
        </w:tc>
        <w:tc>
          <w:tcPr>
            <w:tcW w:w="681" w:type="pct"/>
            <w:shd w:val="pct10" w:color="auto" w:fill="FFFFFF"/>
          </w:tcPr>
          <w:p w14:paraId="78C82A24"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3205A57C" w14:textId="77777777" w:rsidR="00832F98" w:rsidRPr="005107DF" w:rsidRDefault="00832F98" w:rsidP="001A78F7">
            <w:pPr>
              <w:spacing w:after="0" w:line="240" w:lineRule="auto"/>
              <w:jc w:val="center"/>
              <w:rPr>
                <w:rFonts w:ascii="Times New Roman" w:eastAsia="Times New Roman" w:hAnsi="Times New Roman" w:cs="Times New Roman"/>
                <w:color w:val="000000"/>
                <w:sz w:val="24"/>
                <w:szCs w:val="24"/>
              </w:rPr>
            </w:pPr>
            <w:r>
              <w:rPr>
                <w:rFonts w:ascii="Times New Roman" w:hAnsi="Times New Roman"/>
                <w:b/>
                <w:color w:val="000000"/>
                <w:sz w:val="24"/>
              </w:rPr>
              <w:t>Note</w:t>
            </w:r>
          </w:p>
        </w:tc>
      </w:tr>
      <w:tr w:rsidR="00832F98" w:rsidRPr="005107DF" w14:paraId="2D271D8D" w14:textId="77777777" w:rsidTr="005300AD">
        <w:tc>
          <w:tcPr>
            <w:tcW w:w="4319" w:type="pct"/>
          </w:tcPr>
          <w:p w14:paraId="28E5FEE7"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p>
          <w:p w14:paraId="1A70A509"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r w:rsidRPr="00452C1A">
              <w:rPr>
                <w:rFonts w:ascii="Times New Roman" w:hAnsi="Times New Roman"/>
                <w:color w:val="000000"/>
                <w:sz w:val="24"/>
              </w:rPr>
              <w:t>1</w:t>
            </w:r>
            <w:r>
              <w:rPr>
                <w:rFonts w:ascii="Times New Roman" w:hAnsi="Times New Roman"/>
                <w:color w:val="000000"/>
                <w:sz w:val="24"/>
              </w:rPr>
              <w:t>.</w:t>
            </w:r>
            <w:r w:rsidRPr="00452C1A">
              <w:rPr>
                <w:rFonts w:ascii="Times New Roman" w:hAnsi="Times New Roman"/>
                <w:color w:val="000000"/>
                <w:sz w:val="24"/>
              </w:rPr>
              <w:t>7</w:t>
            </w:r>
            <w:r>
              <w:tab/>
            </w:r>
            <w:r>
              <w:rPr>
                <w:rFonts w:ascii="Times New Roman" w:hAnsi="Times New Roman"/>
                <w:color w:val="000000"/>
                <w:sz w:val="24"/>
              </w:rPr>
              <w:t xml:space="preserve">La complémentarité avec l’État membre partenaire principal est-elle satisfaisante? </w:t>
            </w:r>
          </w:p>
        </w:tc>
        <w:tc>
          <w:tcPr>
            <w:tcW w:w="681" w:type="pct"/>
          </w:tcPr>
          <w:p w14:paraId="6E77F7D3"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0B6B4447"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0625D50F" w14:textId="77777777" w:rsidTr="005300AD">
        <w:tc>
          <w:tcPr>
            <w:tcW w:w="4319" w:type="pct"/>
          </w:tcPr>
          <w:p w14:paraId="50A5882F"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p>
          <w:p w14:paraId="7966445E" w14:textId="77777777" w:rsidR="00832F98" w:rsidRPr="005107DF" w:rsidRDefault="00832F98" w:rsidP="00C2479B">
            <w:pPr>
              <w:spacing w:after="0" w:line="240" w:lineRule="auto"/>
              <w:ind w:left="460" w:hanging="460"/>
              <w:rPr>
                <w:rFonts w:ascii="Times New Roman" w:eastAsia="Times New Roman" w:hAnsi="Times New Roman" w:cs="Times New Roman"/>
                <w:color w:val="000000"/>
                <w:sz w:val="24"/>
                <w:szCs w:val="24"/>
              </w:rPr>
            </w:pPr>
            <w:r w:rsidRPr="00452C1A">
              <w:rPr>
                <w:rFonts w:ascii="Times New Roman" w:hAnsi="Times New Roman"/>
                <w:color w:val="000000"/>
                <w:sz w:val="24"/>
              </w:rPr>
              <w:t>1</w:t>
            </w:r>
            <w:r>
              <w:rPr>
                <w:rFonts w:ascii="Times New Roman" w:hAnsi="Times New Roman"/>
                <w:color w:val="000000"/>
                <w:sz w:val="24"/>
              </w:rPr>
              <w:t>.</w:t>
            </w:r>
            <w:r w:rsidRPr="00452C1A">
              <w:rPr>
                <w:rFonts w:ascii="Times New Roman" w:hAnsi="Times New Roman"/>
                <w:color w:val="000000"/>
                <w:sz w:val="24"/>
              </w:rPr>
              <w:t>8</w:t>
            </w:r>
            <w:r>
              <w:tab/>
            </w:r>
            <w:r>
              <w:rPr>
                <w:rFonts w:ascii="Times New Roman" w:hAnsi="Times New Roman"/>
                <w:color w:val="000000"/>
                <w:sz w:val="24"/>
              </w:rPr>
              <w:t>L’État membre partenaire junior proposé possède-t-il une expertise appropriée aux tâches qui devraient lui être confiées?</w:t>
            </w:r>
          </w:p>
        </w:tc>
        <w:tc>
          <w:tcPr>
            <w:tcW w:w="681" w:type="pct"/>
          </w:tcPr>
          <w:p w14:paraId="6359CD6C"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072A8B12"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52423EA3" w14:textId="77777777" w:rsidTr="005300AD">
        <w:tc>
          <w:tcPr>
            <w:tcW w:w="4319" w:type="pct"/>
          </w:tcPr>
          <w:p w14:paraId="746B57AB"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p>
          <w:p w14:paraId="550F364D" w14:textId="77777777" w:rsidR="00832F98" w:rsidRPr="005107DF" w:rsidRDefault="00832F98" w:rsidP="001A78F7">
            <w:pPr>
              <w:spacing w:after="0" w:line="240" w:lineRule="auto"/>
              <w:ind w:left="460" w:hanging="460"/>
              <w:rPr>
                <w:rFonts w:ascii="Times New Roman" w:eastAsia="Times New Roman" w:hAnsi="Times New Roman" w:cs="Times New Roman"/>
                <w:b/>
                <w:color w:val="000000"/>
                <w:sz w:val="24"/>
                <w:szCs w:val="24"/>
              </w:rPr>
            </w:pPr>
            <w:r>
              <w:rPr>
                <w:rFonts w:ascii="Times New Roman" w:hAnsi="Times New Roman"/>
                <w:b/>
                <w:color w:val="000000"/>
                <w:sz w:val="24"/>
              </w:rPr>
              <w:t>Note totale</w:t>
            </w:r>
          </w:p>
        </w:tc>
        <w:tc>
          <w:tcPr>
            <w:tcW w:w="681" w:type="pct"/>
          </w:tcPr>
          <w:p w14:paraId="43A3197D"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6315B15E"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10</w:t>
            </w:r>
          </w:p>
        </w:tc>
      </w:tr>
    </w:tbl>
    <w:p w14:paraId="5269C4BC"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3EAD521D" w14:textId="77777777" w:rsidR="00832F98" w:rsidRPr="005107DF" w:rsidRDefault="00832F98"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Remarques</w:t>
      </w:r>
    </w:p>
    <w:p w14:paraId="1A33F901" w14:textId="77777777" w:rsidR="00832F98" w:rsidRPr="005107DF" w:rsidRDefault="00832F98"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rPr>
      </w:pPr>
    </w:p>
    <w:p w14:paraId="56E4665E" w14:textId="77777777" w:rsidR="00832F98" w:rsidRPr="005107DF" w:rsidRDefault="00832F98" w:rsidP="001A78F7">
      <w:pPr>
        <w:spacing w:after="0" w:line="240" w:lineRule="auto"/>
        <w:ind w:right="-868"/>
        <w:rPr>
          <w:rFonts w:ascii="Times New Roman" w:eastAsia="Times New Roman" w:hAnsi="Times New Roman" w:cs="Times New Roman"/>
          <w:b/>
          <w:color w:val="000000"/>
          <w:sz w:val="24"/>
          <w:szCs w:val="24"/>
        </w:rPr>
      </w:pPr>
    </w:p>
    <w:p w14:paraId="1337F72C" w14:textId="77777777" w:rsidR="00832F98" w:rsidRPr="005107DF" w:rsidRDefault="00832F98" w:rsidP="001A78F7">
      <w:pPr>
        <w:spacing w:after="0" w:line="240" w:lineRule="auto"/>
        <w:ind w:right="-868"/>
        <w:rPr>
          <w:rFonts w:ascii="Times New Roman" w:eastAsia="Times New Roman" w:hAnsi="Times New Roman" w:cs="Times New Roman"/>
          <w:b/>
          <w:color w:val="000000"/>
          <w:sz w:val="24"/>
          <w:szCs w:val="24"/>
        </w:rPr>
      </w:pPr>
      <w:r>
        <w:rPr>
          <w:rFonts w:ascii="Times New Roman" w:hAnsi="Times New Roman"/>
          <w:b/>
          <w:color w:val="000000"/>
          <w:sz w:val="24"/>
        </w:rPr>
        <w:t>Si une note totale inférieure à «moyen» (</w:t>
      </w:r>
      <w:r w:rsidRPr="00452C1A">
        <w:rPr>
          <w:rFonts w:ascii="Times New Roman" w:hAnsi="Times New Roman"/>
          <w:b/>
          <w:color w:val="000000"/>
          <w:sz w:val="24"/>
        </w:rPr>
        <w:t>27</w:t>
      </w:r>
      <w:r>
        <w:rPr>
          <w:rFonts w:ascii="Times New Roman" w:hAnsi="Times New Roman"/>
          <w:b/>
          <w:color w:val="000000"/>
          <w:sz w:val="24"/>
        </w:rPr>
        <w:t> points) est obtenue pour la rubrique </w:t>
      </w:r>
      <w:r w:rsidRPr="00452C1A">
        <w:rPr>
          <w:rFonts w:ascii="Times New Roman" w:hAnsi="Times New Roman"/>
          <w:b/>
          <w:color w:val="000000"/>
          <w:sz w:val="24"/>
        </w:rPr>
        <w:t>1</w:t>
      </w:r>
      <w:r>
        <w:rPr>
          <w:rFonts w:ascii="Times New Roman" w:hAnsi="Times New Roman"/>
          <w:b/>
          <w:color w:val="000000"/>
          <w:sz w:val="24"/>
        </w:rPr>
        <w:t xml:space="preserve">, </w:t>
      </w:r>
    </w:p>
    <w:p w14:paraId="65121059" w14:textId="77777777" w:rsidR="00832F98" w:rsidRPr="005107DF" w:rsidRDefault="00832F98" w:rsidP="001A78F7">
      <w:pPr>
        <w:spacing w:after="0" w:line="240" w:lineRule="auto"/>
        <w:ind w:right="-868"/>
        <w:rPr>
          <w:rFonts w:ascii="Times New Roman" w:eastAsia="Times New Roman" w:hAnsi="Times New Roman" w:cs="Times New Roman"/>
          <w:b/>
          <w:color w:val="000000"/>
          <w:sz w:val="24"/>
          <w:szCs w:val="24"/>
        </w:rPr>
      </w:pPr>
      <w:r>
        <w:rPr>
          <w:rFonts w:ascii="Times New Roman" w:hAnsi="Times New Roman"/>
          <w:b/>
          <w:color w:val="000000"/>
          <w:sz w:val="24"/>
        </w:rPr>
        <w:t xml:space="preserve">la proposition est rejetée par le comité d’évaluation. </w:t>
      </w:r>
    </w:p>
    <w:p w14:paraId="010A1D79" w14:textId="77777777" w:rsidR="00832F98" w:rsidRPr="005107DF" w:rsidRDefault="00832F98" w:rsidP="001A78F7">
      <w:pPr>
        <w:spacing w:after="0" w:line="240" w:lineRule="auto"/>
        <w:ind w:right="-868"/>
        <w:rPr>
          <w:rFonts w:ascii="Times New Roman" w:eastAsia="Times New Roman" w:hAnsi="Times New Roman" w:cs="Times New Roman"/>
          <w:b/>
          <w:color w:val="000000"/>
          <w:sz w:val="24"/>
          <w:szCs w:val="24"/>
        </w:rPr>
      </w:pPr>
      <w:r>
        <w:rPr>
          <w:rFonts w:ascii="Times New Roman" w:hAnsi="Times New Roman"/>
          <w:b/>
          <w:color w:val="000000"/>
          <w:sz w:val="24"/>
        </w:rPr>
        <w:t>La grille d’évaluation doit néanmoins être remplie intégralement.</w:t>
      </w:r>
    </w:p>
    <w:p w14:paraId="7C195716"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732EE6AB"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64"/>
        <w:gridCol w:w="1362"/>
      </w:tblGrid>
      <w:tr w:rsidR="00832F98" w:rsidRPr="005107DF" w14:paraId="4CCEC0FA" w14:textId="77777777" w:rsidTr="005300AD">
        <w:tc>
          <w:tcPr>
            <w:tcW w:w="4262" w:type="pct"/>
            <w:shd w:val="pct10" w:color="auto" w:fill="FFFFFF"/>
          </w:tcPr>
          <w:p w14:paraId="69542747" w14:textId="77777777" w:rsidR="00832F98" w:rsidRPr="005107DF" w:rsidRDefault="00832F98" w:rsidP="001A78F7">
            <w:pPr>
              <w:spacing w:after="0" w:line="240" w:lineRule="auto"/>
              <w:ind w:left="426" w:hanging="426"/>
              <w:rPr>
                <w:rFonts w:ascii="Times New Roman" w:eastAsia="Times New Roman" w:hAnsi="Times New Roman" w:cs="Times New Roman"/>
                <w:b/>
                <w:color w:val="000000"/>
                <w:sz w:val="28"/>
                <w:szCs w:val="28"/>
                <w:u w:val="single"/>
              </w:rPr>
            </w:pPr>
            <w:r w:rsidRPr="00452C1A">
              <w:rPr>
                <w:rFonts w:ascii="Times New Roman" w:hAnsi="Times New Roman"/>
                <w:b/>
                <w:color w:val="000000"/>
                <w:sz w:val="28"/>
                <w:u w:val="single"/>
              </w:rPr>
              <w:t>2</w:t>
            </w:r>
            <w:r>
              <w:rPr>
                <w:rFonts w:ascii="Times New Roman" w:hAnsi="Times New Roman"/>
                <w:b/>
                <w:color w:val="000000"/>
                <w:sz w:val="28"/>
                <w:u w:val="single"/>
              </w:rPr>
              <w:t>.</w:t>
            </w:r>
            <w:r>
              <w:tab/>
            </w:r>
            <w:r>
              <w:rPr>
                <w:rFonts w:ascii="Times New Roman" w:hAnsi="Times New Roman"/>
                <w:b/>
                <w:color w:val="000000"/>
                <w:sz w:val="28"/>
                <w:u w:val="single"/>
              </w:rPr>
              <w:t>Pertinence</w:t>
            </w:r>
          </w:p>
          <w:p w14:paraId="5C73C40E"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c>
          <w:tcPr>
            <w:tcW w:w="738" w:type="pct"/>
            <w:tcBorders>
              <w:bottom w:val="nil"/>
            </w:tcBorders>
            <w:shd w:val="pct10" w:color="auto" w:fill="FFFFFF"/>
          </w:tcPr>
          <w:p w14:paraId="60353130" w14:textId="77777777" w:rsidR="00832F98" w:rsidRPr="005107DF" w:rsidRDefault="00832F98" w:rsidP="001A78F7">
            <w:pPr>
              <w:spacing w:after="0" w:line="240" w:lineRule="auto"/>
              <w:ind w:left="-108" w:firstLine="392"/>
              <w:jc w:val="center"/>
              <w:rPr>
                <w:rFonts w:ascii="Times New Roman" w:eastAsia="Times New Roman" w:hAnsi="Times New Roman" w:cs="Times New Roman"/>
                <w:b/>
                <w:color w:val="000000"/>
                <w:sz w:val="24"/>
                <w:szCs w:val="24"/>
              </w:rPr>
            </w:pPr>
            <w:r>
              <w:rPr>
                <w:rFonts w:ascii="Times New Roman" w:hAnsi="Times New Roman"/>
                <w:b/>
                <w:color w:val="000000"/>
                <w:sz w:val="24"/>
              </w:rPr>
              <w:t>Note</w:t>
            </w:r>
          </w:p>
          <w:p w14:paraId="73ACF20D" w14:textId="77777777" w:rsidR="00832F98" w:rsidRPr="005107DF" w:rsidRDefault="00832F98" w:rsidP="001A78F7">
            <w:pPr>
              <w:spacing w:after="0" w:line="240" w:lineRule="auto"/>
              <w:ind w:left="-108" w:firstLine="392"/>
              <w:jc w:val="center"/>
              <w:rPr>
                <w:rFonts w:ascii="Times New Roman" w:eastAsia="Times New Roman" w:hAnsi="Times New Roman" w:cs="Times New Roman"/>
                <w:b/>
                <w:color w:val="000000"/>
                <w:sz w:val="24"/>
                <w:szCs w:val="24"/>
              </w:rPr>
            </w:pPr>
          </w:p>
        </w:tc>
      </w:tr>
      <w:tr w:rsidR="00832F98" w:rsidRPr="005107DF" w14:paraId="1E38B798" w14:textId="77777777" w:rsidTr="005300AD">
        <w:tc>
          <w:tcPr>
            <w:tcW w:w="4262" w:type="pct"/>
          </w:tcPr>
          <w:p w14:paraId="32CE1229"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269B727B" w14:textId="77777777" w:rsidR="00832F98" w:rsidRPr="005107DF" w:rsidRDefault="00832F98" w:rsidP="00D73D13">
            <w:pPr>
              <w:spacing w:after="0" w:line="240" w:lineRule="auto"/>
              <w:ind w:left="426" w:hanging="426"/>
              <w:rPr>
                <w:rFonts w:ascii="Times New Roman" w:eastAsia="Times New Roman" w:hAnsi="Times New Roman" w:cs="Times New Roman"/>
                <w:color w:val="000000"/>
                <w:sz w:val="24"/>
                <w:szCs w:val="24"/>
              </w:rPr>
            </w:pPr>
            <w:r w:rsidRPr="00452C1A">
              <w:rPr>
                <w:rFonts w:ascii="Times New Roman" w:hAnsi="Times New Roman"/>
                <w:color w:val="000000"/>
                <w:sz w:val="24"/>
              </w:rPr>
              <w:t>2</w:t>
            </w:r>
            <w:r>
              <w:rPr>
                <w:rFonts w:ascii="Times New Roman" w:hAnsi="Times New Roman"/>
                <w:color w:val="000000"/>
                <w:sz w:val="24"/>
              </w:rPr>
              <w:t>.</w:t>
            </w:r>
            <w:r w:rsidRPr="00452C1A">
              <w:rPr>
                <w:rFonts w:ascii="Times New Roman" w:hAnsi="Times New Roman"/>
                <w:color w:val="000000"/>
                <w:sz w:val="24"/>
              </w:rPr>
              <w:t>1</w:t>
            </w:r>
            <w:r>
              <w:tab/>
            </w:r>
            <w:r>
              <w:rPr>
                <w:rFonts w:ascii="Times New Roman" w:hAnsi="Times New Roman"/>
                <w:color w:val="000000"/>
                <w:sz w:val="24"/>
              </w:rPr>
              <w:t>Dans quelle mesure les concepts et les idées qui sous-tendent la stratégie et la méthodologie présentées permettent-ils de répondre aux besoins de l’administration bénéficiaire? Comment le lien est-il fait avec la fiche du projet de jumelage?</w:t>
            </w:r>
          </w:p>
        </w:tc>
        <w:tc>
          <w:tcPr>
            <w:tcW w:w="738" w:type="pct"/>
          </w:tcPr>
          <w:p w14:paraId="3483AC61" w14:textId="77777777" w:rsidR="00832F98" w:rsidRPr="005107DF" w:rsidRDefault="00832F98" w:rsidP="001A78F7">
            <w:pPr>
              <w:spacing w:after="0" w:line="240" w:lineRule="auto"/>
              <w:ind w:left="317" w:hanging="317"/>
              <w:jc w:val="right"/>
              <w:rPr>
                <w:rFonts w:ascii="Times New Roman" w:eastAsia="Times New Roman" w:hAnsi="Times New Roman" w:cs="Times New Roman"/>
                <w:color w:val="000000"/>
                <w:sz w:val="24"/>
                <w:szCs w:val="24"/>
              </w:rPr>
            </w:pPr>
          </w:p>
          <w:p w14:paraId="3A78DAF5" w14:textId="77777777" w:rsidR="00832F98" w:rsidRPr="005107DF" w:rsidRDefault="00832F98" w:rsidP="001A78F7">
            <w:pPr>
              <w:spacing w:after="0" w:line="240" w:lineRule="auto"/>
              <w:ind w:left="317" w:hanging="317"/>
              <w:jc w:val="right"/>
              <w:rPr>
                <w:rFonts w:ascii="Times New Roman" w:eastAsia="Times New Roman" w:hAnsi="Times New Roman" w:cs="Times New Roman"/>
                <w:color w:val="000000"/>
                <w:sz w:val="24"/>
                <w:szCs w:val="24"/>
              </w:rPr>
            </w:pPr>
          </w:p>
          <w:p w14:paraId="4974BB0D" w14:textId="77777777" w:rsidR="00832F98" w:rsidRPr="005107DF" w:rsidRDefault="00832F98" w:rsidP="001A78F7">
            <w:pPr>
              <w:spacing w:after="0" w:line="240" w:lineRule="auto"/>
              <w:ind w:left="317" w:hanging="317"/>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1CDBE210" w14:textId="77777777" w:rsidTr="00BB41DC">
        <w:tc>
          <w:tcPr>
            <w:tcW w:w="4262" w:type="pct"/>
          </w:tcPr>
          <w:p w14:paraId="00E7FBD8"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5EB534BB"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r w:rsidRPr="00452C1A">
              <w:rPr>
                <w:rFonts w:ascii="Times New Roman" w:hAnsi="Times New Roman"/>
                <w:color w:val="000000"/>
                <w:sz w:val="24"/>
              </w:rPr>
              <w:t>2</w:t>
            </w:r>
            <w:r>
              <w:rPr>
                <w:rFonts w:ascii="Times New Roman" w:hAnsi="Times New Roman"/>
                <w:color w:val="000000"/>
                <w:sz w:val="24"/>
              </w:rPr>
              <w:t>.</w:t>
            </w:r>
            <w:r w:rsidRPr="00452C1A">
              <w:rPr>
                <w:rFonts w:ascii="Times New Roman" w:hAnsi="Times New Roman"/>
                <w:color w:val="000000"/>
                <w:sz w:val="24"/>
              </w:rPr>
              <w:t>2</w:t>
            </w:r>
            <w:r>
              <w:tab/>
            </w:r>
            <w:r>
              <w:rPr>
                <w:rFonts w:ascii="Times New Roman" w:hAnsi="Times New Roman"/>
                <w:color w:val="000000"/>
                <w:sz w:val="24"/>
              </w:rPr>
              <w:t>Quelle est l’adéquation des plans relatifs à l’élaboration des plans de travail initial et ultérieurs, y compris les plans/idées relatifs aux actions de communication et de visibilité?</w:t>
            </w:r>
          </w:p>
          <w:p w14:paraId="68B4CAAA"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p>
        </w:tc>
        <w:tc>
          <w:tcPr>
            <w:tcW w:w="738" w:type="pct"/>
          </w:tcPr>
          <w:p w14:paraId="7ACFD42A"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120B4B7E"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565BDA8B"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5F4DCF78" w14:textId="77777777" w:rsidTr="005300AD">
        <w:tc>
          <w:tcPr>
            <w:tcW w:w="4262" w:type="pct"/>
            <w:vAlign w:val="center"/>
          </w:tcPr>
          <w:p w14:paraId="3A7C31F1"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r w:rsidRPr="00452C1A">
              <w:rPr>
                <w:rFonts w:ascii="Times New Roman" w:hAnsi="Times New Roman"/>
                <w:color w:val="000000"/>
                <w:sz w:val="24"/>
              </w:rPr>
              <w:t>2</w:t>
            </w:r>
            <w:r>
              <w:rPr>
                <w:rFonts w:ascii="Times New Roman" w:hAnsi="Times New Roman"/>
                <w:color w:val="000000"/>
                <w:sz w:val="24"/>
              </w:rPr>
              <w:t>.</w:t>
            </w:r>
            <w:r w:rsidRPr="00452C1A">
              <w:rPr>
                <w:rFonts w:ascii="Times New Roman" w:hAnsi="Times New Roman"/>
                <w:color w:val="000000"/>
                <w:sz w:val="24"/>
              </w:rPr>
              <w:t>3</w:t>
            </w:r>
            <w:r>
              <w:rPr>
                <w:rFonts w:ascii="Times New Roman" w:hAnsi="Times New Roman"/>
                <w:color w:val="000000"/>
                <w:sz w:val="24"/>
              </w:rPr>
              <w:t xml:space="preserve"> Dans quelle mesure le </w:t>
            </w:r>
            <w:r>
              <w:rPr>
                <w:rFonts w:ascii="Times New Roman" w:hAnsi="Times New Roman"/>
                <w:b/>
                <w:color w:val="000000"/>
                <w:sz w:val="24"/>
              </w:rPr>
              <w:t>modèle administratif</w:t>
            </w:r>
            <w:r>
              <w:rPr>
                <w:rFonts w:ascii="Times New Roman" w:hAnsi="Times New Roman"/>
                <w:color w:val="000000"/>
                <w:sz w:val="24"/>
              </w:rPr>
              <w:t xml:space="preserve"> de l’administration de l’État membre répond-il aux besoins recensés dans la fiche du projet de </w:t>
            </w:r>
            <w:r>
              <w:rPr>
                <w:rFonts w:ascii="Times New Roman" w:hAnsi="Times New Roman"/>
                <w:color w:val="000000"/>
                <w:sz w:val="24"/>
              </w:rPr>
              <w:lastRenderedPageBreak/>
              <w:t>jumelage?</w:t>
            </w:r>
          </w:p>
        </w:tc>
        <w:tc>
          <w:tcPr>
            <w:tcW w:w="738" w:type="pct"/>
          </w:tcPr>
          <w:p w14:paraId="4994B1E2"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687901F1"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054C6866"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lastRenderedPageBreak/>
              <w:t>/</w:t>
            </w:r>
            <w:r w:rsidRPr="00452C1A">
              <w:rPr>
                <w:rFonts w:ascii="Times New Roman" w:hAnsi="Times New Roman"/>
                <w:color w:val="000000"/>
                <w:sz w:val="24"/>
              </w:rPr>
              <w:t>5</w:t>
            </w:r>
          </w:p>
        </w:tc>
      </w:tr>
      <w:tr w:rsidR="00832F98" w:rsidRPr="005107DF" w14:paraId="56975014" w14:textId="77777777" w:rsidTr="00BB41DC">
        <w:tc>
          <w:tcPr>
            <w:tcW w:w="4262" w:type="pct"/>
          </w:tcPr>
          <w:p w14:paraId="471D1432" w14:textId="77777777" w:rsidR="00832F98" w:rsidRPr="005107DF" w:rsidRDefault="00832F98" w:rsidP="001A78F7">
            <w:pPr>
              <w:spacing w:after="0" w:line="240" w:lineRule="auto"/>
              <w:ind w:left="284" w:hanging="284"/>
              <w:rPr>
                <w:rFonts w:ascii="Times New Roman" w:eastAsia="Times New Roman" w:hAnsi="Times New Roman" w:cs="Times New Roman"/>
                <w:color w:val="000000"/>
                <w:sz w:val="24"/>
                <w:szCs w:val="24"/>
              </w:rPr>
            </w:pPr>
          </w:p>
          <w:p w14:paraId="419CA7B1" w14:textId="77777777" w:rsidR="00832F98" w:rsidRPr="005107DF" w:rsidRDefault="00832F98" w:rsidP="00304447">
            <w:pPr>
              <w:spacing w:after="0" w:line="240" w:lineRule="auto"/>
              <w:ind w:left="426" w:hanging="426"/>
              <w:rPr>
                <w:rFonts w:ascii="Times New Roman" w:eastAsia="Times New Roman" w:hAnsi="Times New Roman" w:cs="Times New Roman"/>
                <w:color w:val="000000"/>
                <w:sz w:val="24"/>
                <w:szCs w:val="24"/>
              </w:rPr>
            </w:pPr>
            <w:r w:rsidRPr="00452C1A">
              <w:rPr>
                <w:rFonts w:ascii="Times New Roman" w:hAnsi="Times New Roman"/>
                <w:color w:val="000000"/>
                <w:sz w:val="24"/>
              </w:rPr>
              <w:t>2</w:t>
            </w:r>
            <w:r>
              <w:rPr>
                <w:rFonts w:ascii="Times New Roman" w:hAnsi="Times New Roman"/>
                <w:color w:val="000000"/>
                <w:sz w:val="24"/>
              </w:rPr>
              <w:t>.</w:t>
            </w:r>
            <w:r w:rsidRPr="00452C1A">
              <w:rPr>
                <w:rFonts w:ascii="Times New Roman" w:hAnsi="Times New Roman"/>
                <w:color w:val="000000"/>
                <w:sz w:val="24"/>
              </w:rPr>
              <w:t>4</w:t>
            </w:r>
            <w:r>
              <w:tab/>
            </w:r>
            <w:r>
              <w:rPr>
                <w:rFonts w:ascii="Times New Roman" w:hAnsi="Times New Roman"/>
                <w:color w:val="000000"/>
                <w:sz w:val="24"/>
              </w:rPr>
              <w:t>Comment la proposition tient-elle compte des autres initiatives sectorielles et/ou des projets antérieurs en évitant les doubles emplois tout en créant des synergies?</w:t>
            </w:r>
          </w:p>
        </w:tc>
        <w:tc>
          <w:tcPr>
            <w:tcW w:w="738" w:type="pct"/>
          </w:tcPr>
          <w:p w14:paraId="31DA0FDD"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159F4D9B"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1B70EF41"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76FAA87D" w14:textId="77777777" w:rsidTr="005300AD">
        <w:tc>
          <w:tcPr>
            <w:tcW w:w="4262" w:type="pct"/>
          </w:tcPr>
          <w:p w14:paraId="05E7E357" w14:textId="77777777" w:rsidR="00832F98" w:rsidRPr="005107DF" w:rsidRDefault="00832F98" w:rsidP="001A78F7">
            <w:pPr>
              <w:spacing w:after="0" w:line="240" w:lineRule="auto"/>
              <w:ind w:left="284" w:hanging="284"/>
              <w:rPr>
                <w:rFonts w:ascii="Times New Roman" w:eastAsia="Times New Roman" w:hAnsi="Times New Roman" w:cs="Times New Roman"/>
                <w:b/>
                <w:color w:val="000000"/>
                <w:sz w:val="24"/>
                <w:szCs w:val="24"/>
              </w:rPr>
            </w:pPr>
            <w:r>
              <w:rPr>
                <w:rFonts w:ascii="Times New Roman" w:hAnsi="Times New Roman"/>
                <w:b/>
                <w:color w:val="000000"/>
                <w:sz w:val="24"/>
              </w:rPr>
              <w:t>Note totale</w:t>
            </w:r>
          </w:p>
        </w:tc>
        <w:tc>
          <w:tcPr>
            <w:tcW w:w="738" w:type="pct"/>
          </w:tcPr>
          <w:p w14:paraId="2C092C71"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20</w:t>
            </w:r>
          </w:p>
        </w:tc>
      </w:tr>
    </w:tbl>
    <w:p w14:paraId="091EC185"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7BF2B366" w14:textId="77777777" w:rsidR="00832F98" w:rsidRPr="005107DF" w:rsidRDefault="00832F98"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Remarques</w:t>
      </w:r>
      <w:r>
        <w:tab/>
      </w:r>
    </w:p>
    <w:p w14:paraId="28D95714" w14:textId="77777777" w:rsidR="00832F98" w:rsidRPr="005107DF" w:rsidRDefault="00832F98"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rPr>
      </w:pPr>
    </w:p>
    <w:p w14:paraId="34EE5A08" w14:textId="77777777" w:rsidR="00832F98" w:rsidRPr="005107DF" w:rsidRDefault="00832F98" w:rsidP="00434C10">
      <w:pPr>
        <w:spacing w:after="0" w:line="240" w:lineRule="auto"/>
        <w:rPr>
          <w:rFonts w:ascii="Times New Roman" w:eastAsia="Times New Roman" w:hAnsi="Times New Roman" w:cs="Times New Roman"/>
          <w:color w:val="000000"/>
          <w:sz w:val="24"/>
          <w:szCs w:val="24"/>
        </w:rPr>
      </w:pPr>
      <w:r>
        <w:tab/>
      </w:r>
      <w:r>
        <w:tab/>
      </w:r>
    </w:p>
    <w:p w14:paraId="49684D65" w14:textId="77777777" w:rsidR="00434C10" w:rsidRDefault="00832F98" w:rsidP="00434C10">
      <w:pPr>
        <w:spacing w:after="0" w:line="240" w:lineRule="auto"/>
        <w:ind w:right="-688"/>
        <w:jc w:val="both"/>
        <w:rPr>
          <w:rFonts w:ascii="Times New Roman" w:hAnsi="Times New Roman"/>
          <w:b/>
          <w:color w:val="000000"/>
          <w:sz w:val="24"/>
        </w:rPr>
      </w:pPr>
      <w:r>
        <w:rPr>
          <w:rFonts w:ascii="Times New Roman" w:hAnsi="Times New Roman"/>
          <w:b/>
          <w:color w:val="000000"/>
          <w:sz w:val="24"/>
        </w:rPr>
        <w:t>Si une note totale inférieure à «bon» (</w:t>
      </w:r>
      <w:r w:rsidRPr="00452C1A">
        <w:rPr>
          <w:rFonts w:ascii="Times New Roman" w:hAnsi="Times New Roman"/>
          <w:b/>
          <w:color w:val="000000"/>
          <w:sz w:val="24"/>
        </w:rPr>
        <w:t>16</w:t>
      </w:r>
      <w:r>
        <w:rPr>
          <w:rFonts w:ascii="Times New Roman" w:hAnsi="Times New Roman"/>
          <w:b/>
          <w:color w:val="000000"/>
          <w:sz w:val="24"/>
        </w:rPr>
        <w:t> points) est obtenue pour la rubrique </w:t>
      </w:r>
      <w:r w:rsidRPr="00452C1A">
        <w:rPr>
          <w:rFonts w:ascii="Times New Roman" w:hAnsi="Times New Roman"/>
          <w:b/>
          <w:color w:val="000000"/>
          <w:sz w:val="24"/>
        </w:rPr>
        <w:t>2</w:t>
      </w:r>
      <w:r>
        <w:rPr>
          <w:rFonts w:ascii="Times New Roman" w:hAnsi="Times New Roman"/>
          <w:b/>
          <w:color w:val="000000"/>
          <w:sz w:val="24"/>
        </w:rPr>
        <w:t xml:space="preserve">, </w:t>
      </w:r>
    </w:p>
    <w:p w14:paraId="3032B320" w14:textId="6E3D86C6" w:rsidR="00832F98" w:rsidRPr="005107DF" w:rsidRDefault="00832F98" w:rsidP="00434C10">
      <w:pPr>
        <w:spacing w:after="0" w:line="240" w:lineRule="auto"/>
        <w:ind w:right="-688"/>
        <w:jc w:val="both"/>
        <w:rPr>
          <w:rFonts w:ascii="Times New Roman" w:eastAsia="Times New Roman" w:hAnsi="Times New Roman" w:cs="Times New Roman"/>
          <w:b/>
          <w:color w:val="000000"/>
          <w:sz w:val="24"/>
          <w:szCs w:val="24"/>
        </w:rPr>
      </w:pPr>
      <w:r>
        <w:rPr>
          <w:rFonts w:ascii="Times New Roman" w:hAnsi="Times New Roman"/>
          <w:b/>
          <w:color w:val="000000"/>
          <w:sz w:val="24"/>
        </w:rPr>
        <w:t xml:space="preserve">la proposition est rejetée par le comité d’évaluation. </w:t>
      </w:r>
    </w:p>
    <w:p w14:paraId="240E9191" w14:textId="77777777" w:rsidR="00832F98" w:rsidRPr="005107DF" w:rsidRDefault="00832F98" w:rsidP="00434C10">
      <w:pPr>
        <w:spacing w:after="0" w:line="240" w:lineRule="auto"/>
        <w:ind w:right="-688"/>
        <w:jc w:val="both"/>
        <w:rPr>
          <w:rFonts w:ascii="Times New Roman" w:eastAsia="Times New Roman" w:hAnsi="Times New Roman" w:cs="Times New Roman"/>
          <w:b/>
          <w:color w:val="000000"/>
          <w:sz w:val="24"/>
          <w:szCs w:val="24"/>
        </w:rPr>
      </w:pPr>
      <w:r>
        <w:rPr>
          <w:rFonts w:ascii="Times New Roman" w:hAnsi="Times New Roman"/>
          <w:b/>
          <w:color w:val="000000"/>
          <w:sz w:val="24"/>
        </w:rPr>
        <w:t>La grille d’évaluation doit néanmoins être remplie intégralement.</w:t>
      </w:r>
    </w:p>
    <w:p w14:paraId="5DF33154" w14:textId="77777777" w:rsidR="00832F98" w:rsidRPr="005107DF" w:rsidRDefault="00832F98" w:rsidP="001A78F7">
      <w:pPr>
        <w:spacing w:after="0" w:line="240" w:lineRule="auto"/>
        <w:ind w:right="-688"/>
        <w:jc w:val="both"/>
        <w:rPr>
          <w:rFonts w:ascii="Times New Roman" w:eastAsia="Times New Roman" w:hAnsi="Times New Roman" w:cs="Times New Roman"/>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1"/>
        <w:gridCol w:w="1225"/>
      </w:tblGrid>
      <w:tr w:rsidR="00832F98" w:rsidRPr="005107DF" w14:paraId="5DE18CEC" w14:textId="77777777" w:rsidTr="005300AD">
        <w:trPr>
          <w:trHeight w:val="731"/>
        </w:trPr>
        <w:tc>
          <w:tcPr>
            <w:tcW w:w="4336" w:type="pct"/>
            <w:shd w:val="pct10" w:color="auto" w:fill="FFFFFF"/>
          </w:tcPr>
          <w:p w14:paraId="55B8528F"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1B441922"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8"/>
                <w:szCs w:val="28"/>
                <w:u w:val="single"/>
              </w:rPr>
            </w:pPr>
            <w:r w:rsidRPr="00452C1A">
              <w:rPr>
                <w:rFonts w:ascii="Times New Roman" w:hAnsi="Times New Roman"/>
                <w:b/>
                <w:color w:val="000000"/>
                <w:sz w:val="28"/>
                <w:u w:val="single"/>
              </w:rPr>
              <w:t>3</w:t>
            </w:r>
            <w:r>
              <w:rPr>
                <w:rFonts w:ascii="Times New Roman" w:hAnsi="Times New Roman"/>
                <w:b/>
                <w:color w:val="000000"/>
                <w:sz w:val="28"/>
                <w:u w:val="single"/>
              </w:rPr>
              <w:t>.</w:t>
            </w:r>
            <w:r>
              <w:tab/>
            </w:r>
            <w:r>
              <w:rPr>
                <w:rFonts w:ascii="Times New Roman" w:hAnsi="Times New Roman"/>
                <w:b/>
                <w:color w:val="000000"/>
                <w:sz w:val="28"/>
                <w:u w:val="single"/>
              </w:rPr>
              <w:t>Méthodologie</w:t>
            </w:r>
          </w:p>
        </w:tc>
        <w:tc>
          <w:tcPr>
            <w:tcW w:w="664" w:type="pct"/>
            <w:shd w:val="pct10" w:color="auto" w:fill="FFFFFF"/>
          </w:tcPr>
          <w:p w14:paraId="1E84F762"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p>
          <w:p w14:paraId="6E132FC2"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Note</w:t>
            </w:r>
          </w:p>
          <w:p w14:paraId="711C186A" w14:textId="77777777" w:rsidR="00832F98" w:rsidRPr="005107DF" w:rsidRDefault="00832F98" w:rsidP="001A78F7">
            <w:pPr>
              <w:spacing w:after="0" w:line="240" w:lineRule="auto"/>
              <w:jc w:val="center"/>
              <w:rPr>
                <w:rFonts w:ascii="Times New Roman" w:eastAsia="Times New Roman" w:hAnsi="Times New Roman" w:cs="Times New Roman"/>
                <w:color w:val="000000"/>
                <w:sz w:val="24"/>
                <w:szCs w:val="24"/>
              </w:rPr>
            </w:pPr>
          </w:p>
        </w:tc>
      </w:tr>
      <w:tr w:rsidR="00832F98" w:rsidRPr="005107DF" w14:paraId="35007EA4" w14:textId="77777777" w:rsidTr="005300AD">
        <w:tc>
          <w:tcPr>
            <w:tcW w:w="4336" w:type="pct"/>
          </w:tcPr>
          <w:p w14:paraId="30E821A9"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546027C3"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r w:rsidRPr="00452C1A">
              <w:rPr>
                <w:rFonts w:ascii="Times New Roman" w:hAnsi="Times New Roman"/>
                <w:color w:val="000000"/>
                <w:sz w:val="24"/>
              </w:rPr>
              <w:t>3</w:t>
            </w:r>
            <w:r>
              <w:rPr>
                <w:rFonts w:ascii="Times New Roman" w:hAnsi="Times New Roman"/>
                <w:color w:val="000000"/>
                <w:sz w:val="24"/>
              </w:rPr>
              <w:t>.</w:t>
            </w:r>
            <w:r w:rsidRPr="00452C1A">
              <w:rPr>
                <w:rFonts w:ascii="Times New Roman" w:hAnsi="Times New Roman"/>
                <w:color w:val="000000"/>
                <w:sz w:val="24"/>
              </w:rPr>
              <w:t>1</w:t>
            </w:r>
            <w:r>
              <w:tab/>
            </w:r>
            <w:r>
              <w:rPr>
                <w:rFonts w:ascii="Times New Roman" w:hAnsi="Times New Roman"/>
                <w:color w:val="000000"/>
                <w:sz w:val="24"/>
              </w:rPr>
              <w:t xml:space="preserve">Le concept global sous-tendant les idées et la proposition est-il cohérent? </w:t>
            </w:r>
          </w:p>
          <w:p w14:paraId="07E235BD"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c>
          <w:tcPr>
            <w:tcW w:w="664" w:type="pct"/>
          </w:tcPr>
          <w:p w14:paraId="0C345B98"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4FAA9815"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5E992A81"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05582D56" w14:textId="77777777" w:rsidTr="005300AD">
        <w:tc>
          <w:tcPr>
            <w:tcW w:w="4336" w:type="pct"/>
          </w:tcPr>
          <w:p w14:paraId="6F072301"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7FD6DDDD"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r w:rsidRPr="00452C1A">
              <w:rPr>
                <w:rFonts w:ascii="Times New Roman" w:hAnsi="Times New Roman"/>
                <w:color w:val="000000"/>
                <w:sz w:val="24"/>
              </w:rPr>
              <w:t>3</w:t>
            </w:r>
            <w:r>
              <w:rPr>
                <w:rFonts w:ascii="Times New Roman" w:hAnsi="Times New Roman"/>
                <w:color w:val="000000"/>
                <w:sz w:val="24"/>
              </w:rPr>
              <w:t>.</w:t>
            </w:r>
            <w:r w:rsidRPr="00452C1A">
              <w:rPr>
                <w:rFonts w:ascii="Times New Roman" w:hAnsi="Times New Roman"/>
                <w:color w:val="000000"/>
                <w:sz w:val="24"/>
              </w:rPr>
              <w:t>2</w:t>
            </w:r>
            <w:r>
              <w:tab/>
            </w:r>
            <w:r>
              <w:rPr>
                <w:rFonts w:ascii="Times New Roman" w:hAnsi="Times New Roman"/>
                <w:color w:val="000000"/>
                <w:sz w:val="24"/>
              </w:rPr>
              <w:t>La méthodologie proposée est-elle adaptée aux besoins exprimés dans la fiche de projet?</w:t>
            </w:r>
          </w:p>
          <w:p w14:paraId="710A54E7"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c>
          <w:tcPr>
            <w:tcW w:w="664" w:type="pct"/>
          </w:tcPr>
          <w:p w14:paraId="3468183B"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18766215"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109D8085"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0C869E38" w14:textId="77777777" w:rsidTr="005300AD">
        <w:tc>
          <w:tcPr>
            <w:tcW w:w="4336" w:type="pct"/>
          </w:tcPr>
          <w:p w14:paraId="22CFE681"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1CCAA76D" w14:textId="77777777" w:rsidR="00832F98" w:rsidRPr="005107DF" w:rsidRDefault="00832F98" w:rsidP="005300AD">
            <w:pPr>
              <w:tabs>
                <w:tab w:val="left" w:pos="1260"/>
              </w:tabs>
              <w:spacing w:after="0" w:line="240" w:lineRule="auto"/>
              <w:ind w:left="426" w:hanging="426"/>
              <w:rPr>
                <w:rFonts w:ascii="Times New Roman" w:eastAsia="Times New Roman" w:hAnsi="Times New Roman" w:cs="Times New Roman"/>
                <w:color w:val="000000"/>
                <w:sz w:val="24"/>
                <w:szCs w:val="24"/>
              </w:rPr>
            </w:pPr>
            <w:r w:rsidRPr="00452C1A">
              <w:rPr>
                <w:rFonts w:ascii="Times New Roman" w:hAnsi="Times New Roman"/>
                <w:color w:val="000000"/>
                <w:sz w:val="24"/>
              </w:rPr>
              <w:t>3</w:t>
            </w:r>
            <w:r>
              <w:rPr>
                <w:rFonts w:ascii="Times New Roman" w:hAnsi="Times New Roman"/>
                <w:color w:val="000000"/>
                <w:sz w:val="24"/>
              </w:rPr>
              <w:t>.</w:t>
            </w:r>
            <w:r w:rsidRPr="00452C1A">
              <w:rPr>
                <w:rFonts w:ascii="Times New Roman" w:hAnsi="Times New Roman"/>
                <w:color w:val="000000"/>
                <w:sz w:val="24"/>
              </w:rPr>
              <w:t>3</w:t>
            </w:r>
            <w:r>
              <w:tab/>
            </w:r>
            <w:r>
              <w:rPr>
                <w:rFonts w:ascii="Times New Roman" w:hAnsi="Times New Roman"/>
                <w:color w:val="000000"/>
                <w:sz w:val="24"/>
              </w:rPr>
              <w:t>Les résultats (tant sur le plan des résultats obligatoires/produits concrets que de l’impact sur les objectifs spécifiques et l’objectif général) sont-ils mesurables?</w:t>
            </w:r>
          </w:p>
          <w:p w14:paraId="2585BBCB"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c>
          <w:tcPr>
            <w:tcW w:w="664" w:type="pct"/>
          </w:tcPr>
          <w:p w14:paraId="16822142"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19429188"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29D5DCDC"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46030F6D" w14:textId="77777777" w:rsidTr="005300AD">
        <w:tc>
          <w:tcPr>
            <w:tcW w:w="4336" w:type="pct"/>
          </w:tcPr>
          <w:p w14:paraId="237089F6"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2F695E03"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r w:rsidRPr="00452C1A">
              <w:rPr>
                <w:rFonts w:ascii="Times New Roman" w:hAnsi="Times New Roman"/>
                <w:color w:val="000000"/>
                <w:sz w:val="24"/>
              </w:rPr>
              <w:t>3</w:t>
            </w:r>
            <w:r>
              <w:rPr>
                <w:rFonts w:ascii="Times New Roman" w:hAnsi="Times New Roman"/>
                <w:color w:val="000000"/>
                <w:sz w:val="24"/>
              </w:rPr>
              <w:t>.</w:t>
            </w:r>
            <w:r w:rsidRPr="00452C1A">
              <w:rPr>
                <w:rFonts w:ascii="Times New Roman" w:hAnsi="Times New Roman"/>
                <w:color w:val="000000"/>
                <w:sz w:val="24"/>
              </w:rPr>
              <w:t>4</w:t>
            </w:r>
            <w:r>
              <w:tab/>
            </w:r>
            <w:r>
              <w:rPr>
                <w:rFonts w:ascii="Times New Roman" w:hAnsi="Times New Roman"/>
                <w:color w:val="000000"/>
                <w:sz w:val="24"/>
              </w:rPr>
              <w:t xml:space="preserve">Le ou les États membres prévoient-ils de couvrir tous les éléments des volets mentionnés dans la fiche de projet de jumelage? </w:t>
            </w:r>
          </w:p>
          <w:p w14:paraId="7848630A"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p>
          <w:p w14:paraId="0C0C818E"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r>
              <w:rPr>
                <w:rFonts w:ascii="Times New Roman" w:hAnsi="Times New Roman"/>
                <w:color w:val="000000"/>
                <w:sz w:val="24"/>
              </w:rPr>
              <w:t xml:space="preserve">       Existe-t-il des exemples d’activités clés proposées qui sont cohérentes avec les résultats obligatoires/produits et les objectifs?</w:t>
            </w:r>
          </w:p>
          <w:p w14:paraId="56D2CF12"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c>
          <w:tcPr>
            <w:tcW w:w="664" w:type="pct"/>
          </w:tcPr>
          <w:p w14:paraId="705EBF00"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7DD25E8E"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0A825BA9"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0AC4E88B" w14:textId="77777777" w:rsidTr="005300AD">
        <w:tc>
          <w:tcPr>
            <w:tcW w:w="4336" w:type="pct"/>
          </w:tcPr>
          <w:p w14:paraId="7E73A8CD"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361FC95E"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Note totale</w:t>
            </w:r>
          </w:p>
        </w:tc>
        <w:tc>
          <w:tcPr>
            <w:tcW w:w="664" w:type="pct"/>
          </w:tcPr>
          <w:p w14:paraId="7C7CEF97"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600068E4"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20</w:t>
            </w:r>
          </w:p>
        </w:tc>
      </w:tr>
    </w:tbl>
    <w:p w14:paraId="3F19DDAF"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5E5A5D76" w14:textId="77777777" w:rsidR="00832F98" w:rsidRPr="005107DF" w:rsidRDefault="00832F98" w:rsidP="005300AD">
      <w:pPr>
        <w:pBdr>
          <w:top w:val="single" w:sz="4" w:space="1" w:color="auto"/>
          <w:left w:val="single" w:sz="4" w:space="4" w:color="auto"/>
          <w:bottom w:val="single" w:sz="4" w:space="1" w:color="auto"/>
          <w:right w:val="single" w:sz="4" w:space="8" w:color="auto"/>
        </w:pBd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Remarques</w:t>
      </w:r>
      <w:r>
        <w:tab/>
      </w:r>
      <w:r>
        <w:tab/>
      </w:r>
      <w:r>
        <w:tab/>
      </w:r>
      <w:r>
        <w:tab/>
      </w:r>
      <w:r>
        <w:tab/>
      </w:r>
      <w:r>
        <w:tab/>
      </w:r>
      <w:r>
        <w:tab/>
      </w:r>
      <w:r>
        <w:tab/>
      </w:r>
      <w:r>
        <w:tab/>
      </w:r>
      <w:r>
        <w:tab/>
      </w:r>
      <w:r>
        <w:tab/>
      </w:r>
    </w:p>
    <w:p w14:paraId="4BC05E5E" w14:textId="77777777" w:rsidR="00832F98" w:rsidRPr="005107DF" w:rsidRDefault="00832F98" w:rsidP="005300AD">
      <w:pPr>
        <w:pBdr>
          <w:top w:val="single" w:sz="4" w:space="1" w:color="auto"/>
          <w:left w:val="single" w:sz="4" w:space="4" w:color="auto"/>
          <w:bottom w:val="single" w:sz="4" w:space="1" w:color="auto"/>
          <w:right w:val="single" w:sz="4" w:space="8" w:color="auto"/>
        </w:pBdr>
        <w:spacing w:after="0" w:line="240" w:lineRule="auto"/>
        <w:rPr>
          <w:rFonts w:ascii="Times New Roman" w:eastAsia="Times New Roman" w:hAnsi="Times New Roman" w:cs="Times New Roman"/>
          <w:color w:val="000000"/>
          <w:sz w:val="24"/>
          <w:szCs w:val="24"/>
        </w:rPr>
      </w:pPr>
    </w:p>
    <w:p w14:paraId="2DF12892"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r>
        <w:tab/>
      </w:r>
      <w: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1"/>
        <w:gridCol w:w="1225"/>
      </w:tblGrid>
      <w:tr w:rsidR="00832F98" w:rsidRPr="005107DF" w14:paraId="4EC6E442" w14:textId="77777777" w:rsidTr="005300AD">
        <w:tc>
          <w:tcPr>
            <w:tcW w:w="4336" w:type="pct"/>
            <w:shd w:val="pct10" w:color="auto" w:fill="FFFFFF"/>
          </w:tcPr>
          <w:p w14:paraId="17AE3C83" w14:textId="77777777" w:rsidR="00832F98" w:rsidRPr="005107DF" w:rsidRDefault="00832F98" w:rsidP="001A78F7">
            <w:pPr>
              <w:spacing w:after="0" w:line="240" w:lineRule="auto"/>
              <w:rPr>
                <w:rFonts w:ascii="Times New Roman" w:eastAsia="Times New Roman" w:hAnsi="Times New Roman" w:cs="Times New Roman"/>
                <w:color w:val="000000"/>
                <w:sz w:val="24"/>
                <w:szCs w:val="24"/>
                <w:u w:val="single"/>
              </w:rPr>
            </w:pPr>
            <w:r>
              <w:br w:type="page"/>
            </w:r>
          </w:p>
          <w:p w14:paraId="12542E68" w14:textId="77777777" w:rsidR="00832F98" w:rsidRPr="005107DF" w:rsidRDefault="00832F98" w:rsidP="001A78F7">
            <w:pPr>
              <w:spacing w:after="0" w:line="240" w:lineRule="auto"/>
              <w:rPr>
                <w:rFonts w:ascii="Times New Roman" w:eastAsia="Times New Roman" w:hAnsi="Times New Roman" w:cs="Times New Roman"/>
                <w:b/>
                <w:color w:val="000000"/>
                <w:sz w:val="28"/>
                <w:szCs w:val="28"/>
                <w:u w:val="single"/>
              </w:rPr>
            </w:pPr>
            <w:r w:rsidRPr="00452C1A">
              <w:rPr>
                <w:rFonts w:ascii="Times New Roman" w:hAnsi="Times New Roman"/>
                <w:b/>
                <w:color w:val="000000"/>
                <w:sz w:val="28"/>
                <w:u w:val="single"/>
              </w:rPr>
              <w:t>4</w:t>
            </w:r>
            <w:r>
              <w:rPr>
                <w:rFonts w:ascii="Times New Roman" w:hAnsi="Times New Roman"/>
                <w:b/>
                <w:color w:val="000000"/>
                <w:sz w:val="28"/>
                <w:u w:val="single"/>
              </w:rPr>
              <w:t>. Durabilité</w:t>
            </w:r>
          </w:p>
          <w:p w14:paraId="428503D4"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c>
          <w:tcPr>
            <w:tcW w:w="664" w:type="pct"/>
            <w:shd w:val="pct10" w:color="auto" w:fill="FFFFFF"/>
          </w:tcPr>
          <w:p w14:paraId="03F0B0C3" w14:textId="77777777" w:rsidR="00832F98" w:rsidRPr="005107DF" w:rsidRDefault="00832F98" w:rsidP="001A78F7">
            <w:pPr>
              <w:spacing w:after="0" w:line="240" w:lineRule="auto"/>
              <w:rPr>
                <w:rFonts w:ascii="Times New Roman" w:eastAsia="Times New Roman" w:hAnsi="Times New Roman" w:cs="Times New Roman"/>
                <w:b/>
                <w:color w:val="000000"/>
                <w:sz w:val="20"/>
                <w:szCs w:val="24"/>
              </w:rPr>
            </w:pPr>
          </w:p>
          <w:p w14:paraId="43B9ED06" w14:textId="77777777" w:rsidR="00832F98" w:rsidRPr="005107DF" w:rsidRDefault="00832F98" w:rsidP="001A78F7">
            <w:pPr>
              <w:spacing w:after="0" w:line="240" w:lineRule="auto"/>
              <w:rPr>
                <w:rFonts w:ascii="Times New Roman" w:eastAsia="Times New Roman" w:hAnsi="Times New Roman" w:cs="Times New Roman"/>
                <w:b/>
                <w:color w:val="000000"/>
                <w:sz w:val="20"/>
                <w:szCs w:val="24"/>
              </w:rPr>
            </w:pPr>
            <w:r>
              <w:rPr>
                <w:rFonts w:ascii="Times New Roman" w:hAnsi="Times New Roman"/>
                <w:b/>
                <w:color w:val="000000"/>
                <w:sz w:val="20"/>
              </w:rPr>
              <w:t>Note</w:t>
            </w:r>
          </w:p>
        </w:tc>
      </w:tr>
      <w:tr w:rsidR="00832F98" w:rsidRPr="005107DF" w14:paraId="4753E0E7" w14:textId="77777777" w:rsidTr="005300AD">
        <w:tc>
          <w:tcPr>
            <w:tcW w:w="4336" w:type="pct"/>
          </w:tcPr>
          <w:p w14:paraId="3F2F9317"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p>
          <w:p w14:paraId="1F2AAE67"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r w:rsidRPr="00452C1A">
              <w:rPr>
                <w:rFonts w:ascii="Times New Roman" w:hAnsi="Times New Roman"/>
                <w:color w:val="000000"/>
                <w:sz w:val="24"/>
              </w:rPr>
              <w:t>4</w:t>
            </w:r>
            <w:r>
              <w:rPr>
                <w:rFonts w:ascii="Times New Roman" w:hAnsi="Times New Roman"/>
                <w:color w:val="000000"/>
                <w:sz w:val="24"/>
              </w:rPr>
              <w:t>.</w:t>
            </w:r>
            <w:r w:rsidRPr="00452C1A">
              <w:rPr>
                <w:rFonts w:ascii="Times New Roman" w:hAnsi="Times New Roman"/>
                <w:color w:val="000000"/>
                <w:sz w:val="24"/>
              </w:rPr>
              <w:t>1</w:t>
            </w:r>
            <w:r>
              <w:rPr>
                <w:rFonts w:ascii="Times New Roman" w:hAnsi="Times New Roman"/>
                <w:color w:val="000000"/>
                <w:sz w:val="24"/>
              </w:rPr>
              <w:t xml:space="preserve"> L’action est-elle susceptible d’avoir un impact tangible sur les groupes cibles?</w:t>
            </w:r>
          </w:p>
          <w:p w14:paraId="43715F1D"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p>
        </w:tc>
        <w:tc>
          <w:tcPr>
            <w:tcW w:w="664" w:type="pct"/>
          </w:tcPr>
          <w:p w14:paraId="6F5AB020"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0523BE9B"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54C0D2CA" w14:textId="77777777" w:rsidTr="005300AD">
        <w:tc>
          <w:tcPr>
            <w:tcW w:w="4336" w:type="pct"/>
          </w:tcPr>
          <w:p w14:paraId="77E7D847"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p>
          <w:p w14:paraId="14611E3F"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r w:rsidRPr="00452C1A">
              <w:rPr>
                <w:rFonts w:ascii="Times New Roman" w:hAnsi="Times New Roman"/>
                <w:color w:val="000000"/>
                <w:sz w:val="24"/>
              </w:rPr>
              <w:t>4</w:t>
            </w:r>
            <w:r>
              <w:rPr>
                <w:rFonts w:ascii="Times New Roman" w:hAnsi="Times New Roman"/>
                <w:color w:val="000000"/>
                <w:sz w:val="24"/>
              </w:rPr>
              <w:t>.</w:t>
            </w:r>
            <w:r w:rsidRPr="00452C1A">
              <w:rPr>
                <w:rFonts w:ascii="Times New Roman" w:hAnsi="Times New Roman"/>
                <w:color w:val="000000"/>
                <w:sz w:val="24"/>
              </w:rPr>
              <w:t>2</w:t>
            </w:r>
            <w:r>
              <w:rPr>
                <w:rFonts w:ascii="Times New Roman" w:hAnsi="Times New Roman"/>
                <w:color w:val="000000"/>
                <w:sz w:val="24"/>
              </w:rPr>
              <w:t xml:space="preserve"> La proposition est-elle susceptible d’avoir des effets multiplicateurs? (notamment probabilité de reproduction et d’extension des résultats de </w:t>
            </w:r>
            <w:r>
              <w:rPr>
                <w:rFonts w:ascii="Times New Roman" w:hAnsi="Times New Roman"/>
                <w:color w:val="000000"/>
                <w:sz w:val="24"/>
              </w:rPr>
              <w:lastRenderedPageBreak/>
              <w:t>l’action ainsi que diffusion d’informations)</w:t>
            </w:r>
          </w:p>
        </w:tc>
        <w:tc>
          <w:tcPr>
            <w:tcW w:w="664" w:type="pct"/>
          </w:tcPr>
          <w:p w14:paraId="6CD21380"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524313AE"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7256CF8D"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07655028"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lastRenderedPageBreak/>
              <w:t>/</w:t>
            </w:r>
            <w:r w:rsidRPr="00452C1A">
              <w:rPr>
                <w:rFonts w:ascii="Times New Roman" w:hAnsi="Times New Roman"/>
                <w:color w:val="000000"/>
                <w:sz w:val="24"/>
              </w:rPr>
              <w:t>5</w:t>
            </w:r>
          </w:p>
        </w:tc>
      </w:tr>
      <w:tr w:rsidR="00832F98" w:rsidRPr="005107DF" w14:paraId="33F80184" w14:textId="77777777" w:rsidTr="005300AD">
        <w:trPr>
          <w:trHeight w:val="1728"/>
        </w:trPr>
        <w:tc>
          <w:tcPr>
            <w:tcW w:w="4336" w:type="pct"/>
          </w:tcPr>
          <w:p w14:paraId="04637B6F"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p>
          <w:p w14:paraId="778301F3" w14:textId="77777777" w:rsidR="00832F98" w:rsidRPr="005107DF" w:rsidRDefault="00832F98">
            <w:pPr>
              <w:rPr>
                <w:rFonts w:ascii="Times New Roman" w:hAnsi="Times New Roman" w:cs="Times New Roman"/>
                <w:i/>
              </w:rPr>
            </w:pPr>
            <w:r w:rsidRPr="00452C1A">
              <w:rPr>
                <w:rFonts w:ascii="Times New Roman" w:hAnsi="Times New Roman"/>
                <w:color w:val="000000"/>
                <w:sz w:val="24"/>
              </w:rPr>
              <w:t>4</w:t>
            </w:r>
            <w:r>
              <w:rPr>
                <w:rFonts w:ascii="Times New Roman" w:hAnsi="Times New Roman"/>
                <w:color w:val="000000"/>
                <w:sz w:val="24"/>
              </w:rPr>
              <w:t xml:space="preserve">. </w:t>
            </w:r>
            <w:r w:rsidRPr="00452C1A">
              <w:rPr>
                <w:rFonts w:ascii="Times New Roman" w:hAnsi="Times New Roman"/>
                <w:color w:val="000000"/>
                <w:sz w:val="24"/>
              </w:rPr>
              <w:t>3</w:t>
            </w:r>
            <w:r>
              <w:rPr>
                <w:rFonts w:ascii="Times New Roman" w:hAnsi="Times New Roman"/>
                <w:color w:val="000000"/>
                <w:sz w:val="24"/>
              </w:rPr>
              <w:t xml:space="preserve"> Les résultats attendus de l’action proposée sont-ils durables? </w:t>
            </w:r>
            <w:bookmarkStart w:id="1499" w:name="_Toc442374577"/>
            <w:bookmarkStart w:id="1500" w:name="_Toc442375067"/>
            <w:bookmarkStart w:id="1501" w:name="_Toc443320389"/>
            <w:bookmarkStart w:id="1502" w:name="_Toc464460236"/>
            <w:bookmarkStart w:id="1503" w:name="_Toc476063583"/>
            <w:bookmarkStart w:id="1504" w:name="_Toc476068065"/>
            <w:r>
              <w:rPr>
                <w:rFonts w:ascii="Times New Roman" w:hAnsi="Times New Roman"/>
                <w:sz w:val="24"/>
              </w:rPr>
              <w:t>Les idées/stratégies relatives à la pérennisation des résultats sont-elles réalistes</w:t>
            </w:r>
            <w:bookmarkEnd w:id="1499"/>
            <w:bookmarkEnd w:id="1500"/>
            <w:bookmarkEnd w:id="1501"/>
            <w:bookmarkEnd w:id="1502"/>
            <w:bookmarkEnd w:id="1503"/>
            <w:bookmarkEnd w:id="1504"/>
            <w:r>
              <w:rPr>
                <w:rFonts w:ascii="Times New Roman" w:hAnsi="Times New Roman"/>
                <w:sz w:val="24"/>
              </w:rPr>
              <w:t>?</w:t>
            </w:r>
          </w:p>
        </w:tc>
        <w:tc>
          <w:tcPr>
            <w:tcW w:w="664" w:type="pct"/>
          </w:tcPr>
          <w:p w14:paraId="77EEC30E"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1DBDF2FD"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1B1F93FA"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257C9CE9"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389C6E3D"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643DDA99"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            /</w:t>
            </w:r>
            <w:r w:rsidRPr="00452C1A">
              <w:rPr>
                <w:rFonts w:ascii="Times New Roman" w:hAnsi="Times New Roman"/>
                <w:color w:val="000000"/>
                <w:sz w:val="24"/>
              </w:rPr>
              <w:t>5</w:t>
            </w:r>
          </w:p>
        </w:tc>
      </w:tr>
      <w:tr w:rsidR="00832F98" w:rsidRPr="005107DF" w14:paraId="1D17509C" w14:textId="77777777" w:rsidTr="005300AD">
        <w:tc>
          <w:tcPr>
            <w:tcW w:w="4336" w:type="pct"/>
          </w:tcPr>
          <w:p w14:paraId="4C5EE7F0" w14:textId="77777777" w:rsidR="00832F98" w:rsidRPr="005107DF" w:rsidRDefault="00832F98" w:rsidP="001A78F7">
            <w:pPr>
              <w:spacing w:before="120" w:after="120" w:line="240" w:lineRule="auto"/>
              <w:rPr>
                <w:rFonts w:ascii="Times New Roman" w:eastAsia="Times New Roman" w:hAnsi="Times New Roman" w:cs="Times New Roman"/>
                <w:color w:val="000000"/>
                <w:sz w:val="24"/>
                <w:szCs w:val="24"/>
              </w:rPr>
            </w:pPr>
            <w:r>
              <w:rPr>
                <w:rFonts w:ascii="Times New Roman" w:hAnsi="Times New Roman"/>
                <w:b/>
                <w:color w:val="000000"/>
                <w:sz w:val="24"/>
              </w:rPr>
              <w:t>Note totale:</w:t>
            </w:r>
          </w:p>
        </w:tc>
        <w:tc>
          <w:tcPr>
            <w:tcW w:w="664" w:type="pct"/>
          </w:tcPr>
          <w:p w14:paraId="6FF4CADC" w14:textId="77777777" w:rsidR="00832F98" w:rsidRPr="005107DF" w:rsidRDefault="00832F98" w:rsidP="001A78F7">
            <w:pPr>
              <w:spacing w:before="120" w:after="12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15</w:t>
            </w:r>
          </w:p>
        </w:tc>
      </w:tr>
    </w:tbl>
    <w:p w14:paraId="227C3FB9"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13A567E3" w14:textId="77777777" w:rsidR="00832F98" w:rsidRPr="005107DF" w:rsidRDefault="00832F98"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Remarques</w:t>
      </w:r>
    </w:p>
    <w:p w14:paraId="4B8F3479" w14:textId="77777777" w:rsidR="00832F98" w:rsidRPr="005107DF" w:rsidRDefault="00832F98"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rPr>
      </w:pPr>
    </w:p>
    <w:p w14:paraId="4FDCEAF6"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692EB382"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6"/>
      </w:tblGrid>
      <w:tr w:rsidR="00832F98" w:rsidRPr="005107DF" w14:paraId="64E3A8CB" w14:textId="77777777" w:rsidTr="005300AD">
        <w:tc>
          <w:tcPr>
            <w:tcW w:w="5000" w:type="pct"/>
          </w:tcPr>
          <w:p w14:paraId="3FA981C1" w14:textId="77777777" w:rsidR="00832F98" w:rsidRPr="005107DF" w:rsidRDefault="00832F98" w:rsidP="0052718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NOTE TOTALE                                                                                           /</w:t>
            </w:r>
            <w:r w:rsidRPr="00452C1A">
              <w:rPr>
                <w:rFonts w:ascii="Times New Roman" w:hAnsi="Times New Roman"/>
                <w:b/>
                <w:color w:val="000000"/>
                <w:sz w:val="24"/>
              </w:rPr>
              <w:t>100</w:t>
            </w:r>
            <w:r>
              <w:rPr>
                <w:rFonts w:ascii="Times New Roman" w:hAnsi="Times New Roman"/>
                <w:b/>
                <w:color w:val="000000"/>
                <w:sz w:val="24"/>
              </w:rPr>
              <w:t xml:space="preserve">                                                                                                              </w:t>
            </w:r>
          </w:p>
        </w:tc>
      </w:tr>
    </w:tbl>
    <w:p w14:paraId="0CCF723A" w14:textId="77777777" w:rsidR="00832F98" w:rsidRPr="005107DF" w:rsidRDefault="00832F98" w:rsidP="001A78F7">
      <w:pPr>
        <w:spacing w:after="0" w:line="240" w:lineRule="auto"/>
        <w:rPr>
          <w:rFonts w:ascii="Times New Roman" w:eastAsia="Times New Roman" w:hAnsi="Times New Roman" w:cs="Times New Roman"/>
          <w:sz w:val="24"/>
          <w:szCs w:val="24"/>
        </w:rPr>
      </w:pPr>
    </w:p>
    <w:p w14:paraId="0D5DE5ED" w14:textId="77777777" w:rsidR="00832F98" w:rsidRPr="005107DF" w:rsidRDefault="00832F98" w:rsidP="001A78F7">
      <w:pPr>
        <w:spacing w:after="0" w:line="240" w:lineRule="auto"/>
        <w:rPr>
          <w:rFonts w:ascii="Times New Roman" w:eastAsia="Times New Roman" w:hAnsi="Times New Roman" w:cs="Times New Roman"/>
          <w:sz w:val="24"/>
          <w:szCs w:val="24"/>
        </w:rPr>
      </w:pPr>
    </w:p>
    <w:p w14:paraId="664A7A2E" w14:textId="77777777" w:rsidR="00832F98" w:rsidRPr="005107DF" w:rsidRDefault="00832F98" w:rsidP="001A78F7">
      <w:pPr>
        <w:spacing w:after="0" w:line="240" w:lineRule="auto"/>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6"/>
        <w:gridCol w:w="2410"/>
      </w:tblGrid>
      <w:tr w:rsidR="00832F98" w:rsidRPr="005107DF" w14:paraId="0B9CE2F1" w14:textId="77777777" w:rsidTr="005300AD">
        <w:tc>
          <w:tcPr>
            <w:tcW w:w="3694" w:type="pct"/>
          </w:tcPr>
          <w:p w14:paraId="523E22AF" w14:textId="77777777" w:rsidR="00832F98" w:rsidRPr="005107DF" w:rsidRDefault="00832F98" w:rsidP="001A78F7">
            <w:pPr>
              <w:spacing w:after="0" w:line="240" w:lineRule="auto"/>
              <w:ind w:left="1260" w:hanging="486"/>
              <w:rPr>
                <w:rFonts w:ascii="Times New Roman" w:eastAsia="Times New Roman" w:hAnsi="Times New Roman" w:cs="Times New Roman"/>
                <w:b/>
                <w:i/>
                <w:color w:val="000000"/>
                <w:sz w:val="24"/>
                <w:szCs w:val="24"/>
              </w:rPr>
            </w:pPr>
            <w:r w:rsidRPr="00452C1A">
              <w:rPr>
                <w:rFonts w:ascii="Times New Roman" w:hAnsi="Times New Roman"/>
                <w:b/>
                <w:i/>
                <w:color w:val="000000"/>
                <w:sz w:val="24"/>
              </w:rPr>
              <w:t>1</w:t>
            </w:r>
            <w:r>
              <w:rPr>
                <w:rFonts w:ascii="Times New Roman" w:hAnsi="Times New Roman"/>
                <w:b/>
                <w:i/>
                <w:color w:val="000000"/>
                <w:sz w:val="24"/>
              </w:rPr>
              <w:t>. Capacité opérationnelle</w:t>
            </w:r>
          </w:p>
          <w:p w14:paraId="34C56399" w14:textId="77777777" w:rsidR="00832F98" w:rsidRPr="005107DF" w:rsidRDefault="00832F98" w:rsidP="001A78F7">
            <w:pPr>
              <w:spacing w:after="0" w:line="240" w:lineRule="auto"/>
              <w:ind w:left="1260" w:hanging="486"/>
              <w:rPr>
                <w:rFonts w:ascii="Times New Roman" w:eastAsia="Times New Roman" w:hAnsi="Times New Roman" w:cs="Times New Roman"/>
                <w:b/>
                <w:i/>
                <w:color w:val="000000"/>
                <w:sz w:val="24"/>
                <w:szCs w:val="24"/>
              </w:rPr>
            </w:pPr>
          </w:p>
          <w:p w14:paraId="138ABE20" w14:textId="77777777" w:rsidR="00832F98" w:rsidRPr="005107DF" w:rsidRDefault="00832F98" w:rsidP="001A78F7">
            <w:pPr>
              <w:spacing w:after="0" w:line="240" w:lineRule="auto"/>
              <w:ind w:left="1260" w:hanging="486"/>
              <w:rPr>
                <w:rFonts w:ascii="Times New Roman" w:eastAsia="Times New Roman" w:hAnsi="Times New Roman" w:cs="Times New Roman"/>
                <w:color w:val="000000"/>
                <w:sz w:val="24"/>
                <w:szCs w:val="24"/>
              </w:rPr>
            </w:pPr>
            <w:r>
              <w:rPr>
                <w:rFonts w:ascii="Times New Roman" w:hAnsi="Times New Roman"/>
                <w:color w:val="000000"/>
                <w:sz w:val="24"/>
              </w:rPr>
              <w:t xml:space="preserve">            A. Conseiller résident de jumelage et chef de projet</w:t>
            </w:r>
          </w:p>
          <w:p w14:paraId="4CAC876C" w14:textId="77777777" w:rsidR="00832F98" w:rsidRPr="005107DF" w:rsidRDefault="00832F98" w:rsidP="001A78F7">
            <w:pPr>
              <w:spacing w:after="0" w:line="240" w:lineRule="auto"/>
              <w:ind w:left="1260" w:hanging="486"/>
              <w:rPr>
                <w:rFonts w:ascii="Times New Roman" w:eastAsia="Times New Roman" w:hAnsi="Times New Roman" w:cs="Times New Roman"/>
                <w:color w:val="000000"/>
                <w:sz w:val="24"/>
                <w:szCs w:val="24"/>
              </w:rPr>
            </w:pPr>
            <w:r>
              <w:rPr>
                <w:rFonts w:ascii="Times New Roman" w:hAnsi="Times New Roman"/>
                <w:color w:val="000000"/>
                <w:sz w:val="24"/>
              </w:rPr>
              <w:t xml:space="preserve">            B. Responsables de volets </w:t>
            </w:r>
          </w:p>
          <w:p w14:paraId="11D4241C" w14:textId="77777777" w:rsidR="00832F98" w:rsidRPr="005107DF" w:rsidRDefault="00832F98" w:rsidP="005B088A">
            <w:pPr>
              <w:spacing w:after="0" w:line="240" w:lineRule="auto"/>
              <w:ind w:left="1260" w:hanging="486"/>
              <w:rPr>
                <w:rFonts w:ascii="Times New Roman" w:eastAsia="Times New Roman" w:hAnsi="Times New Roman" w:cs="Times New Roman"/>
                <w:b/>
                <w:i/>
                <w:color w:val="000000"/>
                <w:sz w:val="24"/>
                <w:szCs w:val="24"/>
              </w:rPr>
            </w:pPr>
            <w:r>
              <w:rPr>
                <w:rFonts w:ascii="Times New Roman" w:hAnsi="Times New Roman"/>
                <w:color w:val="000000"/>
                <w:sz w:val="24"/>
              </w:rPr>
              <w:t xml:space="preserve">            C.  État membre partenaire junior</w:t>
            </w:r>
          </w:p>
        </w:tc>
        <w:tc>
          <w:tcPr>
            <w:tcW w:w="1306" w:type="pct"/>
          </w:tcPr>
          <w:p w14:paraId="127A12E7"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p>
          <w:p w14:paraId="7033DB64"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p>
          <w:p w14:paraId="1074835E"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w:t>
            </w:r>
            <w:r w:rsidRPr="00452C1A">
              <w:rPr>
                <w:rFonts w:ascii="Times New Roman" w:hAnsi="Times New Roman"/>
                <w:b/>
                <w:color w:val="000000"/>
                <w:sz w:val="24"/>
              </w:rPr>
              <w:t>25</w:t>
            </w:r>
          </w:p>
          <w:p w14:paraId="60E06053"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w:t>
            </w:r>
            <w:r w:rsidRPr="00452C1A">
              <w:rPr>
                <w:rFonts w:ascii="Times New Roman" w:hAnsi="Times New Roman"/>
                <w:b/>
                <w:color w:val="000000"/>
                <w:sz w:val="24"/>
              </w:rPr>
              <w:t>10</w:t>
            </w:r>
          </w:p>
          <w:p w14:paraId="1ADC2C51"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w:t>
            </w:r>
            <w:r w:rsidRPr="00452C1A">
              <w:rPr>
                <w:rFonts w:ascii="Times New Roman" w:hAnsi="Times New Roman"/>
                <w:b/>
                <w:color w:val="000000"/>
                <w:sz w:val="24"/>
              </w:rPr>
              <w:t>10</w:t>
            </w:r>
          </w:p>
        </w:tc>
      </w:tr>
      <w:tr w:rsidR="00832F98" w:rsidRPr="005107DF" w14:paraId="4DEAC6EA" w14:textId="77777777" w:rsidTr="005300AD">
        <w:tc>
          <w:tcPr>
            <w:tcW w:w="3694" w:type="pct"/>
          </w:tcPr>
          <w:p w14:paraId="1CBADDEB" w14:textId="77777777" w:rsidR="00832F98" w:rsidRPr="005107DF" w:rsidRDefault="00832F98" w:rsidP="001A78F7">
            <w:pPr>
              <w:spacing w:after="0" w:line="240" w:lineRule="auto"/>
              <w:rPr>
                <w:rFonts w:ascii="Times New Roman" w:eastAsia="Times New Roman" w:hAnsi="Times New Roman" w:cs="Times New Roman"/>
                <w:b/>
                <w:i/>
                <w:color w:val="000000"/>
                <w:sz w:val="24"/>
                <w:szCs w:val="24"/>
              </w:rPr>
            </w:pPr>
            <w:r>
              <w:rPr>
                <w:rFonts w:ascii="Times New Roman" w:hAnsi="Times New Roman"/>
                <w:b/>
                <w:i/>
                <w:color w:val="000000"/>
                <w:sz w:val="24"/>
              </w:rPr>
              <w:t xml:space="preserve">          </w:t>
            </w:r>
          </w:p>
          <w:p w14:paraId="47E033D9" w14:textId="77777777" w:rsidR="00832F98" w:rsidRPr="005107DF" w:rsidRDefault="00832F98" w:rsidP="001A78F7">
            <w:pPr>
              <w:tabs>
                <w:tab w:val="left" w:pos="1440"/>
              </w:tabs>
              <w:spacing w:after="0" w:line="240" w:lineRule="auto"/>
              <w:ind w:left="1440" w:hanging="720"/>
              <w:rPr>
                <w:rFonts w:ascii="Times New Roman" w:eastAsia="Times New Roman" w:hAnsi="Times New Roman" w:cs="Times New Roman"/>
                <w:b/>
                <w:i/>
                <w:color w:val="000000"/>
                <w:sz w:val="24"/>
                <w:szCs w:val="24"/>
              </w:rPr>
            </w:pPr>
            <w:r w:rsidRPr="00452C1A">
              <w:rPr>
                <w:rFonts w:ascii="Times New Roman" w:hAnsi="Times New Roman"/>
                <w:b/>
                <w:i/>
                <w:color w:val="000000"/>
                <w:sz w:val="24"/>
              </w:rPr>
              <w:t>2</w:t>
            </w:r>
            <w:r>
              <w:rPr>
                <w:rFonts w:ascii="Times New Roman" w:hAnsi="Times New Roman"/>
                <w:b/>
                <w:i/>
                <w:color w:val="000000"/>
                <w:sz w:val="24"/>
              </w:rPr>
              <w:t>. Pertinence</w:t>
            </w:r>
          </w:p>
        </w:tc>
        <w:tc>
          <w:tcPr>
            <w:tcW w:w="1306" w:type="pct"/>
          </w:tcPr>
          <w:p w14:paraId="7F31DD80"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 xml:space="preserve"> </w:t>
            </w:r>
          </w:p>
          <w:p w14:paraId="370B7741"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w:t>
            </w:r>
            <w:r w:rsidRPr="00452C1A">
              <w:rPr>
                <w:rFonts w:ascii="Times New Roman" w:hAnsi="Times New Roman"/>
                <w:b/>
                <w:color w:val="000000"/>
                <w:sz w:val="24"/>
              </w:rPr>
              <w:t>20</w:t>
            </w:r>
          </w:p>
        </w:tc>
      </w:tr>
      <w:tr w:rsidR="00832F98" w:rsidRPr="005107DF" w14:paraId="63A1BACD" w14:textId="77777777" w:rsidTr="005300AD">
        <w:tc>
          <w:tcPr>
            <w:tcW w:w="3694" w:type="pct"/>
          </w:tcPr>
          <w:p w14:paraId="42DDD1BB" w14:textId="77777777" w:rsidR="00832F98" w:rsidRPr="005107DF" w:rsidRDefault="00832F98" w:rsidP="001A78F7">
            <w:pPr>
              <w:spacing w:after="0" w:line="240" w:lineRule="auto"/>
              <w:ind w:left="1134" w:hanging="414"/>
              <w:rPr>
                <w:rFonts w:ascii="Times New Roman" w:eastAsia="Times New Roman" w:hAnsi="Times New Roman" w:cs="Times New Roman"/>
                <w:b/>
                <w:i/>
                <w:color w:val="000000"/>
                <w:sz w:val="24"/>
                <w:szCs w:val="24"/>
              </w:rPr>
            </w:pPr>
          </w:p>
          <w:p w14:paraId="52C3BACA" w14:textId="77777777" w:rsidR="00832F98" w:rsidRPr="005107DF" w:rsidRDefault="00832F98" w:rsidP="001A78F7">
            <w:pPr>
              <w:spacing w:after="0" w:line="240" w:lineRule="auto"/>
              <w:ind w:left="1134" w:hanging="414"/>
              <w:rPr>
                <w:rFonts w:ascii="Times New Roman" w:eastAsia="Times New Roman" w:hAnsi="Times New Roman" w:cs="Times New Roman"/>
                <w:b/>
                <w:i/>
                <w:color w:val="000000"/>
                <w:sz w:val="24"/>
                <w:szCs w:val="24"/>
              </w:rPr>
            </w:pPr>
            <w:r w:rsidRPr="00452C1A">
              <w:rPr>
                <w:rFonts w:ascii="Times New Roman" w:hAnsi="Times New Roman"/>
                <w:b/>
                <w:i/>
                <w:color w:val="000000"/>
                <w:sz w:val="24"/>
              </w:rPr>
              <w:t>3</w:t>
            </w:r>
            <w:r>
              <w:rPr>
                <w:rFonts w:ascii="Times New Roman" w:hAnsi="Times New Roman"/>
                <w:b/>
                <w:i/>
                <w:color w:val="000000"/>
                <w:sz w:val="24"/>
              </w:rPr>
              <w:t xml:space="preserve">. Méthodologie </w:t>
            </w:r>
          </w:p>
        </w:tc>
        <w:tc>
          <w:tcPr>
            <w:tcW w:w="1306" w:type="pct"/>
          </w:tcPr>
          <w:p w14:paraId="39E1B8A4"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p>
          <w:p w14:paraId="23753C94"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w:t>
            </w:r>
            <w:r w:rsidRPr="00452C1A">
              <w:rPr>
                <w:rFonts w:ascii="Times New Roman" w:hAnsi="Times New Roman"/>
                <w:b/>
                <w:color w:val="000000"/>
                <w:sz w:val="24"/>
              </w:rPr>
              <w:t>20</w:t>
            </w:r>
          </w:p>
        </w:tc>
      </w:tr>
      <w:tr w:rsidR="00832F98" w:rsidRPr="005107DF" w14:paraId="03B42D79" w14:textId="77777777" w:rsidTr="005300AD">
        <w:tc>
          <w:tcPr>
            <w:tcW w:w="3694" w:type="pct"/>
          </w:tcPr>
          <w:p w14:paraId="4E883DC9" w14:textId="77777777" w:rsidR="00832F98" w:rsidRPr="005107DF" w:rsidRDefault="00832F98" w:rsidP="001A78F7">
            <w:pPr>
              <w:spacing w:after="0" w:line="240" w:lineRule="auto"/>
              <w:ind w:hanging="414"/>
              <w:rPr>
                <w:rFonts w:ascii="Times New Roman" w:eastAsia="Times New Roman" w:hAnsi="Times New Roman" w:cs="Times New Roman"/>
                <w:b/>
                <w:i/>
                <w:color w:val="000000"/>
                <w:sz w:val="24"/>
                <w:szCs w:val="24"/>
              </w:rPr>
            </w:pPr>
            <w:r>
              <w:rPr>
                <w:rFonts w:ascii="Times New Roman" w:hAnsi="Times New Roman"/>
                <w:b/>
                <w:i/>
                <w:color w:val="000000"/>
                <w:sz w:val="24"/>
              </w:rPr>
              <w:t xml:space="preserve">                   </w:t>
            </w:r>
          </w:p>
          <w:p w14:paraId="5BB736C3" w14:textId="77777777" w:rsidR="00832F98" w:rsidRPr="005107DF" w:rsidRDefault="00832F98" w:rsidP="001A78F7">
            <w:pPr>
              <w:spacing w:after="0" w:line="240" w:lineRule="auto"/>
              <w:ind w:hanging="414"/>
              <w:rPr>
                <w:rFonts w:ascii="Times New Roman" w:eastAsia="Times New Roman" w:hAnsi="Times New Roman" w:cs="Times New Roman"/>
                <w:b/>
                <w:i/>
                <w:color w:val="000000"/>
                <w:sz w:val="24"/>
                <w:szCs w:val="24"/>
              </w:rPr>
            </w:pPr>
            <w:r w:rsidRPr="00452C1A">
              <w:rPr>
                <w:rFonts w:ascii="Times New Roman" w:hAnsi="Times New Roman"/>
                <w:b/>
                <w:i/>
                <w:color w:val="000000"/>
                <w:sz w:val="24"/>
              </w:rPr>
              <w:t>5</w:t>
            </w:r>
            <w:r>
              <w:rPr>
                <w:rFonts w:ascii="Times New Roman" w:hAnsi="Times New Roman"/>
                <w:b/>
                <w:i/>
                <w:color w:val="000000"/>
                <w:sz w:val="24"/>
              </w:rPr>
              <w:t xml:space="preserve">.                </w:t>
            </w:r>
            <w:r w:rsidRPr="00452C1A">
              <w:rPr>
                <w:rFonts w:ascii="Times New Roman" w:hAnsi="Times New Roman"/>
                <w:b/>
                <w:i/>
                <w:color w:val="000000"/>
                <w:sz w:val="24"/>
              </w:rPr>
              <w:t>4</w:t>
            </w:r>
            <w:r>
              <w:rPr>
                <w:rFonts w:ascii="Times New Roman" w:hAnsi="Times New Roman"/>
                <w:b/>
                <w:i/>
                <w:color w:val="000000"/>
                <w:sz w:val="24"/>
              </w:rPr>
              <w:t>. Durabilité</w:t>
            </w:r>
          </w:p>
        </w:tc>
        <w:tc>
          <w:tcPr>
            <w:tcW w:w="1306" w:type="pct"/>
          </w:tcPr>
          <w:p w14:paraId="1EBCC284" w14:textId="77777777" w:rsidR="00832F98" w:rsidRPr="005107DF" w:rsidRDefault="00832F98" w:rsidP="001A78F7">
            <w:pPr>
              <w:spacing w:after="0" w:line="240" w:lineRule="auto"/>
              <w:jc w:val="right"/>
              <w:rPr>
                <w:rFonts w:ascii="Times New Roman" w:eastAsia="Times New Roman" w:hAnsi="Times New Roman" w:cs="Times New Roman"/>
                <w:b/>
                <w:color w:val="000000"/>
                <w:sz w:val="24"/>
                <w:szCs w:val="24"/>
              </w:rPr>
            </w:pPr>
          </w:p>
          <w:p w14:paraId="4A7EF61A"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w:t>
            </w:r>
            <w:r w:rsidRPr="00452C1A">
              <w:rPr>
                <w:rFonts w:ascii="Times New Roman" w:hAnsi="Times New Roman"/>
                <w:b/>
                <w:color w:val="000000"/>
                <w:sz w:val="24"/>
              </w:rPr>
              <w:t>15</w:t>
            </w:r>
          </w:p>
        </w:tc>
      </w:tr>
    </w:tbl>
    <w:p w14:paraId="32412F42"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09BEC894"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26"/>
      </w:tblGrid>
      <w:tr w:rsidR="00832F98" w:rsidRPr="005107DF" w14:paraId="1CA7359C" w14:textId="77777777" w:rsidTr="005300AD">
        <w:tc>
          <w:tcPr>
            <w:tcW w:w="5000" w:type="pct"/>
            <w:shd w:val="pct10" w:color="auto" w:fill="FFFFFF"/>
          </w:tcPr>
          <w:p w14:paraId="772181D2"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5B7E4DFF" w14:textId="77777777" w:rsidR="00832F98" w:rsidRPr="005107DF" w:rsidRDefault="00832F98" w:rsidP="001A78F7">
            <w:pPr>
              <w:spacing w:after="0" w:line="240" w:lineRule="auto"/>
              <w:ind w:left="426" w:hanging="426"/>
              <w:rPr>
                <w:rFonts w:ascii="Times New Roman" w:eastAsia="Times New Roman" w:hAnsi="Times New Roman" w:cs="Times New Roman"/>
                <w:b/>
                <w:color w:val="000000"/>
                <w:sz w:val="24"/>
                <w:szCs w:val="24"/>
              </w:rPr>
            </w:pPr>
            <w:r w:rsidRPr="00452C1A">
              <w:rPr>
                <w:rFonts w:ascii="Times New Roman" w:hAnsi="Times New Roman"/>
                <w:b/>
                <w:color w:val="000000"/>
                <w:sz w:val="24"/>
              </w:rPr>
              <w:t>5</w:t>
            </w:r>
            <w:r>
              <w:rPr>
                <w:rFonts w:ascii="Times New Roman" w:hAnsi="Times New Roman"/>
                <w:b/>
                <w:color w:val="000000"/>
                <w:sz w:val="24"/>
              </w:rPr>
              <w:t>.</w:t>
            </w:r>
            <w:r>
              <w:tab/>
            </w:r>
            <w:r>
              <w:rPr>
                <w:rFonts w:ascii="Times New Roman" w:hAnsi="Times New Roman"/>
                <w:b/>
                <w:color w:val="000000"/>
                <w:sz w:val="24"/>
              </w:rPr>
              <w:t>Conclusion et recommandations</w:t>
            </w:r>
          </w:p>
          <w:p w14:paraId="17832175"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r>
      <w:tr w:rsidR="00832F98" w:rsidRPr="005107DF" w14:paraId="3D7C9C6A" w14:textId="77777777" w:rsidTr="005300AD">
        <w:tc>
          <w:tcPr>
            <w:tcW w:w="5000" w:type="pct"/>
          </w:tcPr>
          <w:p w14:paraId="55C06CAD"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5215FBDE"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POINTS FORTS:</w:t>
            </w:r>
          </w:p>
          <w:p w14:paraId="306C5761"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4760F503"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6DA44695"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5234C1CE"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4CFBE975"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POINTS FAIBLES:</w:t>
            </w:r>
          </w:p>
          <w:p w14:paraId="7737FD60"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3A003DD7"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36514596"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66E75538"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53BD3B5B"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 xml:space="preserve">Commentaires particuliers: </w:t>
            </w:r>
          </w:p>
          <w:p w14:paraId="1D9AEF1F"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5BD442AA"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790E5BC1"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36E2FFD0"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tc>
      </w:tr>
    </w:tbl>
    <w:p w14:paraId="70895DC8"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u w:val="single"/>
        </w:rPr>
      </w:pPr>
    </w:p>
    <w:p w14:paraId="60DFA23D"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u w:val="single"/>
        </w:rPr>
      </w:pPr>
    </w:p>
    <w:p w14:paraId="7E5FDD3E"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lastRenderedPageBreak/>
        <w:t>ÉVALUATION ET CONCLUSION</w:t>
      </w:r>
    </w:p>
    <w:p w14:paraId="3EB7809F"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20CE1939" w14:textId="77777777" w:rsidR="00832F98" w:rsidRPr="005107DF" w:rsidRDefault="00832F98" w:rsidP="001A78F7">
      <w:pPr>
        <w:spacing w:after="0" w:line="240" w:lineRule="auto"/>
        <w:ind w:right="-1050"/>
        <w:rPr>
          <w:rFonts w:ascii="Times New Roman" w:eastAsia="Times New Roman" w:hAnsi="Times New Roman" w:cs="Times New Roman"/>
          <w:b/>
          <w:color w:val="000000"/>
          <w:sz w:val="20"/>
          <w:szCs w:val="20"/>
        </w:rPr>
      </w:pPr>
      <w:r>
        <w:rPr>
          <w:rFonts w:ascii="Times New Roman" w:hAnsi="Times New Roman"/>
          <w:b/>
          <w:color w:val="000000"/>
          <w:sz w:val="20"/>
        </w:rPr>
        <w:t>Veuillez indiquer votre conclusion en utilisant l’une des options suivantes:    proposition retenue/proposition non retenue</w:t>
      </w:r>
    </w:p>
    <w:p w14:paraId="1DAA61CC" w14:textId="77777777" w:rsidR="00832F98" w:rsidRPr="005107DF" w:rsidRDefault="00832F98" w:rsidP="001A78F7">
      <w:pPr>
        <w:spacing w:after="0" w:line="240" w:lineRule="auto"/>
        <w:ind w:right="-1050"/>
        <w:rPr>
          <w:rFonts w:ascii="Times New Roman" w:eastAsia="Times New Roman" w:hAnsi="Times New Roman" w:cs="Times New Roman"/>
          <w:b/>
          <w:color w:val="000000"/>
          <w:sz w:val="20"/>
          <w:szCs w:val="20"/>
        </w:rPr>
      </w:pPr>
    </w:p>
    <w:p w14:paraId="2C768A87" w14:textId="77777777" w:rsidR="00832F98" w:rsidRPr="005107DF" w:rsidRDefault="00832F98" w:rsidP="001A78F7">
      <w:pPr>
        <w:spacing w:after="0" w:line="240" w:lineRule="auto"/>
        <w:ind w:right="-1050"/>
        <w:rPr>
          <w:rFonts w:ascii="Times New Roman" w:eastAsia="Times New Roman" w:hAnsi="Times New Roman" w:cs="Times New Roman"/>
          <w:b/>
          <w:color w:val="000000"/>
          <w:sz w:val="20"/>
          <w:szCs w:val="20"/>
        </w:rPr>
      </w:pPr>
    </w:p>
    <w:p w14:paraId="5AAD3874"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sz w:val="20"/>
          <w:szCs w:val="20"/>
        </w:rPr>
      </w:pPr>
      <w:r>
        <w:rPr>
          <w:rFonts w:ascii="Times New Roman" w:hAnsi="Times New Roman"/>
          <w:i/>
          <w:color w:val="000000"/>
          <w:sz w:val="20"/>
        </w:rPr>
        <w:t>CONCLUSION:</w:t>
      </w:r>
      <w:r>
        <w:rPr>
          <w:rFonts w:ascii="Times New Roman" w:hAnsi="Times New Roman"/>
          <w:b/>
          <w:i/>
          <w:color w:val="000000"/>
          <w:sz w:val="20"/>
        </w:rPr>
        <w:t> </w:t>
      </w:r>
      <w:r>
        <w:tab/>
      </w:r>
      <w:r>
        <w:tab/>
      </w:r>
    </w:p>
    <w:p w14:paraId="425BAB0F"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51BE2E06"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07F87247"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sz w:val="20"/>
          <w:szCs w:val="20"/>
        </w:rPr>
      </w:pPr>
      <w:r>
        <w:rPr>
          <w:rFonts w:ascii="Times New Roman" w:hAnsi="Times New Roman"/>
          <w:b/>
          <w:i/>
          <w:color w:val="000000"/>
          <w:sz w:val="20"/>
        </w:rPr>
        <w:t xml:space="preserve">Signatures: </w:t>
      </w:r>
      <w:r>
        <w:tab/>
      </w:r>
    </w:p>
    <w:p w14:paraId="6144B5F4"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24053945"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sz w:val="20"/>
          <w:szCs w:val="20"/>
        </w:rPr>
      </w:pPr>
      <w:r>
        <w:tab/>
      </w:r>
    </w:p>
    <w:p w14:paraId="7772C78E"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095E9B55"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0D79D264"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i/>
          <w:color w:val="000000"/>
          <w:sz w:val="20"/>
          <w:szCs w:val="20"/>
        </w:rPr>
      </w:pPr>
      <w:r>
        <w:rPr>
          <w:rFonts w:ascii="Times New Roman" w:hAnsi="Times New Roman"/>
          <w:b/>
          <w:i/>
          <w:color w:val="000000"/>
          <w:sz w:val="20"/>
        </w:rPr>
        <w:t>Date:</w:t>
      </w:r>
      <w:r>
        <w:tab/>
      </w:r>
      <w:r>
        <w:rPr>
          <w:rFonts w:ascii="Times New Roman" w:hAnsi="Times New Roman"/>
          <w:b/>
          <w:i/>
          <w:color w:val="000000"/>
          <w:sz w:val="20"/>
        </w:rPr>
        <w:t>…</w:t>
      </w:r>
    </w:p>
    <w:p w14:paraId="1588F6E2" w14:textId="77777777" w:rsidR="00832F98" w:rsidRPr="005107DF" w:rsidRDefault="00832F98">
      <w:pPr>
        <w:rPr>
          <w:rFonts w:ascii="Times New Roman" w:eastAsia="Times New Roman" w:hAnsi="Times New Roman" w:cs="Times New Roman"/>
          <w:color w:val="000000"/>
          <w:sz w:val="24"/>
          <w:szCs w:val="24"/>
        </w:rPr>
      </w:pPr>
      <w:r>
        <w:br w:type="page"/>
      </w:r>
    </w:p>
    <w:p w14:paraId="42740A8D"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rFonts w:eastAsia="Calibri"/>
          <w:sz w:val="24"/>
          <w:szCs w:val="24"/>
          <w:u w:val="single"/>
        </w:rPr>
      </w:pPr>
      <w:bookmarkStart w:id="1505" w:name="_Toc517434485"/>
      <w:bookmarkStart w:id="1506" w:name="_Toc2861052"/>
      <w:r>
        <w:rPr>
          <w:sz w:val="32"/>
        </w:rPr>
        <w:lastRenderedPageBreak/>
        <w:t>ANNEXE C</w:t>
      </w:r>
      <w:r w:rsidRPr="00452C1A">
        <w:rPr>
          <w:sz w:val="32"/>
        </w:rPr>
        <w:t>8</w:t>
      </w:r>
      <w:r>
        <w:rPr>
          <w:sz w:val="32"/>
        </w:rPr>
        <w:t>: Fiche d’information pour la sélection des propositions de jumelage léger</w:t>
      </w:r>
      <w:bookmarkEnd w:id="1505"/>
      <w:bookmarkEnd w:id="1506"/>
      <w:r>
        <w:rPr>
          <w:sz w:val="32"/>
        </w:rPr>
        <w:t xml:space="preserve"> </w:t>
      </w:r>
    </w:p>
    <w:p w14:paraId="78C5A3E1" w14:textId="77777777" w:rsidR="00832F98" w:rsidRPr="005107DF" w:rsidRDefault="00832F98" w:rsidP="007338F0">
      <w:pPr>
        <w:jc w:val="center"/>
        <w:rPr>
          <w:rFonts w:ascii="Times New Roman" w:hAnsi="Times New Roman" w:cs="Times New Roman"/>
          <w:b/>
          <w:u w:val="single"/>
        </w:rPr>
      </w:pPr>
      <w:bookmarkStart w:id="1507" w:name="_Toc442374572"/>
      <w:bookmarkStart w:id="1508" w:name="_Toc442375062"/>
      <w:bookmarkStart w:id="1509" w:name="_Toc443320384"/>
      <w:bookmarkStart w:id="1510" w:name="_Toc464460231"/>
      <w:bookmarkStart w:id="1511" w:name="_Toc476063579"/>
      <w:bookmarkStart w:id="1512" w:name="_Toc476068061"/>
      <w:r>
        <w:rPr>
          <w:rFonts w:ascii="Times New Roman" w:hAnsi="Times New Roman" w:cs="Times New Roman"/>
          <w:noProof/>
          <w:lang w:val="en-GB" w:eastAsia="en-GB" w:bidi="ar-SA"/>
        </w:rPr>
        <w:drawing>
          <wp:inline distT="0" distB="0" distL="0" distR="0" wp14:anchorId="6A0CD629" wp14:editId="0980DBE8">
            <wp:extent cx="1000125" cy="657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bookmarkEnd w:id="1507"/>
      <w:bookmarkEnd w:id="1508"/>
      <w:bookmarkEnd w:id="1509"/>
      <w:bookmarkEnd w:id="1510"/>
      <w:bookmarkEnd w:id="1511"/>
      <w:bookmarkEnd w:id="1512"/>
    </w:p>
    <w:p w14:paraId="512CD4B7" w14:textId="77777777" w:rsidR="00832F98" w:rsidRPr="005107DF" w:rsidRDefault="00832F98" w:rsidP="001A78F7">
      <w:pPr>
        <w:tabs>
          <w:tab w:val="left" w:pos="4820"/>
        </w:tabs>
        <w:spacing w:line="240" w:lineRule="auto"/>
        <w:rPr>
          <w:rFonts w:ascii="Times New Roman" w:eastAsia="Calibri" w:hAnsi="Times New Roman" w:cs="Times New Roman"/>
          <w:b/>
          <w:color w:val="000000"/>
          <w:sz w:val="24"/>
          <w:szCs w:val="24"/>
          <w:u w:val="single"/>
        </w:rPr>
      </w:pPr>
      <w:r>
        <w:rPr>
          <w:rFonts w:ascii="Times New Roman" w:hAnsi="Times New Roman"/>
          <w:b/>
          <w:color w:val="000000"/>
          <w:sz w:val="24"/>
          <w:u w:val="single"/>
        </w:rPr>
        <w:t>DONNÉES D’IDENTIFICATION DU PROJET</w:t>
      </w: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361"/>
        <w:gridCol w:w="4961"/>
      </w:tblGrid>
      <w:tr w:rsidR="00832F98" w:rsidRPr="005107DF" w14:paraId="2F4DF13B" w14:textId="77777777" w:rsidTr="007338F0">
        <w:tc>
          <w:tcPr>
            <w:tcW w:w="4361" w:type="dxa"/>
          </w:tcPr>
          <w:p w14:paraId="3FE95290"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Numéro de publication</w:t>
            </w:r>
          </w:p>
        </w:tc>
        <w:tc>
          <w:tcPr>
            <w:tcW w:w="4961" w:type="dxa"/>
          </w:tcPr>
          <w:p w14:paraId="75112F3B"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3ADD2485" w14:textId="77777777" w:rsidTr="007338F0">
        <w:tc>
          <w:tcPr>
            <w:tcW w:w="4361" w:type="dxa"/>
          </w:tcPr>
          <w:p w14:paraId="5C2C3594" w14:textId="77777777" w:rsidR="00832F98" w:rsidRPr="005107DF" w:rsidRDefault="00832F98">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Intitulé et numéro de la fiche de jumelage</w:t>
            </w:r>
          </w:p>
        </w:tc>
        <w:tc>
          <w:tcPr>
            <w:tcW w:w="4961" w:type="dxa"/>
          </w:tcPr>
          <w:p w14:paraId="2710641B"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7B4AB2A9" w14:textId="77777777" w:rsidTr="007338F0">
        <w:tc>
          <w:tcPr>
            <w:tcW w:w="4361" w:type="dxa"/>
          </w:tcPr>
          <w:p w14:paraId="50CECB72"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Intitulé et numéro de la décision de financement</w:t>
            </w:r>
          </w:p>
        </w:tc>
        <w:tc>
          <w:tcPr>
            <w:tcW w:w="4961" w:type="dxa"/>
          </w:tcPr>
          <w:p w14:paraId="285FB90B"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1AE4EF79" w14:textId="77777777" w:rsidTr="007338F0">
        <w:tc>
          <w:tcPr>
            <w:tcW w:w="4361" w:type="dxa"/>
            <w:vAlign w:val="center"/>
          </w:tcPr>
          <w:p w14:paraId="7BB4EB29" w14:textId="77777777" w:rsidR="00832F98" w:rsidRPr="005107DF" w:rsidRDefault="00832F98">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Demandeur (État membre)</w:t>
            </w:r>
          </w:p>
        </w:tc>
        <w:tc>
          <w:tcPr>
            <w:tcW w:w="4961" w:type="dxa"/>
          </w:tcPr>
          <w:p w14:paraId="66AE8824"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color w:val="000000"/>
                <w:sz w:val="24"/>
                <w:szCs w:val="24"/>
              </w:rPr>
            </w:pPr>
          </w:p>
          <w:p w14:paraId="50A9BDD8"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041F9078" w14:textId="77777777" w:rsidTr="007338F0">
        <w:tc>
          <w:tcPr>
            <w:tcW w:w="4361" w:type="dxa"/>
          </w:tcPr>
          <w:p w14:paraId="5BC3ACED"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Durée</w:t>
            </w:r>
          </w:p>
        </w:tc>
        <w:tc>
          <w:tcPr>
            <w:tcW w:w="4961" w:type="dxa"/>
          </w:tcPr>
          <w:p w14:paraId="7CCDF43C" w14:textId="77777777" w:rsidR="00832F98" w:rsidRPr="005107DF" w:rsidRDefault="00832F98" w:rsidP="00BB41DC">
            <w:pPr>
              <w:tabs>
                <w:tab w:val="left" w:pos="4820"/>
              </w:tabs>
              <w:spacing w:before="80" w:after="80" w:line="240" w:lineRule="exact"/>
              <w:rPr>
                <w:rFonts w:ascii="Times New Roman" w:eastAsia="Times New Roman" w:hAnsi="Times New Roman" w:cs="Times New Roman"/>
                <w:color w:val="000000"/>
                <w:sz w:val="24"/>
                <w:szCs w:val="24"/>
              </w:rPr>
            </w:pPr>
            <w:r>
              <w:rPr>
                <w:rFonts w:ascii="Times New Roman" w:hAnsi="Times New Roman"/>
                <w:color w:val="000000"/>
                <w:sz w:val="24"/>
              </w:rPr>
              <w:t xml:space="preserve">                                                              </w:t>
            </w:r>
            <w:r>
              <w:rPr>
                <w:rFonts w:ascii="Times New Roman" w:hAnsi="Times New Roman"/>
                <w:i/>
                <w:color w:val="000000"/>
                <w:sz w:val="24"/>
              </w:rPr>
              <w:t>Mois</w:t>
            </w:r>
          </w:p>
        </w:tc>
      </w:tr>
      <w:tr w:rsidR="00832F98" w:rsidRPr="005107DF" w14:paraId="11E0800C" w14:textId="77777777" w:rsidTr="007338F0">
        <w:tc>
          <w:tcPr>
            <w:tcW w:w="4361" w:type="dxa"/>
          </w:tcPr>
          <w:p w14:paraId="49F60A02"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Budget total</w:t>
            </w:r>
          </w:p>
        </w:tc>
        <w:tc>
          <w:tcPr>
            <w:tcW w:w="4961" w:type="dxa"/>
          </w:tcPr>
          <w:p w14:paraId="7EEAD453"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263EE30D" w14:textId="77777777" w:rsidTr="007338F0">
        <w:tc>
          <w:tcPr>
            <w:tcW w:w="4361" w:type="dxa"/>
          </w:tcPr>
          <w:p w14:paraId="6C9D04A1"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Date de la réunion de sélection</w:t>
            </w:r>
          </w:p>
        </w:tc>
        <w:tc>
          <w:tcPr>
            <w:tcW w:w="4961" w:type="dxa"/>
          </w:tcPr>
          <w:p w14:paraId="5EC77E23"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color w:val="000000"/>
                <w:sz w:val="24"/>
                <w:szCs w:val="24"/>
              </w:rPr>
            </w:pPr>
          </w:p>
        </w:tc>
      </w:tr>
    </w:tbl>
    <w:p w14:paraId="5599377F" w14:textId="77777777" w:rsidR="00832F98" w:rsidRPr="005107DF" w:rsidRDefault="00832F98" w:rsidP="001A78F7">
      <w:pPr>
        <w:tabs>
          <w:tab w:val="left" w:pos="4820"/>
        </w:tabs>
        <w:spacing w:line="240" w:lineRule="auto"/>
        <w:rPr>
          <w:rFonts w:ascii="Times New Roman" w:eastAsia="Calibri" w:hAnsi="Times New Roman" w:cs="Times New Roman"/>
          <w:b/>
          <w:color w:val="000000"/>
          <w:sz w:val="24"/>
          <w:szCs w:val="24"/>
          <w:u w:val="single"/>
        </w:rPr>
      </w:pPr>
    </w:p>
    <w:p w14:paraId="71F2F1CE" w14:textId="77777777" w:rsidR="00832F98" w:rsidRPr="005107DF" w:rsidRDefault="00832F98" w:rsidP="001A78F7">
      <w:pPr>
        <w:tabs>
          <w:tab w:val="left" w:pos="4820"/>
        </w:tabs>
        <w:spacing w:line="240" w:lineRule="auto"/>
        <w:rPr>
          <w:rFonts w:ascii="Times New Roman" w:eastAsia="Calibri" w:hAnsi="Times New Roman" w:cs="Times New Roman"/>
          <w:b/>
          <w:color w:val="000000"/>
          <w:sz w:val="24"/>
          <w:szCs w:val="24"/>
          <w:u w:val="single"/>
        </w:rPr>
      </w:pPr>
    </w:p>
    <w:p w14:paraId="1033508B" w14:textId="77777777" w:rsidR="00832F98" w:rsidRPr="0019382C" w:rsidRDefault="00832F98" w:rsidP="001A78F7">
      <w:pPr>
        <w:spacing w:line="240" w:lineRule="auto"/>
        <w:rPr>
          <w:rFonts w:ascii="Times New Roman" w:eastAsia="Calibri" w:hAnsi="Times New Roman" w:cs="Times New Roman"/>
          <w:b/>
          <w:color w:val="000000"/>
          <w:sz w:val="24"/>
          <w:szCs w:val="24"/>
        </w:rPr>
      </w:pPr>
      <w:r>
        <w:rPr>
          <w:rFonts w:ascii="Times New Roman" w:hAnsi="Times New Roman"/>
          <w:b/>
          <w:color w:val="000000"/>
          <w:sz w:val="24"/>
          <w:u w:val="single"/>
        </w:rPr>
        <w:t>CRITÈRES FORMELS</w:t>
      </w:r>
      <w:r>
        <w:rPr>
          <w:rFonts w:ascii="Times New Roman" w:hAnsi="Times New Roman"/>
          <w:b/>
          <w:color w:val="000000"/>
          <w:sz w:val="24"/>
        </w:rPr>
        <w:t xml:space="preserve"> (</w:t>
      </w:r>
      <w:r>
        <w:rPr>
          <w:rFonts w:ascii="Times New Roman" w:hAnsi="Times New Roman"/>
          <w:i/>
          <w:color w:val="000000"/>
          <w:sz w:val="24"/>
        </w:rPr>
        <w:t>à vérifier avant les réunions de sélection)</w:t>
      </w: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204"/>
        <w:gridCol w:w="3118"/>
      </w:tblGrid>
      <w:tr w:rsidR="00832F98" w:rsidRPr="005107DF" w14:paraId="1D6D2D62" w14:textId="77777777" w:rsidTr="007338F0">
        <w:tc>
          <w:tcPr>
            <w:tcW w:w="6204" w:type="dxa"/>
            <w:vAlign w:val="center"/>
          </w:tcPr>
          <w:p w14:paraId="1BA59CC5" w14:textId="77777777" w:rsidR="00832F98" w:rsidRPr="0019382C" w:rsidRDefault="00832F98" w:rsidP="002C3E42">
            <w:pPr>
              <w:tabs>
                <w:tab w:val="left" w:pos="4820"/>
              </w:tabs>
              <w:spacing w:before="80" w:after="80" w:line="240" w:lineRule="exact"/>
              <w:rPr>
                <w:rFonts w:ascii="Times New Roman" w:eastAsia="Calibri" w:hAnsi="Times New Roman" w:cs="Times New Roman"/>
                <w:color w:val="000000"/>
                <w:sz w:val="24"/>
                <w:szCs w:val="24"/>
              </w:rPr>
            </w:pPr>
            <w:r>
              <w:rPr>
                <w:rFonts w:ascii="Times New Roman" w:hAnsi="Times New Roman"/>
                <w:color w:val="000000"/>
                <w:sz w:val="24"/>
              </w:rPr>
              <w:t>Les institutions proposées par l’État membre sont-elles des administrations publiques et/ou des organismes mandatés enregistrés?</w:t>
            </w:r>
          </w:p>
        </w:tc>
        <w:tc>
          <w:tcPr>
            <w:tcW w:w="3118" w:type="dxa"/>
          </w:tcPr>
          <w:p w14:paraId="3B7BF4DA" w14:textId="77777777" w:rsidR="00832F98" w:rsidRPr="0019382C" w:rsidRDefault="00832F98" w:rsidP="001A78F7">
            <w:pPr>
              <w:tabs>
                <w:tab w:val="left" w:pos="4820"/>
              </w:tabs>
              <w:spacing w:before="80" w:after="80" w:line="240" w:lineRule="exact"/>
              <w:rPr>
                <w:rFonts w:ascii="Times New Roman" w:eastAsia="Calibri" w:hAnsi="Times New Roman" w:cs="Times New Roman"/>
                <w:color w:val="000000"/>
                <w:sz w:val="24"/>
                <w:szCs w:val="24"/>
              </w:rPr>
            </w:pPr>
          </w:p>
        </w:tc>
      </w:tr>
      <w:tr w:rsidR="00832F98" w:rsidRPr="005107DF" w14:paraId="2F133C8A" w14:textId="77777777" w:rsidTr="007338F0">
        <w:tc>
          <w:tcPr>
            <w:tcW w:w="6204" w:type="dxa"/>
          </w:tcPr>
          <w:p w14:paraId="0072C872" w14:textId="77777777" w:rsidR="00832F98" w:rsidRPr="0019382C" w:rsidRDefault="00832F98" w:rsidP="00844BDF">
            <w:pPr>
              <w:tabs>
                <w:tab w:val="left" w:pos="4820"/>
              </w:tabs>
              <w:spacing w:before="80" w:after="80" w:line="240" w:lineRule="exact"/>
              <w:rPr>
                <w:rFonts w:ascii="Times New Roman" w:eastAsia="Calibri" w:hAnsi="Times New Roman" w:cs="Times New Roman"/>
                <w:color w:val="000000"/>
                <w:sz w:val="24"/>
                <w:szCs w:val="24"/>
              </w:rPr>
            </w:pPr>
            <w:r>
              <w:rPr>
                <w:rFonts w:ascii="Times New Roman" w:hAnsi="Times New Roman"/>
                <w:color w:val="000000"/>
                <w:sz w:val="24"/>
              </w:rPr>
              <w:t>La proposition inclut-elle le CV du chef de projet et des experts?</w:t>
            </w:r>
          </w:p>
        </w:tc>
        <w:tc>
          <w:tcPr>
            <w:tcW w:w="3118" w:type="dxa"/>
          </w:tcPr>
          <w:p w14:paraId="4E806799" w14:textId="77777777" w:rsidR="00832F98" w:rsidRPr="0019382C" w:rsidRDefault="00832F98" w:rsidP="001A78F7">
            <w:pPr>
              <w:tabs>
                <w:tab w:val="left" w:pos="4820"/>
              </w:tabs>
              <w:spacing w:before="80" w:after="80" w:line="240" w:lineRule="exact"/>
              <w:rPr>
                <w:rFonts w:ascii="Times New Roman" w:eastAsia="Calibri" w:hAnsi="Times New Roman" w:cs="Times New Roman"/>
                <w:color w:val="000000"/>
                <w:sz w:val="24"/>
                <w:szCs w:val="24"/>
              </w:rPr>
            </w:pPr>
          </w:p>
        </w:tc>
      </w:tr>
      <w:tr w:rsidR="00832F98" w:rsidRPr="005107DF" w14:paraId="05492C5C" w14:textId="77777777" w:rsidTr="007338F0">
        <w:tc>
          <w:tcPr>
            <w:tcW w:w="6204" w:type="dxa"/>
          </w:tcPr>
          <w:p w14:paraId="100644EA" w14:textId="77777777" w:rsidR="00832F98" w:rsidRPr="0019382C" w:rsidRDefault="00832F98" w:rsidP="001A78F7">
            <w:pPr>
              <w:tabs>
                <w:tab w:val="left" w:pos="4820"/>
              </w:tabs>
              <w:spacing w:before="80" w:after="80" w:line="240" w:lineRule="exact"/>
              <w:rPr>
                <w:rFonts w:ascii="Times New Roman" w:eastAsia="Calibri" w:hAnsi="Times New Roman" w:cs="Times New Roman"/>
                <w:color w:val="000000"/>
                <w:sz w:val="24"/>
                <w:szCs w:val="24"/>
              </w:rPr>
            </w:pPr>
            <w:r>
              <w:rPr>
                <w:rFonts w:ascii="Times New Roman" w:hAnsi="Times New Roman"/>
                <w:color w:val="000000"/>
                <w:sz w:val="24"/>
              </w:rPr>
              <w:t>Les experts remplissent-ils les conditions minimales?</w:t>
            </w:r>
          </w:p>
        </w:tc>
        <w:tc>
          <w:tcPr>
            <w:tcW w:w="3118" w:type="dxa"/>
          </w:tcPr>
          <w:p w14:paraId="5B8E831F" w14:textId="77777777" w:rsidR="00832F98" w:rsidRPr="0019382C" w:rsidRDefault="00832F98" w:rsidP="001A78F7">
            <w:pPr>
              <w:tabs>
                <w:tab w:val="left" w:pos="4820"/>
              </w:tabs>
              <w:spacing w:before="80" w:after="80" w:line="240" w:lineRule="exact"/>
              <w:rPr>
                <w:rFonts w:ascii="Times New Roman" w:eastAsia="Calibri" w:hAnsi="Times New Roman" w:cs="Times New Roman"/>
                <w:color w:val="000000"/>
                <w:sz w:val="24"/>
                <w:szCs w:val="24"/>
              </w:rPr>
            </w:pPr>
          </w:p>
        </w:tc>
      </w:tr>
      <w:tr w:rsidR="00832F98" w:rsidRPr="005107DF" w14:paraId="4CD60654" w14:textId="77777777" w:rsidTr="007338F0">
        <w:tc>
          <w:tcPr>
            <w:tcW w:w="6204" w:type="dxa"/>
          </w:tcPr>
          <w:p w14:paraId="63376EB5" w14:textId="77777777" w:rsidR="00832F98" w:rsidRPr="0019382C" w:rsidRDefault="00832F98" w:rsidP="002B0127">
            <w:pPr>
              <w:tabs>
                <w:tab w:val="left" w:pos="4820"/>
              </w:tabs>
              <w:spacing w:before="80" w:after="80" w:line="240" w:lineRule="exact"/>
              <w:rPr>
                <w:rFonts w:ascii="Times New Roman" w:eastAsia="Calibri" w:hAnsi="Times New Roman" w:cs="Times New Roman"/>
                <w:color w:val="000000"/>
                <w:sz w:val="24"/>
                <w:szCs w:val="24"/>
              </w:rPr>
            </w:pPr>
            <w:r>
              <w:rPr>
                <w:rFonts w:ascii="Times New Roman" w:hAnsi="Times New Roman"/>
                <w:color w:val="000000"/>
                <w:sz w:val="24"/>
              </w:rPr>
              <w:t xml:space="preserve">La proposition indique-t-elle les coordonnées complètes d’une personne de contact pour l’État membre? </w:t>
            </w:r>
          </w:p>
        </w:tc>
        <w:tc>
          <w:tcPr>
            <w:tcW w:w="3118" w:type="dxa"/>
          </w:tcPr>
          <w:p w14:paraId="609EF2D0" w14:textId="77777777" w:rsidR="00832F98" w:rsidRPr="0019382C" w:rsidRDefault="00832F98" w:rsidP="001A78F7">
            <w:pPr>
              <w:tabs>
                <w:tab w:val="left" w:pos="4820"/>
              </w:tabs>
              <w:spacing w:before="80" w:after="80" w:line="240" w:lineRule="exact"/>
              <w:rPr>
                <w:rFonts w:ascii="Times New Roman" w:eastAsia="Calibri" w:hAnsi="Times New Roman" w:cs="Times New Roman"/>
                <w:color w:val="000000"/>
                <w:sz w:val="24"/>
                <w:szCs w:val="24"/>
              </w:rPr>
            </w:pPr>
          </w:p>
        </w:tc>
      </w:tr>
    </w:tbl>
    <w:p w14:paraId="49BDAC84" w14:textId="77777777" w:rsidR="00832F98" w:rsidRPr="0019382C" w:rsidRDefault="00832F98" w:rsidP="001A78F7">
      <w:pPr>
        <w:rPr>
          <w:rFonts w:ascii="Times New Roman" w:eastAsia="Calibri" w:hAnsi="Times New Roman" w:cs="Times New Roman"/>
          <w:b/>
          <w:color w:val="000000"/>
          <w:sz w:val="24"/>
          <w:szCs w:val="24"/>
        </w:rPr>
      </w:pPr>
    </w:p>
    <w:p w14:paraId="0C90224B" w14:textId="77777777" w:rsidR="00832F98" w:rsidRPr="0019382C" w:rsidRDefault="00832F98" w:rsidP="001A78F7">
      <w:pPr>
        <w:rPr>
          <w:rFonts w:ascii="Times New Roman" w:eastAsia="Calibri" w:hAnsi="Times New Roman" w:cs="Times New Roman"/>
          <w:b/>
          <w:color w:val="000000"/>
          <w:sz w:val="28"/>
          <w:szCs w:val="28"/>
        </w:rPr>
      </w:pPr>
      <w:r>
        <w:rPr>
          <w:rFonts w:ascii="Times New Roman" w:hAnsi="Times New Roman"/>
          <w:b/>
          <w:color w:val="000000"/>
          <w:sz w:val="28"/>
        </w:rPr>
        <w:t xml:space="preserve">La proposition de l’État membre satisfait-elle aux critères formels? </w:t>
      </w:r>
      <w:r>
        <w:tab/>
      </w:r>
      <w:r>
        <w:rPr>
          <w:rFonts w:ascii="Times New Roman" w:hAnsi="Times New Roman"/>
          <w:b/>
          <w:color w:val="000000"/>
          <w:sz w:val="28"/>
        </w:rPr>
        <w:t>OUI </w:t>
      </w:r>
      <w:r>
        <w:rPr>
          <w:rFonts w:ascii="Times New Roman" w:eastAsia="Calibri" w:hAnsi="Times New Roman" w:cs="Times New Roman"/>
          <w:b/>
          <w:color w:val="000000"/>
          <w:sz w:val="28"/>
          <w:szCs w:val="28"/>
        </w:rPr>
        <w:sym w:font="Wingdings" w:char="F06F"/>
      </w:r>
      <w:r>
        <w:tab/>
      </w:r>
      <w:r>
        <w:rPr>
          <w:rFonts w:ascii="Times New Roman" w:hAnsi="Times New Roman"/>
          <w:b/>
          <w:color w:val="000000"/>
          <w:sz w:val="28"/>
        </w:rPr>
        <w:t>NON </w:t>
      </w:r>
      <w:r>
        <w:rPr>
          <w:rFonts w:ascii="Times New Roman" w:eastAsia="Calibri" w:hAnsi="Times New Roman" w:cs="Times New Roman"/>
          <w:b/>
          <w:color w:val="000000"/>
          <w:sz w:val="28"/>
          <w:szCs w:val="28"/>
        </w:rPr>
        <w:sym w:font="Wingdings" w:char="F06F"/>
      </w:r>
    </w:p>
    <w:p w14:paraId="10803EA9" w14:textId="77777777" w:rsidR="00832F98" w:rsidRPr="005107DF" w:rsidRDefault="00832F98" w:rsidP="001A78F7">
      <w:pPr>
        <w:pBdr>
          <w:top w:val="single" w:sz="4" w:space="1" w:color="auto"/>
        </w:pBdr>
        <w:spacing w:after="120"/>
        <w:rPr>
          <w:rFonts w:ascii="Times New Roman" w:eastAsia="Calibri" w:hAnsi="Times New Roman" w:cs="Times New Roman"/>
          <w:b/>
          <w:color w:val="000000"/>
        </w:rPr>
      </w:pPr>
    </w:p>
    <w:p w14:paraId="22F0A1B4" w14:textId="77777777" w:rsidR="00832F98" w:rsidRPr="005107DF" w:rsidRDefault="00832F98">
      <w:pPr>
        <w:rPr>
          <w:rFonts w:ascii="Times New Roman" w:eastAsia="Calibri" w:hAnsi="Times New Roman" w:cs="Times New Roman"/>
          <w:b/>
          <w:color w:val="000000"/>
          <w:sz w:val="28"/>
          <w:szCs w:val="28"/>
          <w:u w:val="single"/>
        </w:rPr>
      </w:pPr>
      <w:r>
        <w:br w:type="page"/>
      </w:r>
    </w:p>
    <w:p w14:paraId="047834BC" w14:textId="77777777" w:rsidR="00832F98" w:rsidRPr="005107DF" w:rsidRDefault="00832F98" w:rsidP="001A78F7">
      <w:pPr>
        <w:rPr>
          <w:rFonts w:ascii="Times New Roman" w:eastAsia="Calibri" w:hAnsi="Times New Roman" w:cs="Times New Roman"/>
          <w:b/>
          <w:color w:val="000000"/>
          <w:sz w:val="28"/>
          <w:szCs w:val="28"/>
          <w:u w:val="single"/>
        </w:rPr>
      </w:pPr>
      <w:r>
        <w:rPr>
          <w:rFonts w:ascii="Times New Roman" w:hAnsi="Times New Roman"/>
          <w:b/>
          <w:color w:val="000000"/>
          <w:sz w:val="28"/>
          <w:u w:val="single"/>
        </w:rPr>
        <w:lastRenderedPageBreak/>
        <w:t>GRILLE D’ÉVALUATION DES PROPOSITIONS DE JUMELAGE LÉGER – CRITÈRES DE SÉLECTION ET D’ATTRIBUTION</w:t>
      </w:r>
    </w:p>
    <w:p w14:paraId="128BC892" w14:textId="77777777" w:rsidR="00832F98" w:rsidRPr="005107DF" w:rsidRDefault="00832F98" w:rsidP="001A78F7">
      <w:pPr>
        <w:rPr>
          <w:rFonts w:ascii="Times New Roman" w:eastAsia="Calibri" w:hAnsi="Times New Roman" w:cs="Times New Roman"/>
          <w:b/>
          <w:color w:val="000000"/>
        </w:rPr>
      </w:pPr>
      <w:r>
        <w:rPr>
          <w:rFonts w:ascii="Times New Roman" w:hAnsi="Times New Roman"/>
          <w:b/>
          <w:color w:val="000000"/>
        </w:rPr>
        <w:t>Les critères de sélection</w:t>
      </w:r>
      <w:r>
        <w:rPr>
          <w:rFonts w:ascii="Times New Roman" w:hAnsi="Times New Roman"/>
          <w:color w:val="000000"/>
        </w:rPr>
        <w:t xml:space="preserve"> servent à évaluer la </w:t>
      </w:r>
      <w:r>
        <w:rPr>
          <w:rFonts w:ascii="Times New Roman" w:hAnsi="Times New Roman"/>
          <w:b/>
          <w:color w:val="000000"/>
        </w:rPr>
        <w:t>capacité opérationnelle des responsables de volets mentionnés</w:t>
      </w:r>
      <w:r>
        <w:rPr>
          <w:rFonts w:ascii="Times New Roman" w:hAnsi="Times New Roman"/>
          <w:color w:val="000000"/>
        </w:rPr>
        <w:t xml:space="preserve"> dans la proposition; l’appréciation est exprimée de manière positive ou négative (</w:t>
      </w:r>
      <w:r>
        <w:rPr>
          <w:rFonts w:ascii="Times New Roman" w:hAnsi="Times New Roman"/>
          <w:b/>
          <w:color w:val="000000"/>
        </w:rPr>
        <w:t>oui/non</w:t>
      </w:r>
      <w:r>
        <w:rPr>
          <w:rFonts w:ascii="Times New Roman" w:hAnsi="Times New Roman"/>
          <w:color w:val="000000"/>
        </w:rPr>
        <w:t>) et il suffit qu’un seul critère donne lieu à une évaluation négative pour exclure la proposition.</w:t>
      </w:r>
    </w:p>
    <w:p w14:paraId="179A4C54" w14:textId="77777777" w:rsidR="00832F98" w:rsidRPr="005107DF" w:rsidRDefault="00832F98" w:rsidP="001A78F7">
      <w:pPr>
        <w:rPr>
          <w:rFonts w:ascii="Times New Roman" w:eastAsia="Calibri" w:hAnsi="Times New Roman" w:cs="Times New Roman"/>
          <w:b/>
          <w:color w:val="000000"/>
          <w:u w:val="single"/>
        </w:rPr>
      </w:pPr>
      <w:r>
        <w:rPr>
          <w:rFonts w:ascii="Times New Roman" w:hAnsi="Times New Roman"/>
          <w:b/>
          <w:color w:val="000000"/>
        </w:rPr>
        <w:t>Les critères d’attribution</w:t>
      </w:r>
      <w:r>
        <w:rPr>
          <w:rFonts w:ascii="Times New Roman" w:hAnsi="Times New Roman"/>
          <w:color w:val="000000"/>
        </w:rPr>
        <w:t xml:space="preserve"> portent sur</w:t>
      </w:r>
      <w:r>
        <w:rPr>
          <w:rFonts w:ascii="Times New Roman" w:hAnsi="Times New Roman"/>
          <w:b/>
          <w:color w:val="000000"/>
        </w:rPr>
        <w:t xml:space="preserve"> l’intérêt des principaux aspects à prendre en considération</w:t>
      </w:r>
      <w:r>
        <w:rPr>
          <w:rFonts w:ascii="Times New Roman" w:hAnsi="Times New Roman"/>
          <w:color w:val="000000"/>
        </w:rPr>
        <w:t xml:space="preserve"> dans la proposition et sont évalués en appliquant un </w:t>
      </w:r>
      <w:r>
        <w:rPr>
          <w:rFonts w:ascii="Times New Roman" w:hAnsi="Times New Roman"/>
          <w:b/>
          <w:color w:val="000000"/>
        </w:rPr>
        <w:t>système de notation</w:t>
      </w:r>
      <w:r>
        <w:rPr>
          <w:rFonts w:ascii="Times New Roman" w:hAnsi="Times New Roman"/>
          <w:color w:val="000000"/>
        </w:rPr>
        <w:t xml:space="preserve"> fondé sur le </w:t>
      </w:r>
      <w:r>
        <w:rPr>
          <w:rFonts w:ascii="Times New Roman" w:hAnsi="Times New Roman"/>
          <w:b/>
          <w:color w:val="000000"/>
        </w:rPr>
        <w:t>tableau suivant</w:t>
      </w:r>
      <w:r>
        <w:rPr>
          <w:rFonts w:ascii="Times New Roman" w:hAnsi="Times New Roman"/>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tblGrid>
      <w:tr w:rsidR="00832F98" w:rsidRPr="005107DF" w14:paraId="1429A4F7" w14:textId="77777777" w:rsidTr="0013042C">
        <w:trPr>
          <w:trHeight w:val="249"/>
          <w:jc w:val="center"/>
        </w:trPr>
        <w:tc>
          <w:tcPr>
            <w:tcW w:w="993" w:type="dxa"/>
            <w:shd w:val="pct10" w:color="auto" w:fill="FFFFFF"/>
          </w:tcPr>
          <w:p w14:paraId="156EEA57" w14:textId="77777777" w:rsidR="00832F98" w:rsidRPr="005107DF" w:rsidRDefault="00832F98" w:rsidP="001A78F7">
            <w:pPr>
              <w:spacing w:before="120" w:after="120"/>
              <w:jc w:val="center"/>
              <w:rPr>
                <w:rFonts w:ascii="Times New Roman" w:eastAsia="Calibri" w:hAnsi="Times New Roman" w:cs="Times New Roman"/>
                <w:color w:val="000000"/>
              </w:rPr>
            </w:pPr>
            <w:r>
              <w:rPr>
                <w:rFonts w:ascii="Times New Roman" w:hAnsi="Times New Roman"/>
                <w:color w:val="000000"/>
              </w:rPr>
              <w:t>Note</w:t>
            </w:r>
          </w:p>
        </w:tc>
        <w:tc>
          <w:tcPr>
            <w:tcW w:w="1701" w:type="dxa"/>
            <w:shd w:val="pct10" w:color="auto" w:fill="FFFFFF"/>
          </w:tcPr>
          <w:p w14:paraId="5B20CB71" w14:textId="77777777" w:rsidR="00832F98" w:rsidRPr="005107DF" w:rsidRDefault="00832F98" w:rsidP="001A78F7">
            <w:pPr>
              <w:spacing w:before="120" w:after="120"/>
              <w:jc w:val="center"/>
              <w:rPr>
                <w:rFonts w:ascii="Times New Roman" w:eastAsia="Calibri" w:hAnsi="Times New Roman" w:cs="Times New Roman"/>
                <w:color w:val="000000"/>
              </w:rPr>
            </w:pPr>
            <w:r>
              <w:rPr>
                <w:rFonts w:ascii="Times New Roman" w:hAnsi="Times New Roman"/>
                <w:color w:val="000000"/>
              </w:rPr>
              <w:t>Signification</w:t>
            </w:r>
          </w:p>
        </w:tc>
      </w:tr>
      <w:tr w:rsidR="00832F98" w:rsidRPr="005107DF" w14:paraId="5DBC91BA" w14:textId="77777777" w:rsidTr="0013042C">
        <w:trPr>
          <w:trHeight w:val="249"/>
          <w:jc w:val="center"/>
        </w:trPr>
        <w:tc>
          <w:tcPr>
            <w:tcW w:w="993" w:type="dxa"/>
          </w:tcPr>
          <w:p w14:paraId="1CAA5553" w14:textId="77777777" w:rsidR="00832F98" w:rsidRPr="005107DF" w:rsidRDefault="00832F98" w:rsidP="001A78F7">
            <w:pPr>
              <w:spacing w:after="0"/>
              <w:jc w:val="center"/>
              <w:rPr>
                <w:rFonts w:ascii="Times New Roman" w:eastAsia="Calibri" w:hAnsi="Times New Roman" w:cs="Times New Roman"/>
                <w:color w:val="000000"/>
              </w:rPr>
            </w:pPr>
            <w:r w:rsidRPr="00452C1A">
              <w:rPr>
                <w:rFonts w:ascii="Times New Roman" w:hAnsi="Times New Roman"/>
                <w:color w:val="000000"/>
              </w:rPr>
              <w:t>1</w:t>
            </w:r>
          </w:p>
        </w:tc>
        <w:tc>
          <w:tcPr>
            <w:tcW w:w="1701" w:type="dxa"/>
          </w:tcPr>
          <w:p w14:paraId="4D981077" w14:textId="77777777" w:rsidR="00832F98" w:rsidRPr="005107DF" w:rsidRDefault="00832F98" w:rsidP="001A78F7">
            <w:pPr>
              <w:spacing w:after="0"/>
              <w:jc w:val="center"/>
              <w:rPr>
                <w:rFonts w:ascii="Times New Roman" w:eastAsia="Calibri" w:hAnsi="Times New Roman" w:cs="Times New Roman"/>
                <w:color w:val="000000"/>
              </w:rPr>
            </w:pPr>
            <w:r>
              <w:rPr>
                <w:rFonts w:ascii="Times New Roman" w:hAnsi="Times New Roman"/>
                <w:color w:val="000000"/>
              </w:rPr>
              <w:t>très insuffisant</w:t>
            </w:r>
          </w:p>
        </w:tc>
      </w:tr>
      <w:tr w:rsidR="00832F98" w:rsidRPr="005107DF" w14:paraId="3731C971" w14:textId="77777777" w:rsidTr="0013042C">
        <w:trPr>
          <w:trHeight w:val="249"/>
          <w:jc w:val="center"/>
        </w:trPr>
        <w:tc>
          <w:tcPr>
            <w:tcW w:w="993" w:type="dxa"/>
          </w:tcPr>
          <w:p w14:paraId="262F6703" w14:textId="77777777" w:rsidR="00832F98" w:rsidRPr="005107DF" w:rsidRDefault="00832F98" w:rsidP="001A78F7">
            <w:pPr>
              <w:spacing w:after="0"/>
              <w:jc w:val="center"/>
              <w:rPr>
                <w:rFonts w:ascii="Times New Roman" w:eastAsia="Calibri" w:hAnsi="Times New Roman" w:cs="Times New Roman"/>
                <w:color w:val="000000"/>
              </w:rPr>
            </w:pPr>
            <w:r w:rsidRPr="00452C1A">
              <w:rPr>
                <w:rFonts w:ascii="Times New Roman" w:hAnsi="Times New Roman"/>
                <w:color w:val="000000"/>
              </w:rPr>
              <w:t>2</w:t>
            </w:r>
          </w:p>
        </w:tc>
        <w:tc>
          <w:tcPr>
            <w:tcW w:w="1701" w:type="dxa"/>
          </w:tcPr>
          <w:p w14:paraId="038F9AC9" w14:textId="77777777" w:rsidR="00832F98" w:rsidRPr="005107DF" w:rsidRDefault="00832F98" w:rsidP="001A78F7">
            <w:pPr>
              <w:spacing w:after="0"/>
              <w:jc w:val="center"/>
              <w:rPr>
                <w:rFonts w:ascii="Times New Roman" w:eastAsia="Calibri" w:hAnsi="Times New Roman" w:cs="Times New Roman"/>
                <w:color w:val="000000"/>
              </w:rPr>
            </w:pPr>
            <w:r>
              <w:rPr>
                <w:rFonts w:ascii="Times New Roman" w:hAnsi="Times New Roman"/>
                <w:color w:val="000000"/>
              </w:rPr>
              <w:t>médiocre</w:t>
            </w:r>
          </w:p>
        </w:tc>
      </w:tr>
      <w:tr w:rsidR="00832F98" w:rsidRPr="005107DF" w14:paraId="0E02F777" w14:textId="77777777" w:rsidTr="0013042C">
        <w:trPr>
          <w:trHeight w:val="249"/>
          <w:jc w:val="center"/>
        </w:trPr>
        <w:tc>
          <w:tcPr>
            <w:tcW w:w="993" w:type="dxa"/>
          </w:tcPr>
          <w:p w14:paraId="0C09C547" w14:textId="77777777" w:rsidR="00832F98" w:rsidRPr="005107DF" w:rsidRDefault="00832F98" w:rsidP="001A78F7">
            <w:pPr>
              <w:spacing w:after="0"/>
              <w:jc w:val="center"/>
              <w:rPr>
                <w:rFonts w:ascii="Times New Roman" w:eastAsia="Calibri" w:hAnsi="Times New Roman" w:cs="Times New Roman"/>
                <w:color w:val="000000"/>
              </w:rPr>
            </w:pPr>
            <w:r w:rsidRPr="00452C1A">
              <w:rPr>
                <w:rFonts w:ascii="Times New Roman" w:hAnsi="Times New Roman"/>
                <w:color w:val="000000"/>
              </w:rPr>
              <w:t>3</w:t>
            </w:r>
          </w:p>
        </w:tc>
        <w:tc>
          <w:tcPr>
            <w:tcW w:w="1701" w:type="dxa"/>
          </w:tcPr>
          <w:p w14:paraId="6DE1E45F" w14:textId="77777777" w:rsidR="00832F98" w:rsidRPr="005107DF" w:rsidRDefault="00832F98" w:rsidP="001A78F7">
            <w:pPr>
              <w:spacing w:after="0"/>
              <w:jc w:val="center"/>
              <w:rPr>
                <w:rFonts w:ascii="Times New Roman" w:eastAsia="Calibri" w:hAnsi="Times New Roman" w:cs="Times New Roman"/>
                <w:color w:val="000000"/>
              </w:rPr>
            </w:pPr>
            <w:r>
              <w:rPr>
                <w:rFonts w:ascii="Times New Roman" w:hAnsi="Times New Roman"/>
                <w:color w:val="000000"/>
              </w:rPr>
              <w:t>moyen</w:t>
            </w:r>
          </w:p>
        </w:tc>
      </w:tr>
      <w:tr w:rsidR="00832F98" w:rsidRPr="005107DF" w14:paraId="6137C69F" w14:textId="77777777" w:rsidTr="0013042C">
        <w:trPr>
          <w:trHeight w:val="249"/>
          <w:jc w:val="center"/>
        </w:trPr>
        <w:tc>
          <w:tcPr>
            <w:tcW w:w="993" w:type="dxa"/>
          </w:tcPr>
          <w:p w14:paraId="22DC59E3" w14:textId="77777777" w:rsidR="00832F98" w:rsidRPr="005107DF" w:rsidRDefault="00832F98" w:rsidP="001A78F7">
            <w:pPr>
              <w:spacing w:after="0"/>
              <w:jc w:val="center"/>
              <w:rPr>
                <w:rFonts w:ascii="Times New Roman" w:eastAsia="Calibri" w:hAnsi="Times New Roman" w:cs="Times New Roman"/>
                <w:color w:val="000000"/>
              </w:rPr>
            </w:pPr>
            <w:r w:rsidRPr="00452C1A">
              <w:rPr>
                <w:rFonts w:ascii="Times New Roman" w:hAnsi="Times New Roman"/>
                <w:color w:val="000000"/>
              </w:rPr>
              <w:t>4</w:t>
            </w:r>
          </w:p>
        </w:tc>
        <w:tc>
          <w:tcPr>
            <w:tcW w:w="1701" w:type="dxa"/>
          </w:tcPr>
          <w:p w14:paraId="7A712224" w14:textId="77777777" w:rsidR="00832F98" w:rsidRPr="005107DF" w:rsidRDefault="00832F98" w:rsidP="001A78F7">
            <w:pPr>
              <w:spacing w:after="0"/>
              <w:jc w:val="center"/>
              <w:rPr>
                <w:rFonts w:ascii="Times New Roman" w:eastAsia="Calibri" w:hAnsi="Times New Roman" w:cs="Times New Roman"/>
                <w:color w:val="000000"/>
              </w:rPr>
            </w:pPr>
            <w:r>
              <w:rPr>
                <w:rFonts w:ascii="Times New Roman" w:hAnsi="Times New Roman"/>
                <w:color w:val="000000"/>
              </w:rPr>
              <w:t>bon</w:t>
            </w:r>
          </w:p>
        </w:tc>
      </w:tr>
      <w:tr w:rsidR="00832F98" w:rsidRPr="005107DF" w14:paraId="038955C6" w14:textId="77777777" w:rsidTr="0013042C">
        <w:trPr>
          <w:trHeight w:val="249"/>
          <w:jc w:val="center"/>
        </w:trPr>
        <w:tc>
          <w:tcPr>
            <w:tcW w:w="993" w:type="dxa"/>
          </w:tcPr>
          <w:p w14:paraId="33CBB23B" w14:textId="77777777" w:rsidR="00832F98" w:rsidRPr="005107DF" w:rsidRDefault="00832F98" w:rsidP="001A78F7">
            <w:pPr>
              <w:spacing w:after="0"/>
              <w:jc w:val="center"/>
              <w:rPr>
                <w:rFonts w:ascii="Times New Roman" w:eastAsia="Calibri" w:hAnsi="Times New Roman" w:cs="Times New Roman"/>
                <w:color w:val="000000"/>
              </w:rPr>
            </w:pPr>
            <w:r w:rsidRPr="00452C1A">
              <w:rPr>
                <w:rFonts w:ascii="Times New Roman" w:hAnsi="Times New Roman"/>
                <w:color w:val="000000"/>
              </w:rPr>
              <w:t>5</w:t>
            </w:r>
          </w:p>
        </w:tc>
        <w:tc>
          <w:tcPr>
            <w:tcW w:w="1701" w:type="dxa"/>
          </w:tcPr>
          <w:p w14:paraId="28814D90" w14:textId="77777777" w:rsidR="00832F98" w:rsidRPr="005107DF" w:rsidRDefault="00832F98" w:rsidP="001A78F7">
            <w:pPr>
              <w:spacing w:after="0"/>
              <w:jc w:val="center"/>
              <w:rPr>
                <w:rFonts w:ascii="Times New Roman" w:eastAsia="Calibri" w:hAnsi="Times New Roman" w:cs="Times New Roman"/>
                <w:color w:val="000000"/>
              </w:rPr>
            </w:pPr>
            <w:r>
              <w:rPr>
                <w:rFonts w:ascii="Times New Roman" w:hAnsi="Times New Roman"/>
                <w:color w:val="000000"/>
              </w:rPr>
              <w:t>très bon</w:t>
            </w:r>
          </w:p>
        </w:tc>
      </w:tr>
    </w:tbl>
    <w:p w14:paraId="46AC32D8" w14:textId="77777777" w:rsidR="00832F98" w:rsidRPr="005107DF" w:rsidRDefault="00832F98" w:rsidP="001A78F7">
      <w:pPr>
        <w:jc w:val="both"/>
        <w:rPr>
          <w:rFonts w:ascii="Times New Roman" w:eastAsia="Calibri" w:hAnsi="Times New Roman" w:cs="Times New Roman"/>
          <w:color w:val="000000"/>
        </w:rPr>
      </w:pPr>
    </w:p>
    <w:p w14:paraId="57275EDC" w14:textId="77777777" w:rsidR="00832F98" w:rsidRPr="005107DF" w:rsidRDefault="00832F98" w:rsidP="001A78F7">
      <w:pPr>
        <w:rPr>
          <w:rFonts w:ascii="Times New Roman" w:eastAsia="Calibri" w:hAnsi="Times New Roman" w:cs="Times New Roman"/>
          <w:b/>
          <w:color w:val="000000"/>
        </w:rPr>
      </w:pPr>
      <w:r w:rsidRPr="00452C1A">
        <w:rPr>
          <w:rFonts w:ascii="Times New Roman" w:hAnsi="Times New Roman"/>
          <w:b/>
          <w:color w:val="000000"/>
          <w:sz w:val="28"/>
          <w:u w:val="single"/>
        </w:rPr>
        <w:t>1</w:t>
      </w:r>
      <w:r>
        <w:rPr>
          <w:rFonts w:ascii="Times New Roman" w:hAnsi="Times New Roman"/>
          <w:b/>
          <w:color w:val="000000"/>
          <w:sz w:val="28"/>
          <w:u w:val="single"/>
        </w:rPr>
        <w:t>. Capacité opérationnelle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4"/>
        <w:gridCol w:w="1222"/>
      </w:tblGrid>
      <w:tr w:rsidR="00832F98" w:rsidRPr="005107DF" w14:paraId="722675D0" w14:textId="77777777" w:rsidTr="0013042C">
        <w:tc>
          <w:tcPr>
            <w:tcW w:w="4338" w:type="pct"/>
            <w:shd w:val="pct10" w:color="auto" w:fill="FFFFFF"/>
            <w:vAlign w:val="center"/>
          </w:tcPr>
          <w:p w14:paraId="1C6F0853" w14:textId="77777777" w:rsidR="00832F98" w:rsidRPr="005107DF" w:rsidRDefault="00832F98" w:rsidP="001A78F7">
            <w:pPr>
              <w:ind w:left="394"/>
              <w:rPr>
                <w:rFonts w:ascii="Times New Roman" w:eastAsia="Calibri" w:hAnsi="Times New Roman" w:cs="Times New Roman"/>
                <w:color w:val="000000"/>
              </w:rPr>
            </w:pPr>
          </w:p>
        </w:tc>
        <w:tc>
          <w:tcPr>
            <w:tcW w:w="662" w:type="pct"/>
            <w:shd w:val="pct10" w:color="auto" w:fill="FFFFFF"/>
            <w:vAlign w:val="center"/>
          </w:tcPr>
          <w:p w14:paraId="6A9F08EE" w14:textId="77777777" w:rsidR="00832F98" w:rsidRPr="005107DF" w:rsidRDefault="00832F98" w:rsidP="001A78F7">
            <w:pPr>
              <w:jc w:val="center"/>
              <w:rPr>
                <w:rFonts w:ascii="Times New Roman" w:eastAsia="Calibri" w:hAnsi="Times New Roman" w:cs="Times New Roman"/>
                <w:color w:val="000000"/>
              </w:rPr>
            </w:pPr>
            <w:r>
              <w:rPr>
                <w:rFonts w:ascii="Times New Roman" w:hAnsi="Times New Roman"/>
                <w:b/>
                <w:color w:val="000000"/>
              </w:rPr>
              <w:t>Note</w:t>
            </w:r>
            <w:r>
              <w:rPr>
                <w:rFonts w:ascii="Times New Roman" w:eastAsia="Calibri" w:hAnsi="Times New Roman" w:cs="Times New Roman"/>
                <w:b/>
                <w:color w:val="000000"/>
              </w:rPr>
              <w:br/>
            </w:r>
            <w:r w:rsidRPr="00452C1A">
              <w:rPr>
                <w:rFonts w:ascii="Times New Roman" w:hAnsi="Times New Roman"/>
                <w:b/>
                <w:color w:val="000000"/>
              </w:rPr>
              <w:t>1</w:t>
            </w:r>
            <w:r>
              <w:rPr>
                <w:rFonts w:ascii="Times New Roman" w:hAnsi="Times New Roman"/>
                <w:b/>
                <w:color w:val="000000"/>
              </w:rPr>
              <w:t xml:space="preserve"> à </w:t>
            </w:r>
            <w:r w:rsidRPr="00452C1A">
              <w:rPr>
                <w:rFonts w:ascii="Times New Roman" w:hAnsi="Times New Roman"/>
                <w:b/>
                <w:color w:val="000000"/>
              </w:rPr>
              <w:t>5</w:t>
            </w:r>
          </w:p>
        </w:tc>
      </w:tr>
      <w:tr w:rsidR="00832F98" w:rsidRPr="005107DF" w14:paraId="17DF2ABB" w14:textId="77777777" w:rsidTr="0013042C">
        <w:tc>
          <w:tcPr>
            <w:tcW w:w="4338" w:type="pct"/>
            <w:vAlign w:val="center"/>
          </w:tcPr>
          <w:p w14:paraId="4882A738" w14:textId="77777777" w:rsidR="00832F98" w:rsidRPr="005107DF" w:rsidRDefault="00832F98" w:rsidP="001A78F7">
            <w:pPr>
              <w:spacing w:before="100" w:beforeAutospacing="1" w:after="100" w:afterAutospacing="1" w:line="240" w:lineRule="auto"/>
              <w:ind w:left="460" w:hanging="460"/>
              <w:rPr>
                <w:rFonts w:ascii="Times New Roman" w:eastAsia="Calibri" w:hAnsi="Times New Roman" w:cs="Times New Roman"/>
                <w:color w:val="000000"/>
              </w:rPr>
            </w:pPr>
            <w:r w:rsidRPr="00452C1A">
              <w:rPr>
                <w:rFonts w:ascii="Times New Roman" w:hAnsi="Times New Roman"/>
                <w:color w:val="000000"/>
              </w:rPr>
              <w:t>1</w:t>
            </w:r>
            <w:r>
              <w:rPr>
                <w:rFonts w:ascii="Times New Roman" w:hAnsi="Times New Roman"/>
                <w:color w:val="000000"/>
              </w:rPr>
              <w:t>.</w:t>
            </w:r>
            <w:r w:rsidRPr="00452C1A">
              <w:rPr>
                <w:rFonts w:ascii="Times New Roman" w:hAnsi="Times New Roman"/>
                <w:color w:val="000000"/>
              </w:rPr>
              <w:t>1</w:t>
            </w:r>
            <w:r>
              <w:tab/>
            </w:r>
            <w:r>
              <w:rPr>
                <w:rFonts w:ascii="Times New Roman" w:hAnsi="Times New Roman"/>
                <w:color w:val="000000"/>
              </w:rPr>
              <w:t xml:space="preserve">Le </w:t>
            </w:r>
            <w:r>
              <w:rPr>
                <w:rFonts w:ascii="Times New Roman" w:hAnsi="Times New Roman"/>
                <w:b/>
                <w:color w:val="000000"/>
              </w:rPr>
              <w:t>chef de projet</w:t>
            </w:r>
            <w:r>
              <w:rPr>
                <w:rFonts w:ascii="Times New Roman" w:hAnsi="Times New Roman"/>
                <w:color w:val="000000"/>
              </w:rPr>
              <w:t xml:space="preserve"> proposé possède-t-il des </w:t>
            </w:r>
            <w:r>
              <w:rPr>
                <w:rFonts w:ascii="Times New Roman" w:hAnsi="Times New Roman"/>
                <w:b/>
                <w:color w:val="000000"/>
              </w:rPr>
              <w:t>capacités de gestion</w:t>
            </w:r>
            <w:r>
              <w:rPr>
                <w:rFonts w:ascii="Times New Roman" w:hAnsi="Times New Roman"/>
                <w:color w:val="000000"/>
              </w:rPr>
              <w:t xml:space="preserve"> suffisantes (y compris en ce qui concerne la gestion du personnel et l’aptitude à gérer le budget du projet)?</w:t>
            </w:r>
          </w:p>
        </w:tc>
        <w:tc>
          <w:tcPr>
            <w:tcW w:w="662" w:type="pct"/>
            <w:vAlign w:val="center"/>
          </w:tcPr>
          <w:p w14:paraId="5755F685" w14:textId="77777777" w:rsidR="00832F98" w:rsidRPr="005107DF" w:rsidRDefault="00832F98" w:rsidP="001A78F7">
            <w:pPr>
              <w:spacing w:before="100" w:beforeAutospacing="1" w:after="100" w:afterAutospacing="1" w:line="240" w:lineRule="auto"/>
              <w:ind w:left="460" w:hanging="460"/>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3F7F56C0" w14:textId="77777777" w:rsidTr="0013042C">
        <w:tc>
          <w:tcPr>
            <w:tcW w:w="4338" w:type="pct"/>
            <w:vAlign w:val="center"/>
          </w:tcPr>
          <w:p w14:paraId="6776F650" w14:textId="77777777" w:rsidR="00832F98" w:rsidRPr="005107DF" w:rsidRDefault="00832F98" w:rsidP="007C2549">
            <w:pPr>
              <w:spacing w:before="100" w:beforeAutospacing="1" w:after="100" w:afterAutospacing="1" w:line="240" w:lineRule="auto"/>
              <w:ind w:left="460" w:hanging="460"/>
              <w:rPr>
                <w:rFonts w:ascii="Times New Roman" w:eastAsia="Calibri" w:hAnsi="Times New Roman" w:cs="Times New Roman"/>
                <w:color w:val="000000"/>
              </w:rPr>
            </w:pPr>
            <w:r w:rsidRPr="00452C1A">
              <w:rPr>
                <w:rFonts w:ascii="Times New Roman" w:hAnsi="Times New Roman"/>
                <w:color w:val="000000"/>
              </w:rPr>
              <w:t>1</w:t>
            </w:r>
            <w:r>
              <w:rPr>
                <w:rFonts w:ascii="Times New Roman" w:hAnsi="Times New Roman"/>
                <w:color w:val="000000"/>
              </w:rPr>
              <w:t>.</w:t>
            </w:r>
            <w:r w:rsidRPr="00452C1A">
              <w:rPr>
                <w:rFonts w:ascii="Times New Roman" w:hAnsi="Times New Roman"/>
                <w:color w:val="000000"/>
              </w:rPr>
              <w:t>3</w:t>
            </w:r>
            <w:r>
              <w:rPr>
                <w:rFonts w:ascii="Times New Roman" w:hAnsi="Times New Roman"/>
                <w:color w:val="000000"/>
              </w:rPr>
              <w:t xml:space="preserve"> </w:t>
            </w:r>
            <w:r>
              <w:tab/>
            </w:r>
            <w:r>
              <w:rPr>
                <w:rFonts w:ascii="Times New Roman" w:hAnsi="Times New Roman"/>
                <w:color w:val="000000"/>
              </w:rPr>
              <w:t xml:space="preserve">Le niveau des responsables de volets/des experts clés de </w:t>
            </w:r>
            <w:r>
              <w:rPr>
                <w:rFonts w:ascii="Times New Roman" w:hAnsi="Times New Roman"/>
                <w:b/>
                <w:color w:val="000000"/>
              </w:rPr>
              <w:t xml:space="preserve">l’administration et/ou de l’organisme mandaté de l’État membre </w:t>
            </w:r>
            <w:r>
              <w:rPr>
                <w:rFonts w:ascii="Times New Roman" w:hAnsi="Times New Roman"/>
                <w:color w:val="000000"/>
              </w:rPr>
              <w:t>est-il suffisant pour garantir la bonne mise en œuvre du projet?</w:t>
            </w:r>
          </w:p>
        </w:tc>
        <w:tc>
          <w:tcPr>
            <w:tcW w:w="662" w:type="pct"/>
            <w:vAlign w:val="center"/>
          </w:tcPr>
          <w:p w14:paraId="59D4459C" w14:textId="77777777" w:rsidR="00832F98" w:rsidRPr="005107DF" w:rsidRDefault="00832F98" w:rsidP="0019382C">
            <w:pPr>
              <w:spacing w:before="100" w:beforeAutospacing="1" w:after="100" w:afterAutospacing="1" w:line="240" w:lineRule="auto"/>
              <w:ind w:left="460" w:hanging="460"/>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239E4540" w14:textId="77777777" w:rsidTr="0013042C">
        <w:tc>
          <w:tcPr>
            <w:tcW w:w="5000" w:type="pct"/>
            <w:gridSpan w:val="2"/>
          </w:tcPr>
          <w:p w14:paraId="132FDEDE" w14:textId="77777777" w:rsidR="00832F98" w:rsidRPr="005107DF" w:rsidRDefault="00832F98" w:rsidP="001A78F7">
            <w:pPr>
              <w:spacing w:before="100" w:beforeAutospacing="1" w:after="100" w:afterAutospacing="1" w:line="240" w:lineRule="auto"/>
              <w:rPr>
                <w:rFonts w:ascii="Times New Roman" w:eastAsia="Calibri" w:hAnsi="Times New Roman" w:cs="Times New Roman"/>
                <w:b/>
                <w:i/>
                <w:color w:val="000000"/>
                <w:u w:val="single"/>
              </w:rPr>
            </w:pPr>
            <w:r>
              <w:rPr>
                <w:rFonts w:ascii="Times New Roman" w:hAnsi="Times New Roman"/>
                <w:b/>
                <w:i/>
                <w:color w:val="000000"/>
                <w:u w:val="single"/>
              </w:rPr>
              <w:t>Commentaires:</w:t>
            </w:r>
          </w:p>
          <w:p w14:paraId="2E859955" w14:textId="77777777" w:rsidR="00832F98" w:rsidRPr="005107DF" w:rsidRDefault="00832F98" w:rsidP="001A78F7">
            <w:pPr>
              <w:spacing w:before="100" w:beforeAutospacing="1" w:after="0" w:line="240" w:lineRule="auto"/>
              <w:rPr>
                <w:rFonts w:ascii="Times New Roman" w:eastAsia="Calibri" w:hAnsi="Times New Roman" w:cs="Times New Roman"/>
                <w:color w:val="000000"/>
              </w:rPr>
            </w:pPr>
          </w:p>
          <w:p w14:paraId="56580B93" w14:textId="77777777" w:rsidR="00832F98" w:rsidRPr="005107DF" w:rsidRDefault="00832F98" w:rsidP="001A78F7">
            <w:pPr>
              <w:spacing w:before="100" w:beforeAutospacing="1" w:after="0" w:line="240" w:lineRule="auto"/>
              <w:rPr>
                <w:rFonts w:ascii="Times New Roman" w:eastAsia="Calibri" w:hAnsi="Times New Roman" w:cs="Times New Roman"/>
                <w:color w:val="000000"/>
              </w:rPr>
            </w:pPr>
          </w:p>
          <w:p w14:paraId="0AC0DB00" w14:textId="77777777" w:rsidR="00832F98" w:rsidRPr="005107DF" w:rsidRDefault="00832F98" w:rsidP="001A78F7">
            <w:pPr>
              <w:spacing w:before="100" w:beforeAutospacing="1" w:after="0" w:line="240" w:lineRule="auto"/>
              <w:rPr>
                <w:rFonts w:ascii="Times New Roman" w:eastAsia="Calibri" w:hAnsi="Times New Roman" w:cs="Times New Roman"/>
                <w:color w:val="000000"/>
              </w:rPr>
            </w:pPr>
          </w:p>
        </w:tc>
      </w:tr>
    </w:tbl>
    <w:p w14:paraId="09D36F36" w14:textId="77777777" w:rsidR="00832F98" w:rsidRPr="005107DF" w:rsidRDefault="00832F98" w:rsidP="001A78F7">
      <w:pPr>
        <w:rPr>
          <w:rFonts w:ascii="Times New Roman" w:eastAsia="Calibri" w:hAnsi="Times New Roman" w:cs="Times New Roman"/>
          <w:b/>
          <w:color w:val="000000"/>
        </w:rPr>
      </w:pPr>
    </w:p>
    <w:p w14:paraId="0F5E1E9F" w14:textId="77777777" w:rsidR="00832F98" w:rsidRPr="005107DF" w:rsidRDefault="00832F98">
      <w:pPr>
        <w:rPr>
          <w:rFonts w:ascii="Times New Roman" w:eastAsia="Calibri" w:hAnsi="Times New Roman" w:cs="Times New Roman"/>
          <w:b/>
          <w:color w:val="000000"/>
          <w:sz w:val="28"/>
          <w:szCs w:val="28"/>
          <w:u w:val="single"/>
        </w:rPr>
      </w:pPr>
      <w:r>
        <w:br w:type="page"/>
      </w:r>
    </w:p>
    <w:p w14:paraId="28C96F7D" w14:textId="77777777" w:rsidR="00832F98" w:rsidRPr="005107DF" w:rsidRDefault="00832F98" w:rsidP="001A78F7">
      <w:pPr>
        <w:rPr>
          <w:rFonts w:ascii="Times New Roman" w:eastAsia="Calibri" w:hAnsi="Times New Roman" w:cs="Times New Roman"/>
          <w:b/>
          <w:color w:val="000000"/>
          <w:sz w:val="28"/>
          <w:szCs w:val="28"/>
          <w:u w:val="single"/>
        </w:rPr>
      </w:pPr>
      <w:r w:rsidRPr="00452C1A">
        <w:rPr>
          <w:rFonts w:ascii="Times New Roman" w:hAnsi="Times New Roman"/>
          <w:b/>
          <w:color w:val="000000"/>
          <w:sz w:val="28"/>
          <w:u w:val="single"/>
        </w:rPr>
        <w:lastRenderedPageBreak/>
        <w:t>2</w:t>
      </w:r>
      <w:r>
        <w:rPr>
          <w:rFonts w:ascii="Times New Roman" w:hAnsi="Times New Roman"/>
          <w:b/>
          <w:color w:val="000000"/>
          <w:sz w:val="28"/>
          <w:u w:val="single"/>
        </w:rPr>
        <w:t>. Aspects de la proposition à prendre en considération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9"/>
        <w:gridCol w:w="1257"/>
      </w:tblGrid>
      <w:tr w:rsidR="00832F98" w:rsidRPr="005107DF" w14:paraId="47AC6BE0" w14:textId="77777777" w:rsidTr="0013042C">
        <w:tc>
          <w:tcPr>
            <w:tcW w:w="4319" w:type="pct"/>
            <w:shd w:val="pct10" w:color="auto" w:fill="FFFFFF"/>
          </w:tcPr>
          <w:p w14:paraId="52C6CAF4" w14:textId="77777777" w:rsidR="00832F98" w:rsidRPr="005107DF" w:rsidRDefault="00832F98" w:rsidP="001A78F7">
            <w:pPr>
              <w:rPr>
                <w:rFonts w:ascii="Times New Roman" w:eastAsia="Calibri" w:hAnsi="Times New Roman" w:cs="Times New Roman"/>
                <w:color w:val="000000"/>
              </w:rPr>
            </w:pPr>
            <w:r w:rsidRPr="00452C1A">
              <w:rPr>
                <w:rFonts w:ascii="Times New Roman" w:hAnsi="Times New Roman"/>
                <w:b/>
                <w:color w:val="000000"/>
                <w:sz w:val="28"/>
                <w:u w:val="single"/>
              </w:rPr>
              <w:t>2</w:t>
            </w:r>
            <w:r>
              <w:rPr>
                <w:rFonts w:ascii="Times New Roman" w:hAnsi="Times New Roman"/>
                <w:b/>
                <w:color w:val="000000"/>
                <w:sz w:val="28"/>
                <w:u w:val="single"/>
              </w:rPr>
              <w:t>.</w:t>
            </w:r>
            <w:r w:rsidRPr="00452C1A">
              <w:rPr>
                <w:rFonts w:ascii="Times New Roman" w:hAnsi="Times New Roman"/>
                <w:b/>
                <w:color w:val="000000"/>
                <w:sz w:val="28"/>
                <w:u w:val="single"/>
              </w:rPr>
              <w:t>1</w:t>
            </w:r>
            <w:r>
              <w:tab/>
            </w:r>
            <w:r>
              <w:rPr>
                <w:rFonts w:ascii="Times New Roman" w:hAnsi="Times New Roman"/>
                <w:b/>
                <w:color w:val="000000"/>
                <w:sz w:val="28"/>
                <w:u w:val="single"/>
              </w:rPr>
              <w:t>Expertise technique</w:t>
            </w:r>
          </w:p>
        </w:tc>
        <w:tc>
          <w:tcPr>
            <w:tcW w:w="681" w:type="pct"/>
            <w:shd w:val="pct10" w:color="auto" w:fill="FFFFFF"/>
          </w:tcPr>
          <w:p w14:paraId="2F64C37D" w14:textId="77777777" w:rsidR="00832F98" w:rsidRPr="005107DF" w:rsidRDefault="00832F98" w:rsidP="001A78F7">
            <w:pPr>
              <w:jc w:val="center"/>
              <w:rPr>
                <w:rFonts w:ascii="Times New Roman" w:eastAsia="Calibri" w:hAnsi="Times New Roman" w:cs="Times New Roman"/>
                <w:color w:val="000000"/>
              </w:rPr>
            </w:pPr>
            <w:r>
              <w:rPr>
                <w:rFonts w:ascii="Times New Roman" w:hAnsi="Times New Roman"/>
                <w:b/>
                <w:color w:val="000000"/>
              </w:rPr>
              <w:t>Note</w:t>
            </w:r>
            <w:r>
              <w:rPr>
                <w:rFonts w:ascii="Times New Roman" w:eastAsia="Calibri" w:hAnsi="Times New Roman" w:cs="Times New Roman"/>
                <w:b/>
                <w:color w:val="000000"/>
              </w:rPr>
              <w:br/>
            </w:r>
            <w:r w:rsidRPr="00452C1A">
              <w:rPr>
                <w:rFonts w:ascii="Times New Roman" w:hAnsi="Times New Roman"/>
                <w:b/>
                <w:color w:val="000000"/>
              </w:rPr>
              <w:t>1</w:t>
            </w:r>
            <w:r>
              <w:rPr>
                <w:rFonts w:ascii="Times New Roman" w:hAnsi="Times New Roman"/>
                <w:b/>
                <w:color w:val="000000"/>
              </w:rPr>
              <w:t xml:space="preserve"> à </w:t>
            </w:r>
            <w:r w:rsidRPr="00452C1A">
              <w:rPr>
                <w:rFonts w:ascii="Times New Roman" w:hAnsi="Times New Roman"/>
                <w:b/>
                <w:color w:val="000000"/>
              </w:rPr>
              <w:t>5</w:t>
            </w:r>
          </w:p>
        </w:tc>
      </w:tr>
      <w:tr w:rsidR="00832F98" w:rsidRPr="005107DF" w14:paraId="195FC7D7" w14:textId="77777777" w:rsidTr="0013042C">
        <w:tc>
          <w:tcPr>
            <w:tcW w:w="4319" w:type="pct"/>
          </w:tcPr>
          <w:p w14:paraId="3CB34592" w14:textId="77777777" w:rsidR="00832F98" w:rsidRPr="005107DF" w:rsidRDefault="00832F98"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1</w:t>
            </w:r>
            <w:r>
              <w:rPr>
                <w:rFonts w:ascii="Times New Roman" w:hAnsi="Times New Roman"/>
                <w:color w:val="000000"/>
              </w:rPr>
              <w:t>.</w:t>
            </w:r>
            <w:r w:rsidRPr="00452C1A">
              <w:rPr>
                <w:rFonts w:ascii="Times New Roman" w:hAnsi="Times New Roman"/>
                <w:color w:val="000000"/>
              </w:rPr>
              <w:t>1</w:t>
            </w:r>
            <w:r>
              <w:rPr>
                <w:rFonts w:ascii="Times New Roman" w:hAnsi="Times New Roman"/>
                <w:color w:val="000000"/>
              </w:rPr>
              <w:t>.</w:t>
            </w:r>
            <w:r>
              <w:tab/>
            </w:r>
            <w:r>
              <w:tab/>
            </w:r>
            <w:r>
              <w:rPr>
                <w:rFonts w:ascii="Times New Roman" w:hAnsi="Times New Roman"/>
                <w:color w:val="000000"/>
              </w:rPr>
              <w:t xml:space="preserve">Expertise technique du </w:t>
            </w:r>
            <w:r>
              <w:rPr>
                <w:rFonts w:ascii="Times New Roman" w:hAnsi="Times New Roman"/>
                <w:b/>
                <w:color w:val="000000"/>
              </w:rPr>
              <w:t>chef de projet</w:t>
            </w:r>
            <w:r>
              <w:rPr>
                <w:rFonts w:ascii="Times New Roman" w:hAnsi="Times New Roman"/>
                <w:color w:val="000000"/>
              </w:rPr>
              <w:t xml:space="preserve"> proposé </w:t>
            </w:r>
            <w:r>
              <w:rPr>
                <w:rFonts w:ascii="Times New Roman" w:eastAsia="Calibri" w:hAnsi="Times New Roman" w:cs="Times New Roman"/>
                <w:color w:val="000000"/>
              </w:rPr>
              <w:br/>
            </w:r>
            <w:r>
              <w:rPr>
                <w:rFonts w:ascii="Times New Roman" w:hAnsi="Times New Roman"/>
                <w:color w:val="000000"/>
              </w:rPr>
              <w:t>(connaissance des questions à résoudre et expérience dans la mise en œuvre de</w:t>
            </w:r>
            <w:r>
              <w:rPr>
                <w:rFonts w:ascii="Times New Roman" w:hAnsi="Times New Roman"/>
                <w:i/>
                <w:color w:val="000000"/>
              </w:rPr>
              <w:t xml:space="preserve"> </w:t>
            </w:r>
            <w:r>
              <w:rPr>
                <w:rFonts w:ascii="Times New Roman" w:hAnsi="Times New Roman"/>
                <w:color w:val="000000"/>
              </w:rPr>
              <w:t>l’acquis de l’Union/du domaine de coopération concerné)</w:t>
            </w:r>
          </w:p>
        </w:tc>
        <w:tc>
          <w:tcPr>
            <w:tcW w:w="681" w:type="pct"/>
          </w:tcPr>
          <w:p w14:paraId="4480B9AC" w14:textId="77777777" w:rsidR="00832F98" w:rsidRPr="005107DF" w:rsidRDefault="00832F98" w:rsidP="001A78F7">
            <w:pPr>
              <w:spacing w:before="100" w:beforeAutospacing="1" w:after="100" w:afterAutospacing="1" w:line="240" w:lineRule="auto"/>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1975D9BA" w14:textId="77777777" w:rsidTr="0013042C">
        <w:tc>
          <w:tcPr>
            <w:tcW w:w="4319" w:type="pct"/>
          </w:tcPr>
          <w:p w14:paraId="0A823A1B" w14:textId="77777777" w:rsidR="00832F98" w:rsidRPr="005107DF" w:rsidRDefault="00832F98" w:rsidP="001A78F7">
            <w:pPr>
              <w:spacing w:before="100" w:beforeAutospacing="1" w:after="100" w:afterAutospacing="1" w:line="240" w:lineRule="auto"/>
              <w:ind w:left="460" w:hanging="460"/>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1</w:t>
            </w:r>
            <w:r>
              <w:rPr>
                <w:rFonts w:ascii="Times New Roman" w:hAnsi="Times New Roman"/>
                <w:color w:val="000000"/>
              </w:rPr>
              <w:t>.</w:t>
            </w:r>
            <w:r w:rsidRPr="00452C1A">
              <w:rPr>
                <w:rFonts w:ascii="Times New Roman" w:hAnsi="Times New Roman"/>
                <w:color w:val="000000"/>
              </w:rPr>
              <w:t>2</w:t>
            </w:r>
            <w:r>
              <w:rPr>
                <w:rFonts w:ascii="Times New Roman" w:hAnsi="Times New Roman"/>
                <w:color w:val="000000"/>
              </w:rPr>
              <w:t>.</w:t>
            </w:r>
            <w:r>
              <w:tab/>
            </w:r>
            <w:r>
              <w:tab/>
            </w:r>
            <w:r>
              <w:rPr>
                <w:rFonts w:ascii="Times New Roman" w:hAnsi="Times New Roman"/>
                <w:color w:val="000000"/>
              </w:rPr>
              <w:t xml:space="preserve">Expérience antérieure du </w:t>
            </w:r>
            <w:r>
              <w:rPr>
                <w:rFonts w:ascii="Times New Roman" w:hAnsi="Times New Roman"/>
                <w:b/>
                <w:color w:val="000000"/>
              </w:rPr>
              <w:t>chef de projet</w:t>
            </w:r>
            <w:r>
              <w:rPr>
                <w:rFonts w:ascii="Times New Roman" w:hAnsi="Times New Roman"/>
                <w:color w:val="000000"/>
              </w:rPr>
              <w:t xml:space="preserve"> en matière de gestion de projets </w:t>
            </w:r>
          </w:p>
        </w:tc>
        <w:tc>
          <w:tcPr>
            <w:tcW w:w="681" w:type="pct"/>
          </w:tcPr>
          <w:p w14:paraId="40FBDDB9" w14:textId="77777777" w:rsidR="00832F98" w:rsidRPr="005107DF" w:rsidRDefault="00832F98" w:rsidP="001A78F7">
            <w:pPr>
              <w:spacing w:before="100" w:beforeAutospacing="1" w:after="100" w:afterAutospacing="1" w:line="240" w:lineRule="auto"/>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710A318C" w14:textId="77777777" w:rsidTr="0013042C">
        <w:tc>
          <w:tcPr>
            <w:tcW w:w="4319" w:type="pct"/>
          </w:tcPr>
          <w:p w14:paraId="592E6E0A" w14:textId="77777777" w:rsidR="00832F98" w:rsidRPr="005107DF" w:rsidRDefault="00832F98" w:rsidP="004F2C4C">
            <w:pPr>
              <w:spacing w:before="100" w:beforeAutospacing="1" w:after="100" w:afterAutospacing="1" w:line="240" w:lineRule="auto"/>
              <w:ind w:left="460" w:hanging="460"/>
              <w:rPr>
                <w:rFonts w:ascii="Times New Roman" w:eastAsia="Calibri" w:hAnsi="Times New Roman" w:cs="Times New Roman"/>
                <w:b/>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1</w:t>
            </w:r>
            <w:r>
              <w:rPr>
                <w:rFonts w:ascii="Times New Roman" w:hAnsi="Times New Roman"/>
                <w:color w:val="000000"/>
              </w:rPr>
              <w:t>.</w:t>
            </w:r>
            <w:r w:rsidRPr="00452C1A">
              <w:rPr>
                <w:rFonts w:ascii="Times New Roman" w:hAnsi="Times New Roman"/>
                <w:color w:val="000000"/>
              </w:rPr>
              <w:t>3</w:t>
            </w:r>
            <w:r>
              <w:tab/>
            </w:r>
            <w:r>
              <w:tab/>
            </w:r>
            <w:r>
              <w:rPr>
                <w:rFonts w:ascii="Times New Roman" w:hAnsi="Times New Roman"/>
                <w:color w:val="000000"/>
              </w:rPr>
              <w:t xml:space="preserve">Expertise technique des </w:t>
            </w:r>
            <w:r>
              <w:rPr>
                <w:rFonts w:ascii="Times New Roman" w:hAnsi="Times New Roman"/>
                <w:b/>
                <w:color w:val="000000"/>
              </w:rPr>
              <w:t>experts à court terme</w:t>
            </w:r>
            <w:r>
              <w:rPr>
                <w:rFonts w:ascii="Times New Roman" w:hAnsi="Times New Roman"/>
                <w:color w:val="000000"/>
              </w:rPr>
              <w:t xml:space="preserve"> proposés</w:t>
            </w:r>
            <w:r>
              <w:rPr>
                <w:rFonts w:ascii="Times New Roman" w:hAnsi="Times New Roman"/>
                <w:b/>
                <w:color w:val="000000"/>
              </w:rPr>
              <w:t xml:space="preserve"> </w:t>
            </w:r>
          </w:p>
        </w:tc>
        <w:tc>
          <w:tcPr>
            <w:tcW w:w="681" w:type="pct"/>
          </w:tcPr>
          <w:p w14:paraId="65405BAF" w14:textId="77777777" w:rsidR="00832F98" w:rsidRPr="005107DF" w:rsidRDefault="00832F98" w:rsidP="001A78F7">
            <w:pPr>
              <w:spacing w:before="100" w:beforeAutospacing="1" w:after="100" w:afterAutospacing="1" w:line="240" w:lineRule="auto"/>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2A9CFDC7" w14:textId="77777777" w:rsidTr="0013042C">
        <w:tc>
          <w:tcPr>
            <w:tcW w:w="5000" w:type="pct"/>
            <w:gridSpan w:val="2"/>
          </w:tcPr>
          <w:p w14:paraId="2F1BB40F" w14:textId="77777777" w:rsidR="00832F98" w:rsidRPr="005107DF" w:rsidRDefault="00832F98" w:rsidP="001A78F7">
            <w:pPr>
              <w:spacing w:before="100" w:beforeAutospacing="1" w:after="100" w:afterAutospacing="1" w:line="240" w:lineRule="auto"/>
              <w:rPr>
                <w:rFonts w:ascii="Times New Roman" w:eastAsia="Calibri" w:hAnsi="Times New Roman" w:cs="Times New Roman"/>
                <w:b/>
                <w:i/>
                <w:color w:val="000000"/>
                <w:u w:val="single"/>
              </w:rPr>
            </w:pPr>
            <w:r>
              <w:rPr>
                <w:rFonts w:ascii="Times New Roman" w:hAnsi="Times New Roman"/>
                <w:b/>
                <w:i/>
                <w:color w:val="000000"/>
                <w:u w:val="single"/>
              </w:rPr>
              <w:t>Commentaires:</w:t>
            </w:r>
          </w:p>
          <w:p w14:paraId="54D76203" w14:textId="77777777" w:rsidR="00832F98" w:rsidRPr="005107DF" w:rsidRDefault="00832F98" w:rsidP="001A78F7">
            <w:pPr>
              <w:spacing w:before="100" w:beforeAutospacing="1" w:after="100" w:afterAutospacing="1" w:line="240" w:lineRule="auto"/>
              <w:rPr>
                <w:rFonts w:ascii="Times New Roman" w:eastAsia="Calibri" w:hAnsi="Times New Roman" w:cs="Times New Roman"/>
                <w:color w:val="000000"/>
              </w:rPr>
            </w:pPr>
          </w:p>
          <w:p w14:paraId="65D800A1" w14:textId="77777777" w:rsidR="00832F98" w:rsidRPr="005107DF" w:rsidRDefault="00832F98" w:rsidP="001A78F7">
            <w:pPr>
              <w:spacing w:before="100" w:beforeAutospacing="1" w:after="100" w:afterAutospacing="1" w:line="240" w:lineRule="auto"/>
              <w:rPr>
                <w:rFonts w:ascii="Times New Roman" w:eastAsia="Calibri" w:hAnsi="Times New Roman" w:cs="Times New Roman"/>
                <w:color w:val="000000"/>
              </w:rPr>
            </w:pPr>
          </w:p>
        </w:tc>
      </w:tr>
    </w:tbl>
    <w:p w14:paraId="63C0743D" w14:textId="77777777" w:rsidR="00832F98" w:rsidRPr="005107DF" w:rsidRDefault="00832F98" w:rsidP="001A78F7">
      <w:pPr>
        <w:rPr>
          <w:rFonts w:ascii="Times New Roman" w:eastAsia="Calibri" w:hAnsi="Times New Roman" w:cs="Times New Roman"/>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64"/>
        <w:gridCol w:w="1362"/>
      </w:tblGrid>
      <w:tr w:rsidR="00832F98" w:rsidRPr="005107DF" w14:paraId="189B2C41" w14:textId="77777777" w:rsidTr="0013042C">
        <w:tc>
          <w:tcPr>
            <w:tcW w:w="4262" w:type="pct"/>
            <w:shd w:val="pct10" w:color="auto" w:fill="FFFFFF"/>
          </w:tcPr>
          <w:p w14:paraId="693823CC" w14:textId="77777777" w:rsidR="00832F98" w:rsidRPr="005107DF" w:rsidRDefault="00832F98" w:rsidP="001A78F7">
            <w:pPr>
              <w:rPr>
                <w:rFonts w:ascii="Times New Roman" w:eastAsia="Calibri" w:hAnsi="Times New Roman" w:cs="Times New Roman"/>
                <w:color w:val="000000"/>
              </w:rPr>
            </w:pPr>
            <w:r w:rsidRPr="00452C1A">
              <w:rPr>
                <w:rFonts w:ascii="Times New Roman" w:hAnsi="Times New Roman"/>
                <w:b/>
                <w:color w:val="000000"/>
                <w:sz w:val="28"/>
                <w:u w:val="single"/>
              </w:rPr>
              <w:t>2</w:t>
            </w:r>
            <w:r>
              <w:rPr>
                <w:rFonts w:ascii="Times New Roman" w:hAnsi="Times New Roman"/>
                <w:b/>
                <w:color w:val="000000"/>
                <w:sz w:val="28"/>
                <w:u w:val="single"/>
              </w:rPr>
              <w:t>.</w:t>
            </w:r>
            <w:r w:rsidRPr="00452C1A">
              <w:rPr>
                <w:rFonts w:ascii="Times New Roman" w:hAnsi="Times New Roman"/>
                <w:b/>
                <w:color w:val="000000"/>
                <w:sz w:val="28"/>
                <w:u w:val="single"/>
              </w:rPr>
              <w:t>2</w:t>
            </w:r>
            <w:r>
              <w:tab/>
            </w:r>
            <w:r>
              <w:rPr>
                <w:rFonts w:ascii="Times New Roman" w:hAnsi="Times New Roman"/>
                <w:b/>
                <w:color w:val="000000"/>
                <w:sz w:val="28"/>
                <w:u w:val="single"/>
              </w:rPr>
              <w:t>Pertinence</w:t>
            </w:r>
          </w:p>
        </w:tc>
        <w:tc>
          <w:tcPr>
            <w:tcW w:w="738" w:type="pct"/>
            <w:tcBorders>
              <w:bottom w:val="nil"/>
            </w:tcBorders>
            <w:shd w:val="pct10" w:color="auto" w:fill="FFFFFF"/>
          </w:tcPr>
          <w:p w14:paraId="29C22892" w14:textId="77777777" w:rsidR="00832F98" w:rsidRPr="005107DF" w:rsidRDefault="00832F98" w:rsidP="001A78F7">
            <w:pPr>
              <w:jc w:val="center"/>
              <w:rPr>
                <w:rFonts w:ascii="Times New Roman" w:eastAsia="Calibri" w:hAnsi="Times New Roman" w:cs="Times New Roman"/>
                <w:b/>
                <w:color w:val="000000"/>
              </w:rPr>
            </w:pPr>
            <w:r>
              <w:rPr>
                <w:rFonts w:ascii="Times New Roman" w:hAnsi="Times New Roman"/>
                <w:b/>
                <w:color w:val="000000"/>
              </w:rPr>
              <w:t>Note</w:t>
            </w:r>
            <w:r>
              <w:rPr>
                <w:rFonts w:ascii="Times New Roman" w:eastAsia="Calibri" w:hAnsi="Times New Roman" w:cs="Times New Roman"/>
                <w:b/>
                <w:color w:val="000000"/>
              </w:rPr>
              <w:br/>
            </w:r>
            <w:r w:rsidRPr="00452C1A">
              <w:rPr>
                <w:rFonts w:ascii="Times New Roman" w:hAnsi="Times New Roman"/>
                <w:b/>
                <w:color w:val="000000"/>
              </w:rPr>
              <w:t>1</w:t>
            </w:r>
            <w:r>
              <w:rPr>
                <w:rFonts w:ascii="Times New Roman" w:hAnsi="Times New Roman"/>
                <w:b/>
                <w:color w:val="000000"/>
              </w:rPr>
              <w:t xml:space="preserve"> à </w:t>
            </w:r>
            <w:r w:rsidRPr="00452C1A">
              <w:rPr>
                <w:rFonts w:ascii="Times New Roman" w:hAnsi="Times New Roman"/>
                <w:b/>
                <w:color w:val="000000"/>
              </w:rPr>
              <w:t>5</w:t>
            </w:r>
          </w:p>
        </w:tc>
      </w:tr>
      <w:tr w:rsidR="00832F98" w:rsidRPr="005107DF" w14:paraId="64E1B4C2" w14:textId="77777777" w:rsidTr="0013042C">
        <w:tc>
          <w:tcPr>
            <w:tcW w:w="4262" w:type="pct"/>
          </w:tcPr>
          <w:p w14:paraId="13FD6A78" w14:textId="77777777" w:rsidR="00832F98" w:rsidRPr="005107DF" w:rsidRDefault="00832F98"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1</w:t>
            </w:r>
            <w:r>
              <w:tab/>
            </w:r>
            <w:r>
              <w:tab/>
            </w:r>
            <w:r>
              <w:rPr>
                <w:rFonts w:ascii="Times New Roman" w:hAnsi="Times New Roman"/>
                <w:color w:val="000000"/>
              </w:rPr>
              <w:t>Pertinence de la proposition par rapport aux objectifs énoncés dans la fiche du projet de jumelage léger</w:t>
            </w:r>
          </w:p>
        </w:tc>
        <w:tc>
          <w:tcPr>
            <w:tcW w:w="738" w:type="pct"/>
          </w:tcPr>
          <w:p w14:paraId="7BEA418D" w14:textId="77777777" w:rsidR="00832F98" w:rsidRPr="005107DF" w:rsidRDefault="00832F98" w:rsidP="001A78F7">
            <w:pPr>
              <w:spacing w:before="100" w:beforeAutospacing="1" w:after="100" w:afterAutospacing="1" w:line="240" w:lineRule="auto"/>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6E4A855A" w14:textId="77777777" w:rsidTr="0013042C">
        <w:tc>
          <w:tcPr>
            <w:tcW w:w="4262" w:type="pct"/>
          </w:tcPr>
          <w:p w14:paraId="41E05E1A" w14:textId="77777777" w:rsidR="00832F98" w:rsidRPr="005107DF" w:rsidRDefault="00832F98"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2</w:t>
            </w:r>
            <w:r>
              <w:tab/>
            </w:r>
            <w:r>
              <w:tab/>
            </w:r>
            <w:r>
              <w:rPr>
                <w:rFonts w:ascii="Times New Roman" w:hAnsi="Times New Roman"/>
                <w:color w:val="000000"/>
              </w:rPr>
              <w:t>Aptitude de la proposition à couvrir tous les domaines d’activité indiqués dans la fiche du projet de jumelage léger</w:t>
            </w:r>
          </w:p>
        </w:tc>
        <w:tc>
          <w:tcPr>
            <w:tcW w:w="738" w:type="pct"/>
          </w:tcPr>
          <w:p w14:paraId="5786ED4D" w14:textId="77777777" w:rsidR="00832F98" w:rsidRPr="005107DF" w:rsidRDefault="00832F98" w:rsidP="001A78F7">
            <w:pPr>
              <w:spacing w:before="100" w:beforeAutospacing="1" w:after="100" w:afterAutospacing="1" w:line="240" w:lineRule="auto"/>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468FE2C7" w14:textId="77777777" w:rsidTr="0013042C">
        <w:tc>
          <w:tcPr>
            <w:tcW w:w="4262" w:type="pct"/>
            <w:vAlign w:val="center"/>
          </w:tcPr>
          <w:p w14:paraId="3BEABA7E" w14:textId="77777777" w:rsidR="00832F98" w:rsidRPr="005107DF" w:rsidRDefault="00832F98"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3</w:t>
            </w:r>
            <w:r>
              <w:tab/>
            </w:r>
            <w:r>
              <w:tab/>
            </w:r>
            <w:r>
              <w:rPr>
                <w:rFonts w:ascii="Times New Roman" w:hAnsi="Times New Roman"/>
                <w:color w:val="000000"/>
              </w:rPr>
              <w:t xml:space="preserve">Adéquation de l’administration ou des administrations de l’État membre par rapport aux besoins recensés dans la fiche du projet de jumelage léger </w:t>
            </w:r>
          </w:p>
        </w:tc>
        <w:tc>
          <w:tcPr>
            <w:tcW w:w="738" w:type="pct"/>
          </w:tcPr>
          <w:p w14:paraId="370143B9" w14:textId="77777777" w:rsidR="00832F98" w:rsidRPr="005107DF" w:rsidRDefault="00832F98" w:rsidP="001A78F7">
            <w:pPr>
              <w:spacing w:before="100" w:beforeAutospacing="1" w:after="100" w:afterAutospacing="1" w:line="240" w:lineRule="auto"/>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5DCFCA2A" w14:textId="77777777" w:rsidTr="0013042C">
        <w:tc>
          <w:tcPr>
            <w:tcW w:w="4262" w:type="pct"/>
          </w:tcPr>
          <w:p w14:paraId="18FBCC94" w14:textId="77777777" w:rsidR="00832F98" w:rsidRPr="005107DF" w:rsidRDefault="00832F98" w:rsidP="005300AD">
            <w:pPr>
              <w:tabs>
                <w:tab w:val="left" w:pos="394"/>
                <w:tab w:val="left" w:pos="529"/>
              </w:tabs>
              <w:spacing w:before="100" w:beforeAutospacing="1" w:after="100" w:afterAutospacing="1" w:line="240" w:lineRule="auto"/>
              <w:ind w:left="664" w:hanging="664"/>
              <w:jc w:val="both"/>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4</w:t>
            </w:r>
            <w:r>
              <w:tab/>
            </w:r>
            <w:r>
              <w:tab/>
            </w:r>
            <w:r>
              <w:rPr>
                <w:rFonts w:ascii="Times New Roman" w:hAnsi="Times New Roman"/>
                <w:color w:val="000000"/>
              </w:rPr>
              <w:t>Prise en considération, dans les propositions, d’autres aides apportées dans le même domaine (par exemple, des projets de jumelage antérieurs) et de pistes pour éviter les doubles emplois ou créer des synergies</w:t>
            </w:r>
          </w:p>
        </w:tc>
        <w:tc>
          <w:tcPr>
            <w:tcW w:w="738" w:type="pct"/>
          </w:tcPr>
          <w:p w14:paraId="0EE40CE8" w14:textId="77777777" w:rsidR="00832F98" w:rsidRPr="005107DF" w:rsidRDefault="00832F98" w:rsidP="00922219">
            <w:pPr>
              <w:spacing w:before="100" w:beforeAutospacing="1" w:after="100" w:afterAutospacing="1" w:line="240" w:lineRule="auto"/>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0E078EDA" w14:textId="77777777" w:rsidTr="0013042C">
        <w:tc>
          <w:tcPr>
            <w:tcW w:w="5000" w:type="pct"/>
            <w:gridSpan w:val="2"/>
          </w:tcPr>
          <w:p w14:paraId="078B9BB5" w14:textId="77777777" w:rsidR="00832F98" w:rsidRPr="005107DF" w:rsidRDefault="00832F98" w:rsidP="001A78F7">
            <w:pPr>
              <w:spacing w:before="100" w:beforeAutospacing="1" w:after="100" w:afterAutospacing="1" w:line="240" w:lineRule="auto"/>
              <w:rPr>
                <w:rFonts w:ascii="Times New Roman" w:eastAsia="Calibri" w:hAnsi="Times New Roman" w:cs="Times New Roman"/>
                <w:b/>
                <w:i/>
                <w:color w:val="000000"/>
                <w:u w:val="single"/>
              </w:rPr>
            </w:pPr>
            <w:r>
              <w:rPr>
                <w:rFonts w:ascii="Times New Roman" w:hAnsi="Times New Roman"/>
                <w:b/>
                <w:i/>
                <w:color w:val="000000"/>
                <w:u w:val="single"/>
              </w:rPr>
              <w:t>Commentaires:</w:t>
            </w:r>
          </w:p>
          <w:p w14:paraId="11E11831" w14:textId="77777777" w:rsidR="00832F98" w:rsidRPr="005107DF" w:rsidRDefault="00832F98" w:rsidP="001A78F7">
            <w:pPr>
              <w:spacing w:before="100" w:beforeAutospacing="1" w:after="100" w:afterAutospacing="1" w:line="240" w:lineRule="auto"/>
              <w:rPr>
                <w:rFonts w:ascii="Times New Roman" w:eastAsia="Calibri" w:hAnsi="Times New Roman" w:cs="Times New Roman"/>
                <w:color w:val="000000"/>
              </w:rPr>
            </w:pPr>
          </w:p>
          <w:p w14:paraId="0369D470" w14:textId="77777777" w:rsidR="00832F98" w:rsidRPr="005107DF" w:rsidRDefault="00832F98" w:rsidP="001A78F7">
            <w:pPr>
              <w:spacing w:before="100" w:beforeAutospacing="1" w:after="100" w:afterAutospacing="1" w:line="240" w:lineRule="auto"/>
              <w:rPr>
                <w:rFonts w:ascii="Times New Roman" w:eastAsia="Calibri" w:hAnsi="Times New Roman" w:cs="Times New Roman"/>
                <w:color w:val="000000"/>
              </w:rPr>
            </w:pPr>
          </w:p>
        </w:tc>
      </w:tr>
    </w:tbl>
    <w:p w14:paraId="53000395" w14:textId="77777777" w:rsidR="00832F98" w:rsidRPr="005107DF" w:rsidRDefault="00832F98" w:rsidP="001A78F7">
      <w:pPr>
        <w:rPr>
          <w:rFonts w:ascii="Times New Roman" w:eastAsia="Calibri" w:hAnsi="Times New Roman" w:cs="Times New 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1"/>
        <w:gridCol w:w="1225"/>
      </w:tblGrid>
      <w:tr w:rsidR="00832F98" w:rsidRPr="005107DF" w14:paraId="3669BB50" w14:textId="77777777" w:rsidTr="0013042C">
        <w:trPr>
          <w:trHeight w:val="731"/>
        </w:trPr>
        <w:tc>
          <w:tcPr>
            <w:tcW w:w="4336" w:type="pct"/>
            <w:shd w:val="pct10" w:color="auto" w:fill="FFFFFF"/>
          </w:tcPr>
          <w:p w14:paraId="4296426C" w14:textId="77777777" w:rsidR="00832F98" w:rsidRPr="005107DF" w:rsidRDefault="00832F98" w:rsidP="001A78F7">
            <w:pPr>
              <w:ind w:left="426" w:hanging="426"/>
              <w:rPr>
                <w:rFonts w:ascii="Times New Roman" w:eastAsia="Calibri" w:hAnsi="Times New Roman" w:cs="Times New Roman"/>
                <w:b/>
                <w:color w:val="000000"/>
                <w:sz w:val="28"/>
                <w:szCs w:val="28"/>
                <w:u w:val="single"/>
              </w:rPr>
            </w:pPr>
            <w:r w:rsidRPr="00452C1A">
              <w:rPr>
                <w:rFonts w:ascii="Times New Roman" w:hAnsi="Times New Roman"/>
                <w:b/>
                <w:color w:val="000000"/>
                <w:sz w:val="28"/>
                <w:u w:val="single"/>
              </w:rPr>
              <w:t>2</w:t>
            </w:r>
            <w:r>
              <w:rPr>
                <w:rFonts w:ascii="Times New Roman" w:hAnsi="Times New Roman"/>
                <w:b/>
                <w:color w:val="000000"/>
                <w:sz w:val="28"/>
                <w:u w:val="single"/>
              </w:rPr>
              <w:t>.</w:t>
            </w:r>
            <w:r w:rsidRPr="00452C1A">
              <w:rPr>
                <w:rFonts w:ascii="Times New Roman" w:hAnsi="Times New Roman"/>
                <w:b/>
                <w:color w:val="000000"/>
                <w:sz w:val="28"/>
                <w:u w:val="single"/>
              </w:rPr>
              <w:t>3</w:t>
            </w:r>
            <w:r>
              <w:tab/>
            </w:r>
            <w:r>
              <w:tab/>
            </w:r>
            <w:r>
              <w:rPr>
                <w:rFonts w:ascii="Times New Roman" w:hAnsi="Times New Roman"/>
                <w:b/>
                <w:color w:val="000000"/>
                <w:sz w:val="28"/>
                <w:u w:val="single"/>
              </w:rPr>
              <w:t>Méthodologie</w:t>
            </w:r>
          </w:p>
        </w:tc>
        <w:tc>
          <w:tcPr>
            <w:tcW w:w="664" w:type="pct"/>
            <w:shd w:val="pct10" w:color="auto" w:fill="FFFFFF"/>
          </w:tcPr>
          <w:p w14:paraId="197EF42A" w14:textId="77777777" w:rsidR="00832F98" w:rsidRPr="005107DF" w:rsidRDefault="00832F98" w:rsidP="001A78F7">
            <w:pPr>
              <w:jc w:val="center"/>
              <w:rPr>
                <w:rFonts w:ascii="Times New Roman" w:eastAsia="Calibri" w:hAnsi="Times New Roman" w:cs="Times New Roman"/>
                <w:b/>
                <w:color w:val="000000"/>
              </w:rPr>
            </w:pPr>
            <w:r>
              <w:rPr>
                <w:rFonts w:ascii="Times New Roman" w:hAnsi="Times New Roman"/>
                <w:b/>
                <w:color w:val="000000"/>
              </w:rPr>
              <w:t>Note</w:t>
            </w:r>
            <w:r>
              <w:rPr>
                <w:rFonts w:ascii="Times New Roman" w:eastAsia="Calibri" w:hAnsi="Times New Roman" w:cs="Times New Roman"/>
                <w:b/>
                <w:color w:val="000000"/>
              </w:rPr>
              <w:br/>
            </w:r>
            <w:r w:rsidRPr="00452C1A">
              <w:rPr>
                <w:rFonts w:ascii="Times New Roman" w:hAnsi="Times New Roman"/>
                <w:b/>
                <w:color w:val="000000"/>
              </w:rPr>
              <w:t>1</w:t>
            </w:r>
            <w:r>
              <w:rPr>
                <w:rFonts w:ascii="Times New Roman" w:hAnsi="Times New Roman"/>
                <w:b/>
                <w:color w:val="000000"/>
              </w:rPr>
              <w:t xml:space="preserve"> à </w:t>
            </w:r>
            <w:r w:rsidRPr="00452C1A">
              <w:rPr>
                <w:rFonts w:ascii="Times New Roman" w:hAnsi="Times New Roman"/>
                <w:b/>
                <w:color w:val="000000"/>
              </w:rPr>
              <w:t>5</w:t>
            </w:r>
          </w:p>
        </w:tc>
      </w:tr>
      <w:tr w:rsidR="00832F98" w:rsidRPr="005107DF" w14:paraId="181B0BC8" w14:textId="77777777" w:rsidTr="0013042C">
        <w:tc>
          <w:tcPr>
            <w:tcW w:w="4336" w:type="pct"/>
          </w:tcPr>
          <w:p w14:paraId="1143AD8E" w14:textId="77777777" w:rsidR="00832F98" w:rsidRPr="005107DF" w:rsidRDefault="00832F98"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3</w:t>
            </w:r>
            <w:r>
              <w:rPr>
                <w:rFonts w:ascii="Times New Roman" w:hAnsi="Times New Roman"/>
                <w:color w:val="000000"/>
              </w:rPr>
              <w:t>.</w:t>
            </w:r>
            <w:r w:rsidRPr="00452C1A">
              <w:rPr>
                <w:rFonts w:ascii="Times New Roman" w:hAnsi="Times New Roman"/>
                <w:color w:val="000000"/>
              </w:rPr>
              <w:t>1</w:t>
            </w:r>
            <w:r>
              <w:tab/>
            </w:r>
            <w:r>
              <w:tab/>
            </w:r>
            <w:r>
              <w:rPr>
                <w:rFonts w:ascii="Times New Roman" w:hAnsi="Times New Roman"/>
                <w:color w:val="000000"/>
              </w:rPr>
              <w:t xml:space="preserve">Cohérence globale de la conception du projet </w:t>
            </w:r>
          </w:p>
        </w:tc>
        <w:tc>
          <w:tcPr>
            <w:tcW w:w="664" w:type="pct"/>
          </w:tcPr>
          <w:p w14:paraId="6C65CA9E" w14:textId="77777777" w:rsidR="00832F98" w:rsidRPr="005107DF" w:rsidRDefault="00832F98" w:rsidP="001A78F7">
            <w:pPr>
              <w:spacing w:before="100" w:beforeAutospacing="1" w:after="100" w:afterAutospacing="1"/>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5E9EDF44" w14:textId="77777777" w:rsidTr="0013042C">
        <w:tc>
          <w:tcPr>
            <w:tcW w:w="4336" w:type="pct"/>
          </w:tcPr>
          <w:p w14:paraId="609FBF36" w14:textId="77777777" w:rsidR="00832F98" w:rsidRPr="005107DF" w:rsidRDefault="00832F98"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3</w:t>
            </w:r>
            <w:r>
              <w:rPr>
                <w:rFonts w:ascii="Times New Roman" w:hAnsi="Times New Roman"/>
                <w:color w:val="000000"/>
              </w:rPr>
              <w:t>.</w:t>
            </w:r>
            <w:r w:rsidRPr="00452C1A">
              <w:rPr>
                <w:rFonts w:ascii="Times New Roman" w:hAnsi="Times New Roman"/>
                <w:color w:val="000000"/>
              </w:rPr>
              <w:t>2</w:t>
            </w:r>
            <w:r>
              <w:tab/>
            </w:r>
            <w:r>
              <w:tab/>
            </w:r>
            <w:r>
              <w:rPr>
                <w:rFonts w:ascii="Times New Roman" w:hAnsi="Times New Roman"/>
                <w:color w:val="000000"/>
              </w:rPr>
              <w:t>Adéquation de la méthodologie proposée par rapport au projet spécifique</w:t>
            </w:r>
          </w:p>
        </w:tc>
        <w:tc>
          <w:tcPr>
            <w:tcW w:w="664" w:type="pct"/>
          </w:tcPr>
          <w:p w14:paraId="6B77665D" w14:textId="77777777" w:rsidR="00832F98" w:rsidRPr="005107DF" w:rsidRDefault="00832F98" w:rsidP="001A78F7">
            <w:pPr>
              <w:spacing w:before="100" w:beforeAutospacing="1" w:after="100" w:afterAutospacing="1"/>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3F4AD04C" w14:textId="77777777" w:rsidTr="0013042C">
        <w:tc>
          <w:tcPr>
            <w:tcW w:w="4336" w:type="pct"/>
          </w:tcPr>
          <w:p w14:paraId="0FE819AF" w14:textId="77777777" w:rsidR="00832F98" w:rsidRPr="005107DF" w:rsidRDefault="00832F98"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3</w:t>
            </w:r>
            <w:r>
              <w:rPr>
                <w:rFonts w:ascii="Times New Roman" w:hAnsi="Times New Roman"/>
                <w:color w:val="000000"/>
              </w:rPr>
              <w:t>.</w:t>
            </w:r>
            <w:r w:rsidRPr="00452C1A">
              <w:rPr>
                <w:rFonts w:ascii="Times New Roman" w:hAnsi="Times New Roman"/>
                <w:color w:val="000000"/>
              </w:rPr>
              <w:t>3</w:t>
            </w:r>
            <w:r>
              <w:tab/>
            </w:r>
            <w:r>
              <w:tab/>
            </w:r>
            <w:r>
              <w:rPr>
                <w:rFonts w:ascii="Times New Roman" w:hAnsi="Times New Roman"/>
                <w:color w:val="000000"/>
              </w:rPr>
              <w:t xml:space="preserve">Formulation des résultats obligatoires/produits pour chaque volet et contribution potentielle à l’objectif spécifique </w:t>
            </w:r>
          </w:p>
        </w:tc>
        <w:tc>
          <w:tcPr>
            <w:tcW w:w="664" w:type="pct"/>
          </w:tcPr>
          <w:p w14:paraId="562E0A37" w14:textId="77777777" w:rsidR="00832F98" w:rsidRPr="005107DF" w:rsidRDefault="00832F98" w:rsidP="001A78F7">
            <w:pPr>
              <w:spacing w:before="100" w:beforeAutospacing="1" w:after="100" w:afterAutospacing="1"/>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5152E988" w14:textId="77777777" w:rsidTr="0013042C">
        <w:tc>
          <w:tcPr>
            <w:tcW w:w="4336" w:type="pct"/>
          </w:tcPr>
          <w:p w14:paraId="3425D82A" w14:textId="77777777" w:rsidR="00832F98" w:rsidRPr="005107DF" w:rsidRDefault="00832F98"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3</w:t>
            </w:r>
            <w:r>
              <w:rPr>
                <w:rFonts w:ascii="Times New Roman" w:hAnsi="Times New Roman"/>
                <w:color w:val="000000"/>
              </w:rPr>
              <w:t>.</w:t>
            </w:r>
            <w:r w:rsidRPr="00452C1A">
              <w:rPr>
                <w:rFonts w:ascii="Times New Roman" w:hAnsi="Times New Roman"/>
                <w:color w:val="000000"/>
              </w:rPr>
              <w:t>4</w:t>
            </w:r>
            <w:r>
              <w:tab/>
            </w:r>
            <w:r>
              <w:tab/>
            </w:r>
            <w:r>
              <w:rPr>
                <w:rFonts w:ascii="Times New Roman" w:hAnsi="Times New Roman"/>
                <w:color w:val="000000"/>
              </w:rPr>
              <w:t>Clarté de la formulation des activités proposées et conformité de ces dernières avec les objectifs et les résultats escomptés</w:t>
            </w:r>
          </w:p>
        </w:tc>
        <w:tc>
          <w:tcPr>
            <w:tcW w:w="664" w:type="pct"/>
          </w:tcPr>
          <w:p w14:paraId="2AE293F5" w14:textId="77777777" w:rsidR="00832F98" w:rsidRPr="005107DF" w:rsidRDefault="00832F98" w:rsidP="001A78F7">
            <w:pPr>
              <w:spacing w:before="100" w:beforeAutospacing="1" w:after="100" w:afterAutospacing="1"/>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2F84FC3E" w14:textId="77777777" w:rsidTr="0013042C">
        <w:tc>
          <w:tcPr>
            <w:tcW w:w="5000" w:type="pct"/>
            <w:gridSpan w:val="2"/>
          </w:tcPr>
          <w:p w14:paraId="74D5E3D7" w14:textId="77777777" w:rsidR="00832F98" w:rsidRPr="005107DF" w:rsidRDefault="00832F98" w:rsidP="001A78F7">
            <w:pPr>
              <w:spacing w:before="100" w:beforeAutospacing="1" w:after="100" w:afterAutospacing="1" w:line="240" w:lineRule="auto"/>
              <w:rPr>
                <w:rFonts w:ascii="Times New Roman" w:eastAsia="Calibri" w:hAnsi="Times New Roman" w:cs="Times New Roman"/>
                <w:b/>
                <w:i/>
                <w:color w:val="000000"/>
                <w:u w:val="single"/>
              </w:rPr>
            </w:pPr>
            <w:r>
              <w:rPr>
                <w:rFonts w:ascii="Times New Roman" w:hAnsi="Times New Roman"/>
                <w:b/>
                <w:i/>
                <w:color w:val="000000"/>
                <w:u w:val="single"/>
              </w:rPr>
              <w:t>Commentaires:</w:t>
            </w:r>
          </w:p>
          <w:p w14:paraId="4C929C5A" w14:textId="77777777" w:rsidR="00832F98" w:rsidRPr="005107DF" w:rsidRDefault="00832F98" w:rsidP="001A78F7">
            <w:pPr>
              <w:spacing w:before="100" w:beforeAutospacing="1" w:after="100" w:afterAutospacing="1"/>
              <w:rPr>
                <w:rFonts w:ascii="Times New Roman" w:eastAsia="Calibri" w:hAnsi="Times New Roman" w:cs="Times New Roman"/>
                <w:color w:val="000000"/>
              </w:rPr>
            </w:pPr>
          </w:p>
        </w:tc>
      </w:tr>
    </w:tbl>
    <w:p w14:paraId="1BCD9E4F" w14:textId="77777777" w:rsidR="00832F98" w:rsidRDefault="00832F98" w:rsidP="001A78F7">
      <w:pPr>
        <w:rPr>
          <w:rFonts w:ascii="Times New Roman" w:eastAsia="Calibri" w:hAnsi="Times New Roman" w:cs="Times New Roman"/>
          <w:b/>
          <w:color w:val="000000"/>
        </w:rPr>
      </w:pPr>
    </w:p>
    <w:p w14:paraId="3A3EF0A0" w14:textId="77777777" w:rsidR="00832F98" w:rsidRDefault="00832F98" w:rsidP="001A78F7">
      <w:pPr>
        <w:rPr>
          <w:rFonts w:ascii="Times New Roman" w:eastAsia="Calibri" w:hAnsi="Times New Roman" w:cs="Times New Roman"/>
          <w:b/>
          <w:color w:val="000000"/>
        </w:rPr>
      </w:pPr>
    </w:p>
    <w:p w14:paraId="1BA1FF3F" w14:textId="77777777" w:rsidR="00832F98" w:rsidRPr="005107DF" w:rsidRDefault="00832F98" w:rsidP="001A78F7">
      <w:pPr>
        <w:rPr>
          <w:rFonts w:ascii="Times New Roman" w:eastAsia="Calibri" w:hAnsi="Times New Roman" w:cs="Times New Roman"/>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1"/>
        <w:gridCol w:w="1225"/>
      </w:tblGrid>
      <w:tr w:rsidR="00832F98" w:rsidRPr="005107DF" w14:paraId="7C3D8AA6" w14:textId="77777777" w:rsidTr="0013042C">
        <w:tc>
          <w:tcPr>
            <w:tcW w:w="4336" w:type="pct"/>
            <w:shd w:val="pct10" w:color="auto" w:fill="FFFFFF"/>
          </w:tcPr>
          <w:p w14:paraId="30C9D48D" w14:textId="77777777" w:rsidR="00832F98" w:rsidRPr="005107DF" w:rsidRDefault="00832F98" w:rsidP="001A78F7">
            <w:pPr>
              <w:rPr>
                <w:rFonts w:ascii="Times New Roman" w:eastAsia="Calibri" w:hAnsi="Times New Roman" w:cs="Times New Roman"/>
                <w:color w:val="000000"/>
              </w:rPr>
            </w:pPr>
            <w:r>
              <w:lastRenderedPageBreak/>
              <w:br w:type="page"/>
            </w:r>
            <w:r w:rsidRPr="00452C1A">
              <w:rPr>
                <w:rFonts w:ascii="Times New Roman" w:hAnsi="Times New Roman"/>
                <w:b/>
                <w:color w:val="000000"/>
                <w:sz w:val="28"/>
                <w:u w:val="single"/>
              </w:rPr>
              <w:t>2</w:t>
            </w:r>
            <w:r>
              <w:rPr>
                <w:rFonts w:ascii="Times New Roman" w:hAnsi="Times New Roman"/>
                <w:b/>
                <w:color w:val="000000"/>
                <w:sz w:val="28"/>
                <w:u w:val="single"/>
              </w:rPr>
              <w:t>.</w:t>
            </w:r>
            <w:r w:rsidRPr="00452C1A">
              <w:rPr>
                <w:rFonts w:ascii="Times New Roman" w:hAnsi="Times New Roman"/>
                <w:b/>
                <w:color w:val="000000"/>
                <w:sz w:val="28"/>
                <w:u w:val="single"/>
              </w:rPr>
              <w:t>4</w:t>
            </w:r>
            <w:r>
              <w:rPr>
                <w:rFonts w:ascii="Times New Roman" w:hAnsi="Times New Roman"/>
                <w:b/>
                <w:color w:val="000000"/>
                <w:sz w:val="28"/>
                <w:u w:val="single"/>
              </w:rPr>
              <w:t xml:space="preserve"> Durabilité</w:t>
            </w:r>
          </w:p>
        </w:tc>
        <w:tc>
          <w:tcPr>
            <w:tcW w:w="664" w:type="pct"/>
            <w:shd w:val="pct10" w:color="auto" w:fill="FFFFFF"/>
          </w:tcPr>
          <w:p w14:paraId="49EBF5B2" w14:textId="77777777" w:rsidR="00832F98" w:rsidRPr="005107DF" w:rsidRDefault="00832F98" w:rsidP="001A78F7">
            <w:pPr>
              <w:jc w:val="center"/>
              <w:rPr>
                <w:rFonts w:ascii="Times New Roman" w:eastAsia="Calibri" w:hAnsi="Times New Roman" w:cs="Times New Roman"/>
                <w:b/>
                <w:color w:val="000000"/>
                <w:sz w:val="20"/>
              </w:rPr>
            </w:pPr>
            <w:r>
              <w:rPr>
                <w:rFonts w:ascii="Times New Roman" w:hAnsi="Times New Roman"/>
                <w:b/>
                <w:color w:val="000000"/>
              </w:rPr>
              <w:t>Note</w:t>
            </w:r>
            <w:r>
              <w:rPr>
                <w:rFonts w:ascii="Times New Roman" w:eastAsia="Calibri" w:hAnsi="Times New Roman" w:cs="Times New Roman"/>
                <w:b/>
                <w:color w:val="000000"/>
              </w:rPr>
              <w:br/>
            </w:r>
            <w:r w:rsidRPr="00452C1A">
              <w:rPr>
                <w:rFonts w:ascii="Times New Roman" w:hAnsi="Times New Roman"/>
                <w:b/>
                <w:color w:val="000000"/>
              </w:rPr>
              <w:t>1</w:t>
            </w:r>
            <w:r>
              <w:rPr>
                <w:rFonts w:ascii="Times New Roman" w:hAnsi="Times New Roman"/>
                <w:b/>
                <w:color w:val="000000"/>
              </w:rPr>
              <w:t xml:space="preserve"> à </w:t>
            </w:r>
            <w:r w:rsidRPr="00452C1A">
              <w:rPr>
                <w:rFonts w:ascii="Times New Roman" w:hAnsi="Times New Roman"/>
                <w:b/>
                <w:color w:val="000000"/>
              </w:rPr>
              <w:t>5</w:t>
            </w:r>
          </w:p>
        </w:tc>
      </w:tr>
      <w:tr w:rsidR="00832F98" w:rsidRPr="005107DF" w14:paraId="1B15D1A3" w14:textId="77777777" w:rsidTr="0013042C">
        <w:tc>
          <w:tcPr>
            <w:tcW w:w="4336" w:type="pct"/>
          </w:tcPr>
          <w:p w14:paraId="5FFCEC1A" w14:textId="77777777" w:rsidR="00832F98" w:rsidRPr="005107DF" w:rsidRDefault="00832F98" w:rsidP="005300AD">
            <w:pPr>
              <w:tabs>
                <w:tab w:val="left" w:pos="394"/>
                <w:tab w:val="left" w:pos="529"/>
              </w:tabs>
              <w:spacing w:before="100" w:beforeAutospacing="1" w:after="100" w:afterAutospacing="1"/>
              <w:ind w:left="664" w:hanging="664"/>
              <w:jc w:val="both"/>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4</w:t>
            </w:r>
            <w:r>
              <w:rPr>
                <w:rFonts w:ascii="Times New Roman" w:hAnsi="Times New Roman"/>
                <w:color w:val="000000"/>
              </w:rPr>
              <w:t>.</w:t>
            </w:r>
            <w:r w:rsidRPr="00452C1A">
              <w:rPr>
                <w:rFonts w:ascii="Times New Roman" w:hAnsi="Times New Roman"/>
                <w:color w:val="000000"/>
              </w:rPr>
              <w:t>1</w:t>
            </w:r>
            <w:r>
              <w:rPr>
                <w:rFonts w:ascii="Times New Roman" w:hAnsi="Times New Roman"/>
                <w:color w:val="000000"/>
              </w:rPr>
              <w:t xml:space="preserve"> </w:t>
            </w:r>
            <w:r>
              <w:tab/>
            </w:r>
            <w:r>
              <w:rPr>
                <w:rFonts w:ascii="Times New Roman" w:hAnsi="Times New Roman"/>
                <w:color w:val="000000"/>
              </w:rPr>
              <w:t>Possibilité que l’action produise un impact tangible sur les groupes cibles</w:t>
            </w:r>
          </w:p>
        </w:tc>
        <w:tc>
          <w:tcPr>
            <w:tcW w:w="664" w:type="pct"/>
          </w:tcPr>
          <w:p w14:paraId="04FA8D92" w14:textId="77777777" w:rsidR="00832F98" w:rsidRPr="005107DF" w:rsidRDefault="00832F98" w:rsidP="001A78F7">
            <w:pPr>
              <w:spacing w:before="100" w:beforeAutospacing="1" w:after="100" w:afterAutospacing="1"/>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2F5A9A55" w14:textId="77777777" w:rsidTr="0013042C">
        <w:tc>
          <w:tcPr>
            <w:tcW w:w="4336" w:type="pct"/>
          </w:tcPr>
          <w:p w14:paraId="2F182B83" w14:textId="77777777" w:rsidR="00832F98" w:rsidRPr="005107DF" w:rsidRDefault="00832F98" w:rsidP="005300AD">
            <w:pPr>
              <w:tabs>
                <w:tab w:val="left" w:pos="394"/>
                <w:tab w:val="left" w:pos="529"/>
              </w:tabs>
              <w:spacing w:before="100" w:beforeAutospacing="1" w:after="100" w:afterAutospacing="1"/>
              <w:ind w:left="664" w:hanging="664"/>
              <w:jc w:val="both"/>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4</w:t>
            </w:r>
            <w:r>
              <w:rPr>
                <w:rFonts w:ascii="Times New Roman" w:hAnsi="Times New Roman"/>
                <w:color w:val="000000"/>
              </w:rPr>
              <w:t>.</w:t>
            </w:r>
            <w:r w:rsidRPr="00452C1A">
              <w:rPr>
                <w:rFonts w:ascii="Times New Roman" w:hAnsi="Times New Roman"/>
                <w:color w:val="000000"/>
              </w:rPr>
              <w:t>2</w:t>
            </w:r>
            <w:r>
              <w:rPr>
                <w:rFonts w:ascii="Times New Roman" w:hAnsi="Times New Roman"/>
                <w:color w:val="000000"/>
              </w:rPr>
              <w:t xml:space="preserve"> </w:t>
            </w:r>
            <w:r>
              <w:tab/>
            </w:r>
            <w:r>
              <w:rPr>
                <w:rFonts w:ascii="Times New Roman" w:hAnsi="Times New Roman"/>
                <w:color w:val="000000"/>
              </w:rPr>
              <w:t>Possibilité que la proposition produise des effets multiplicateurs (notamment, perspectives de reproduction et d’extension des résultats de l’action, et diffusion d’informations)</w:t>
            </w:r>
          </w:p>
        </w:tc>
        <w:tc>
          <w:tcPr>
            <w:tcW w:w="664" w:type="pct"/>
          </w:tcPr>
          <w:p w14:paraId="4D4A1D80" w14:textId="77777777" w:rsidR="00832F98" w:rsidRPr="005107DF" w:rsidRDefault="00832F98" w:rsidP="001A78F7">
            <w:pPr>
              <w:spacing w:before="100" w:beforeAutospacing="1" w:after="100" w:afterAutospacing="1"/>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6EF8A2A1" w14:textId="77777777" w:rsidTr="0013042C">
        <w:trPr>
          <w:trHeight w:val="1093"/>
        </w:trPr>
        <w:tc>
          <w:tcPr>
            <w:tcW w:w="4336" w:type="pct"/>
          </w:tcPr>
          <w:p w14:paraId="41DF78C2" w14:textId="77777777" w:rsidR="00832F98" w:rsidRPr="005107DF" w:rsidRDefault="00832F98" w:rsidP="005300AD">
            <w:pPr>
              <w:tabs>
                <w:tab w:val="left" w:pos="394"/>
                <w:tab w:val="left" w:pos="529"/>
              </w:tabs>
              <w:spacing w:before="100" w:beforeAutospacing="1" w:after="100" w:afterAutospacing="1"/>
              <w:ind w:left="664" w:hanging="664"/>
              <w:jc w:val="both"/>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4</w:t>
            </w:r>
            <w:r>
              <w:rPr>
                <w:rFonts w:ascii="Times New Roman" w:hAnsi="Times New Roman"/>
                <w:color w:val="000000"/>
              </w:rPr>
              <w:t>.</w:t>
            </w:r>
            <w:r w:rsidRPr="00452C1A">
              <w:rPr>
                <w:rFonts w:ascii="Times New Roman" w:hAnsi="Times New Roman"/>
                <w:color w:val="000000"/>
              </w:rPr>
              <w:t>3</w:t>
            </w:r>
            <w:r>
              <w:rPr>
                <w:rFonts w:ascii="Times New Roman" w:hAnsi="Times New Roman"/>
                <w:color w:val="000000"/>
              </w:rPr>
              <w:t xml:space="preserve"> </w:t>
            </w:r>
            <w:r>
              <w:tab/>
            </w:r>
            <w:r>
              <w:tab/>
            </w:r>
            <w:r>
              <w:rPr>
                <w:rFonts w:ascii="Times New Roman" w:hAnsi="Times New Roman"/>
                <w:color w:val="000000"/>
              </w:rPr>
              <w:t>Indications figurant dans la proposition au sujet de la durabilité de l’action (stratégies envisagées pour garantir la durabilité des résultats obligatoires/produits au sein de l’administration bénéficiaire – plan de durabilité, par exemple)</w:t>
            </w:r>
          </w:p>
        </w:tc>
        <w:tc>
          <w:tcPr>
            <w:tcW w:w="664" w:type="pct"/>
          </w:tcPr>
          <w:p w14:paraId="35288810" w14:textId="77777777" w:rsidR="00832F98" w:rsidRPr="005107DF" w:rsidRDefault="00832F98" w:rsidP="001A78F7">
            <w:pPr>
              <w:spacing w:before="100" w:beforeAutospacing="1" w:after="100" w:afterAutospacing="1"/>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69B1DC25" w14:textId="77777777" w:rsidTr="007338F0">
        <w:trPr>
          <w:trHeight w:val="1051"/>
        </w:trPr>
        <w:tc>
          <w:tcPr>
            <w:tcW w:w="5000" w:type="pct"/>
            <w:gridSpan w:val="2"/>
          </w:tcPr>
          <w:p w14:paraId="5383EC01" w14:textId="77777777" w:rsidR="00832F98" w:rsidRPr="005107DF" w:rsidRDefault="00832F98" w:rsidP="001A78F7">
            <w:pPr>
              <w:spacing w:before="100" w:beforeAutospacing="1" w:after="100" w:afterAutospacing="1" w:line="240" w:lineRule="auto"/>
              <w:rPr>
                <w:rFonts w:ascii="Times New Roman" w:eastAsia="Calibri" w:hAnsi="Times New Roman" w:cs="Times New Roman"/>
                <w:b/>
                <w:i/>
                <w:color w:val="000000"/>
                <w:u w:val="single"/>
              </w:rPr>
            </w:pPr>
            <w:r>
              <w:rPr>
                <w:rFonts w:ascii="Times New Roman" w:hAnsi="Times New Roman"/>
                <w:b/>
                <w:i/>
                <w:color w:val="000000"/>
                <w:u w:val="single"/>
              </w:rPr>
              <w:t>Commentaires:</w:t>
            </w:r>
          </w:p>
          <w:p w14:paraId="0701C366" w14:textId="77777777" w:rsidR="00832F98" w:rsidRPr="005107DF" w:rsidRDefault="00832F98" w:rsidP="007338F0">
            <w:pPr>
              <w:spacing w:before="120" w:after="120"/>
              <w:rPr>
                <w:rFonts w:ascii="Times New Roman" w:eastAsia="Calibri" w:hAnsi="Times New Roman" w:cs="Times New Roman"/>
                <w:color w:val="000000"/>
              </w:rPr>
            </w:pPr>
          </w:p>
        </w:tc>
      </w:tr>
    </w:tbl>
    <w:p w14:paraId="67576B34" w14:textId="77777777" w:rsidR="00832F98" w:rsidRPr="005107DF" w:rsidRDefault="00832F98" w:rsidP="001A78F7">
      <w:pPr>
        <w:rPr>
          <w:rFonts w:ascii="Times New Roman" w:eastAsia="Calibri" w:hAnsi="Times New Roman" w:cs="Times New Roman"/>
          <w:b/>
          <w:color w:val="000000"/>
          <w:sz w:val="16"/>
          <w:szCs w:val="16"/>
        </w:rPr>
      </w:pPr>
    </w:p>
    <w:p w14:paraId="1FB89C15" w14:textId="77777777" w:rsidR="00832F98" w:rsidRPr="005107DF" w:rsidRDefault="00832F98" w:rsidP="001A78F7">
      <w:pPr>
        <w:rPr>
          <w:rFonts w:ascii="Times New Roman" w:eastAsia="Calibri" w:hAnsi="Times New Roman" w:cs="Times New Roman"/>
          <w:b/>
          <w:color w:val="000000"/>
          <w:sz w:val="28"/>
          <w:szCs w:val="28"/>
          <w:u w:val="single"/>
        </w:rPr>
      </w:pPr>
      <w:r w:rsidRPr="00452C1A">
        <w:rPr>
          <w:rFonts w:ascii="Times New Roman" w:hAnsi="Times New Roman"/>
          <w:b/>
          <w:color w:val="000000"/>
          <w:sz w:val="28"/>
          <w:u w:val="single"/>
        </w:rPr>
        <w:t>3</w:t>
      </w:r>
      <w:r>
        <w:rPr>
          <w:rFonts w:ascii="Times New Roman" w:hAnsi="Times New Roman"/>
          <w:b/>
          <w:color w:val="000000"/>
          <w:sz w:val="28"/>
          <w:u w:val="single"/>
        </w:rPr>
        <w:t>. APPRÉCIATION GÉNÉRALE ET CONCLUSION à communiquer à tous ceux qui ont soumis une proposition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6"/>
        <w:gridCol w:w="1430"/>
      </w:tblGrid>
      <w:tr w:rsidR="00832F98" w:rsidRPr="005107DF" w14:paraId="22B4B827"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0848A494" w14:textId="77777777" w:rsidR="00832F98" w:rsidRPr="005107DF" w:rsidRDefault="00832F98" w:rsidP="007C2549">
            <w:pPr>
              <w:spacing w:after="120" w:line="240" w:lineRule="auto"/>
              <w:rPr>
                <w:rFonts w:ascii="Times New Roman" w:eastAsia="Calibri" w:hAnsi="Times New Roman" w:cs="Times New Roman"/>
                <w:b/>
                <w:sz w:val="28"/>
                <w:szCs w:val="28"/>
              </w:rPr>
            </w:pPr>
            <w:r w:rsidRPr="00452C1A">
              <w:rPr>
                <w:rFonts w:ascii="Times New Roman" w:hAnsi="Times New Roman"/>
                <w:b/>
                <w:sz w:val="28"/>
              </w:rPr>
              <w:t>1</w:t>
            </w:r>
            <w:r>
              <w:rPr>
                <w:rFonts w:ascii="Times New Roman" w:hAnsi="Times New Roman"/>
                <w:b/>
                <w:sz w:val="28"/>
              </w:rPr>
              <w:t>. Capacité opérationnelle</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65DE7829" w14:textId="77777777" w:rsidR="00832F98" w:rsidRPr="005107DF" w:rsidRDefault="00832F98" w:rsidP="00386DCE">
            <w:pPr>
              <w:spacing w:after="0" w:line="240" w:lineRule="auto"/>
              <w:jc w:val="center"/>
              <w:rPr>
                <w:rFonts w:ascii="Times New Roman" w:eastAsia="Calibri" w:hAnsi="Times New Roman" w:cs="Times New Roman"/>
                <w:b/>
                <w:sz w:val="28"/>
                <w:szCs w:val="28"/>
              </w:rPr>
            </w:pPr>
            <w:r>
              <w:rPr>
                <w:rFonts w:ascii="Times New Roman" w:hAnsi="Times New Roman"/>
                <w:b/>
                <w:sz w:val="28"/>
              </w:rPr>
              <w:t>/</w:t>
            </w:r>
            <w:r w:rsidRPr="00452C1A">
              <w:rPr>
                <w:rFonts w:ascii="Times New Roman" w:hAnsi="Times New Roman"/>
                <w:b/>
                <w:sz w:val="28"/>
              </w:rPr>
              <w:t>10</w:t>
            </w:r>
          </w:p>
        </w:tc>
      </w:tr>
      <w:tr w:rsidR="00832F98" w:rsidRPr="005107DF" w14:paraId="6F2E2152"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0A09824B" w14:textId="77777777" w:rsidR="00832F98" w:rsidRPr="005107DF" w:rsidRDefault="00832F98" w:rsidP="00561210">
            <w:pPr>
              <w:spacing w:after="120" w:line="240" w:lineRule="auto"/>
              <w:rPr>
                <w:rFonts w:ascii="Times New Roman" w:eastAsia="Calibri" w:hAnsi="Times New Roman" w:cs="Times New Roman"/>
                <w:b/>
                <w:sz w:val="28"/>
                <w:szCs w:val="28"/>
              </w:rPr>
            </w:pPr>
          </w:p>
          <w:p w14:paraId="29D82DB8" w14:textId="77777777" w:rsidR="00832F98" w:rsidRPr="005107DF" w:rsidRDefault="00832F98" w:rsidP="00561210">
            <w:pPr>
              <w:spacing w:after="120" w:line="240" w:lineRule="auto"/>
              <w:rPr>
                <w:rFonts w:ascii="Times New Roman" w:eastAsia="Calibri" w:hAnsi="Times New Roman" w:cs="Times New Roman"/>
                <w:b/>
                <w:sz w:val="28"/>
                <w:szCs w:val="28"/>
              </w:rPr>
            </w:pPr>
            <w:r w:rsidRPr="00452C1A">
              <w:rPr>
                <w:rFonts w:ascii="Times New Roman" w:hAnsi="Times New Roman"/>
                <w:b/>
                <w:sz w:val="28"/>
              </w:rPr>
              <w:t>2</w:t>
            </w:r>
            <w:r>
              <w:rPr>
                <w:rFonts w:ascii="Times New Roman" w:hAnsi="Times New Roman"/>
                <w:b/>
                <w:sz w:val="28"/>
              </w:rPr>
              <w:t>.</w:t>
            </w:r>
            <w:r w:rsidRPr="00452C1A">
              <w:rPr>
                <w:rFonts w:ascii="Times New Roman" w:hAnsi="Times New Roman"/>
                <w:b/>
                <w:sz w:val="28"/>
              </w:rPr>
              <w:t>1</w:t>
            </w:r>
            <w:r>
              <w:rPr>
                <w:rFonts w:ascii="Times New Roman" w:hAnsi="Times New Roman"/>
                <w:b/>
                <w:sz w:val="28"/>
              </w:rPr>
              <w:t xml:space="preserve">. Expertise technique </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655EC7B4" w14:textId="77777777" w:rsidR="00832F98" w:rsidRPr="005107DF" w:rsidRDefault="00832F98" w:rsidP="00386DCE">
            <w:pPr>
              <w:spacing w:after="0" w:line="240" w:lineRule="auto"/>
              <w:jc w:val="center"/>
              <w:rPr>
                <w:rFonts w:ascii="Times New Roman" w:eastAsia="Calibri" w:hAnsi="Times New Roman" w:cs="Times New Roman"/>
                <w:b/>
                <w:sz w:val="28"/>
                <w:szCs w:val="28"/>
              </w:rPr>
            </w:pPr>
          </w:p>
          <w:p w14:paraId="002038C2" w14:textId="77777777" w:rsidR="00832F98" w:rsidRPr="005107DF" w:rsidRDefault="00832F98" w:rsidP="00386DCE">
            <w:pPr>
              <w:spacing w:after="0" w:line="240" w:lineRule="auto"/>
              <w:jc w:val="center"/>
              <w:rPr>
                <w:rFonts w:ascii="Times New Roman" w:eastAsia="Calibri" w:hAnsi="Times New Roman" w:cs="Times New Roman"/>
                <w:b/>
                <w:sz w:val="28"/>
                <w:szCs w:val="28"/>
              </w:rPr>
            </w:pPr>
            <w:r>
              <w:rPr>
                <w:rFonts w:ascii="Times New Roman" w:hAnsi="Times New Roman"/>
                <w:b/>
                <w:sz w:val="28"/>
              </w:rPr>
              <w:t>/</w:t>
            </w:r>
            <w:r w:rsidRPr="00452C1A">
              <w:rPr>
                <w:rFonts w:ascii="Times New Roman" w:hAnsi="Times New Roman"/>
                <w:b/>
                <w:sz w:val="28"/>
              </w:rPr>
              <w:t>15</w:t>
            </w:r>
          </w:p>
        </w:tc>
      </w:tr>
      <w:tr w:rsidR="00832F98" w:rsidRPr="005107DF" w14:paraId="2F6719D2"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57C1457E" w14:textId="77777777" w:rsidR="00832F98" w:rsidRPr="005107DF" w:rsidRDefault="00832F98" w:rsidP="00561210">
            <w:pPr>
              <w:spacing w:after="120" w:line="240" w:lineRule="auto"/>
              <w:rPr>
                <w:rFonts w:ascii="Times New Roman" w:eastAsia="Calibri" w:hAnsi="Times New Roman" w:cs="Times New Roman"/>
                <w:b/>
                <w:sz w:val="28"/>
                <w:szCs w:val="28"/>
              </w:rPr>
            </w:pPr>
            <w:r>
              <w:rPr>
                <w:rFonts w:ascii="Times New Roman" w:hAnsi="Times New Roman"/>
                <w:b/>
                <w:sz w:val="28"/>
              </w:rPr>
              <w:t xml:space="preserve">          </w:t>
            </w:r>
          </w:p>
          <w:p w14:paraId="2C93E0FF" w14:textId="77777777" w:rsidR="00832F98" w:rsidRPr="005107DF" w:rsidRDefault="00832F98" w:rsidP="00561210">
            <w:pPr>
              <w:spacing w:after="120" w:line="240" w:lineRule="auto"/>
              <w:rPr>
                <w:rFonts w:ascii="Times New Roman" w:eastAsia="Calibri" w:hAnsi="Times New Roman" w:cs="Times New Roman"/>
                <w:b/>
                <w:sz w:val="28"/>
                <w:szCs w:val="28"/>
              </w:rPr>
            </w:pPr>
            <w:r w:rsidRPr="00452C1A">
              <w:rPr>
                <w:rFonts w:ascii="Times New Roman" w:hAnsi="Times New Roman"/>
                <w:b/>
                <w:sz w:val="28"/>
              </w:rPr>
              <w:t>2</w:t>
            </w:r>
            <w:r>
              <w:rPr>
                <w:rFonts w:ascii="Times New Roman" w:hAnsi="Times New Roman"/>
                <w:b/>
                <w:sz w:val="28"/>
              </w:rPr>
              <w:t>.</w:t>
            </w:r>
            <w:r w:rsidRPr="00452C1A">
              <w:rPr>
                <w:rFonts w:ascii="Times New Roman" w:hAnsi="Times New Roman"/>
                <w:b/>
                <w:sz w:val="28"/>
              </w:rPr>
              <w:t>2</w:t>
            </w:r>
            <w:r>
              <w:rPr>
                <w:rFonts w:ascii="Times New Roman" w:hAnsi="Times New Roman"/>
                <w:b/>
                <w:sz w:val="28"/>
              </w:rPr>
              <w:t>. Pertinence</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402B5188" w14:textId="77777777" w:rsidR="00832F98" w:rsidRPr="005107DF" w:rsidRDefault="00832F98" w:rsidP="00386DCE">
            <w:pPr>
              <w:spacing w:after="0" w:line="240" w:lineRule="auto"/>
              <w:jc w:val="center"/>
              <w:rPr>
                <w:rFonts w:ascii="Times New Roman" w:eastAsia="Calibri" w:hAnsi="Times New Roman" w:cs="Times New Roman"/>
                <w:b/>
                <w:sz w:val="28"/>
                <w:szCs w:val="28"/>
              </w:rPr>
            </w:pPr>
            <w:r>
              <w:rPr>
                <w:rFonts w:ascii="Times New Roman" w:hAnsi="Times New Roman"/>
                <w:b/>
                <w:sz w:val="28"/>
              </w:rPr>
              <w:t xml:space="preserve"> </w:t>
            </w:r>
          </w:p>
          <w:p w14:paraId="58E39F67" w14:textId="77777777" w:rsidR="00832F98" w:rsidRPr="005107DF" w:rsidRDefault="00832F98" w:rsidP="00386DCE">
            <w:pPr>
              <w:spacing w:after="0" w:line="240" w:lineRule="auto"/>
              <w:jc w:val="center"/>
              <w:rPr>
                <w:rFonts w:ascii="Times New Roman" w:eastAsia="Calibri" w:hAnsi="Times New Roman" w:cs="Times New Roman"/>
                <w:b/>
                <w:sz w:val="28"/>
                <w:szCs w:val="28"/>
              </w:rPr>
            </w:pPr>
            <w:r>
              <w:rPr>
                <w:rFonts w:ascii="Times New Roman" w:hAnsi="Times New Roman"/>
                <w:b/>
                <w:sz w:val="28"/>
              </w:rPr>
              <w:t>/</w:t>
            </w:r>
            <w:r w:rsidRPr="00452C1A">
              <w:rPr>
                <w:rFonts w:ascii="Times New Roman" w:hAnsi="Times New Roman"/>
                <w:b/>
                <w:sz w:val="28"/>
              </w:rPr>
              <w:t>20</w:t>
            </w:r>
          </w:p>
        </w:tc>
      </w:tr>
      <w:tr w:rsidR="00832F98" w:rsidRPr="005107DF" w14:paraId="33EC142C"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21565A3E" w14:textId="77777777" w:rsidR="00832F98" w:rsidRPr="005107DF" w:rsidRDefault="00832F98" w:rsidP="00561210">
            <w:pPr>
              <w:spacing w:after="120" w:line="240" w:lineRule="auto"/>
              <w:rPr>
                <w:rFonts w:ascii="Times New Roman" w:eastAsia="Calibri" w:hAnsi="Times New Roman" w:cs="Times New Roman"/>
                <w:b/>
                <w:sz w:val="28"/>
                <w:szCs w:val="28"/>
              </w:rPr>
            </w:pPr>
          </w:p>
          <w:p w14:paraId="08D0C4E8" w14:textId="77777777" w:rsidR="00832F98" w:rsidRPr="005107DF" w:rsidRDefault="00832F98" w:rsidP="00561210">
            <w:pPr>
              <w:spacing w:after="120" w:line="240" w:lineRule="auto"/>
              <w:rPr>
                <w:rFonts w:ascii="Times New Roman" w:eastAsia="Calibri" w:hAnsi="Times New Roman" w:cs="Times New Roman"/>
                <w:b/>
                <w:sz w:val="28"/>
                <w:szCs w:val="28"/>
              </w:rPr>
            </w:pPr>
            <w:r w:rsidRPr="00452C1A">
              <w:rPr>
                <w:rFonts w:ascii="Times New Roman" w:hAnsi="Times New Roman"/>
                <w:b/>
                <w:sz w:val="28"/>
              </w:rPr>
              <w:t>2</w:t>
            </w:r>
            <w:r>
              <w:rPr>
                <w:rFonts w:ascii="Times New Roman" w:hAnsi="Times New Roman"/>
                <w:b/>
                <w:sz w:val="28"/>
              </w:rPr>
              <w:t>.</w:t>
            </w:r>
            <w:r w:rsidRPr="00452C1A">
              <w:rPr>
                <w:rFonts w:ascii="Times New Roman" w:hAnsi="Times New Roman"/>
                <w:b/>
                <w:sz w:val="28"/>
              </w:rPr>
              <w:t>3</w:t>
            </w:r>
            <w:r>
              <w:rPr>
                <w:rFonts w:ascii="Times New Roman" w:hAnsi="Times New Roman"/>
                <w:b/>
                <w:sz w:val="28"/>
              </w:rPr>
              <w:t xml:space="preserve">. Méthodologie </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4C1EBD97" w14:textId="77777777" w:rsidR="00832F98" w:rsidRPr="005107DF" w:rsidRDefault="00832F98" w:rsidP="00386DCE">
            <w:pPr>
              <w:spacing w:after="0" w:line="240" w:lineRule="auto"/>
              <w:jc w:val="center"/>
              <w:rPr>
                <w:rFonts w:ascii="Times New Roman" w:eastAsia="Calibri" w:hAnsi="Times New Roman" w:cs="Times New Roman"/>
                <w:b/>
                <w:sz w:val="28"/>
                <w:szCs w:val="28"/>
              </w:rPr>
            </w:pPr>
          </w:p>
          <w:p w14:paraId="525C245E" w14:textId="77777777" w:rsidR="00832F98" w:rsidRPr="005107DF" w:rsidRDefault="00832F98" w:rsidP="00386DCE">
            <w:pPr>
              <w:spacing w:after="0" w:line="240" w:lineRule="auto"/>
              <w:jc w:val="center"/>
              <w:rPr>
                <w:rFonts w:ascii="Times New Roman" w:eastAsia="Calibri" w:hAnsi="Times New Roman" w:cs="Times New Roman"/>
                <w:b/>
                <w:sz w:val="28"/>
                <w:szCs w:val="28"/>
              </w:rPr>
            </w:pPr>
            <w:r>
              <w:rPr>
                <w:rFonts w:ascii="Times New Roman" w:hAnsi="Times New Roman"/>
                <w:b/>
                <w:sz w:val="28"/>
              </w:rPr>
              <w:t>/</w:t>
            </w:r>
            <w:r w:rsidRPr="00452C1A">
              <w:rPr>
                <w:rFonts w:ascii="Times New Roman" w:hAnsi="Times New Roman"/>
                <w:b/>
                <w:sz w:val="28"/>
              </w:rPr>
              <w:t>20</w:t>
            </w:r>
          </w:p>
        </w:tc>
      </w:tr>
      <w:tr w:rsidR="00832F98" w:rsidRPr="005107DF" w14:paraId="4E7A5E51"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02CEB6A7" w14:textId="77777777" w:rsidR="00832F98" w:rsidRPr="005107DF" w:rsidRDefault="00832F98" w:rsidP="00561210">
            <w:pPr>
              <w:spacing w:after="120" w:line="240" w:lineRule="auto"/>
              <w:rPr>
                <w:rFonts w:ascii="Times New Roman" w:eastAsia="Calibri" w:hAnsi="Times New Roman" w:cs="Times New Roman"/>
                <w:b/>
                <w:sz w:val="28"/>
                <w:szCs w:val="28"/>
              </w:rPr>
            </w:pPr>
            <w:r>
              <w:rPr>
                <w:rFonts w:ascii="Times New Roman" w:hAnsi="Times New Roman"/>
                <w:b/>
                <w:sz w:val="28"/>
              </w:rPr>
              <w:t xml:space="preserve">                   </w:t>
            </w:r>
          </w:p>
          <w:p w14:paraId="4F41CFE7" w14:textId="77777777" w:rsidR="00832F98" w:rsidRPr="005107DF" w:rsidRDefault="00832F98" w:rsidP="00561210">
            <w:pPr>
              <w:spacing w:after="120" w:line="240" w:lineRule="auto"/>
              <w:rPr>
                <w:rFonts w:ascii="Times New Roman" w:eastAsia="Calibri" w:hAnsi="Times New Roman" w:cs="Times New Roman"/>
                <w:b/>
                <w:sz w:val="28"/>
                <w:szCs w:val="28"/>
              </w:rPr>
            </w:pPr>
            <w:r w:rsidRPr="00452C1A">
              <w:rPr>
                <w:rFonts w:ascii="Times New Roman" w:hAnsi="Times New Roman"/>
                <w:b/>
                <w:sz w:val="28"/>
              </w:rPr>
              <w:t>2</w:t>
            </w:r>
            <w:r>
              <w:rPr>
                <w:rFonts w:ascii="Times New Roman" w:hAnsi="Times New Roman"/>
                <w:b/>
                <w:sz w:val="28"/>
              </w:rPr>
              <w:t>.</w:t>
            </w:r>
            <w:r w:rsidRPr="00452C1A">
              <w:rPr>
                <w:rFonts w:ascii="Times New Roman" w:hAnsi="Times New Roman"/>
                <w:b/>
                <w:sz w:val="28"/>
              </w:rPr>
              <w:t>4</w:t>
            </w:r>
            <w:r>
              <w:rPr>
                <w:rFonts w:ascii="Times New Roman" w:hAnsi="Times New Roman"/>
                <w:b/>
                <w:sz w:val="28"/>
              </w:rPr>
              <w:t>. Durabilité</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2AD1A358" w14:textId="77777777" w:rsidR="00832F98" w:rsidRPr="005107DF" w:rsidRDefault="00832F98" w:rsidP="00561210">
            <w:pPr>
              <w:spacing w:after="0" w:line="240" w:lineRule="auto"/>
              <w:jc w:val="center"/>
              <w:rPr>
                <w:rFonts w:ascii="Times New Roman" w:eastAsia="Calibri" w:hAnsi="Times New Roman" w:cs="Times New Roman"/>
                <w:b/>
                <w:sz w:val="28"/>
                <w:szCs w:val="28"/>
              </w:rPr>
            </w:pPr>
          </w:p>
          <w:p w14:paraId="477429F4" w14:textId="77777777" w:rsidR="00832F98" w:rsidRPr="005107DF" w:rsidRDefault="00832F98" w:rsidP="00386DCE">
            <w:pPr>
              <w:spacing w:after="0" w:line="240" w:lineRule="auto"/>
              <w:jc w:val="center"/>
              <w:rPr>
                <w:rFonts w:ascii="Times New Roman" w:eastAsia="Calibri" w:hAnsi="Times New Roman" w:cs="Times New Roman"/>
                <w:b/>
                <w:sz w:val="28"/>
                <w:szCs w:val="28"/>
              </w:rPr>
            </w:pPr>
            <w:r>
              <w:rPr>
                <w:rFonts w:ascii="Times New Roman" w:hAnsi="Times New Roman"/>
                <w:b/>
                <w:sz w:val="28"/>
              </w:rPr>
              <w:t>/</w:t>
            </w:r>
            <w:r w:rsidRPr="00452C1A">
              <w:rPr>
                <w:rFonts w:ascii="Times New Roman" w:hAnsi="Times New Roman"/>
                <w:b/>
                <w:sz w:val="28"/>
              </w:rPr>
              <w:t>15</w:t>
            </w:r>
          </w:p>
        </w:tc>
      </w:tr>
      <w:tr w:rsidR="00832F98" w:rsidRPr="005107DF" w14:paraId="400FE927" w14:textId="77777777" w:rsidTr="0013042C">
        <w:tc>
          <w:tcPr>
            <w:tcW w:w="4225" w:type="pct"/>
            <w:tcBorders>
              <w:bottom w:val="single" w:sz="4" w:space="0" w:color="auto"/>
            </w:tcBorders>
            <w:shd w:val="pct10" w:color="auto" w:fill="FFFFFF"/>
          </w:tcPr>
          <w:p w14:paraId="478119C0" w14:textId="77777777" w:rsidR="00832F98" w:rsidRPr="005107DF" w:rsidRDefault="00832F98" w:rsidP="001A78F7">
            <w:pPr>
              <w:spacing w:after="120" w:line="240" w:lineRule="auto"/>
              <w:rPr>
                <w:rFonts w:ascii="Times New Roman" w:eastAsia="Calibri" w:hAnsi="Times New Roman" w:cs="Times New Roman"/>
                <w:b/>
                <w:color w:val="000000"/>
                <w:sz w:val="28"/>
                <w:szCs w:val="28"/>
              </w:rPr>
            </w:pPr>
            <w:r>
              <w:rPr>
                <w:rFonts w:ascii="Times New Roman" w:hAnsi="Times New Roman"/>
                <w:b/>
                <w:sz w:val="28"/>
              </w:rPr>
              <w:t>NOTE TOTALE</w:t>
            </w:r>
          </w:p>
        </w:tc>
        <w:tc>
          <w:tcPr>
            <w:tcW w:w="775" w:type="pct"/>
            <w:tcBorders>
              <w:bottom w:val="single" w:sz="4" w:space="0" w:color="auto"/>
            </w:tcBorders>
            <w:shd w:val="pct10" w:color="auto" w:fill="FFFFFF"/>
          </w:tcPr>
          <w:p w14:paraId="3EC5A9CD" w14:textId="77777777" w:rsidR="00832F98" w:rsidRPr="005107DF" w:rsidRDefault="00832F98" w:rsidP="007C2549">
            <w:pPr>
              <w:spacing w:after="0" w:line="240" w:lineRule="auto"/>
              <w:jc w:val="center"/>
              <w:rPr>
                <w:rFonts w:ascii="Times New Roman" w:eastAsia="Calibri" w:hAnsi="Times New Roman" w:cs="Times New Roman"/>
                <w:b/>
                <w:color w:val="000000"/>
                <w:sz w:val="28"/>
                <w:szCs w:val="28"/>
              </w:rPr>
            </w:pPr>
            <w:r>
              <w:rPr>
                <w:rFonts w:ascii="Times New Roman" w:hAnsi="Times New Roman"/>
                <w:b/>
                <w:sz w:val="28"/>
              </w:rPr>
              <w:t>/</w:t>
            </w:r>
            <w:r w:rsidRPr="00452C1A">
              <w:rPr>
                <w:rFonts w:ascii="Times New Roman" w:hAnsi="Times New Roman"/>
                <w:b/>
                <w:sz w:val="28"/>
              </w:rPr>
              <w:t>80</w:t>
            </w:r>
          </w:p>
        </w:tc>
      </w:tr>
    </w:tbl>
    <w:p w14:paraId="3D70422D" w14:textId="77777777" w:rsidR="00832F98" w:rsidRPr="005107DF" w:rsidRDefault="00832F98" w:rsidP="001A78F7">
      <w:pPr>
        <w:jc w:val="both"/>
        <w:rPr>
          <w:rFonts w:ascii="Times New Roman" w:eastAsia="Calibri" w:hAnsi="Times New Roman" w:cs="Times New Roman"/>
          <w:color w:val="000000"/>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832F98" w:rsidRPr="005107DF" w14:paraId="374C59D7" w14:textId="77777777" w:rsidTr="0013042C">
        <w:tc>
          <w:tcPr>
            <w:tcW w:w="5000" w:type="pct"/>
            <w:shd w:val="pct10" w:color="auto" w:fill="FFFFFF"/>
          </w:tcPr>
          <w:p w14:paraId="16A79D5B" w14:textId="77777777" w:rsidR="00832F98" w:rsidRPr="005107DF" w:rsidRDefault="00832F98" w:rsidP="001A78F7">
            <w:pPr>
              <w:rPr>
                <w:rFonts w:ascii="Times New Roman" w:eastAsia="Calibri" w:hAnsi="Times New Roman" w:cs="Times New Roman"/>
                <w:color w:val="000000"/>
              </w:rPr>
            </w:pPr>
            <w:r>
              <w:br w:type="page"/>
            </w:r>
            <w:r>
              <w:rPr>
                <w:rFonts w:ascii="Times New Roman" w:hAnsi="Times New Roman"/>
                <w:b/>
                <w:color w:val="000000"/>
                <w:sz w:val="28"/>
              </w:rPr>
              <w:t>RECOMMANDATIONS</w:t>
            </w:r>
          </w:p>
        </w:tc>
      </w:tr>
      <w:tr w:rsidR="00832F98" w:rsidRPr="005107DF" w14:paraId="0EBF1891" w14:textId="77777777" w:rsidTr="0013042C">
        <w:tc>
          <w:tcPr>
            <w:tcW w:w="5000" w:type="pct"/>
          </w:tcPr>
          <w:p w14:paraId="071F6646" w14:textId="77777777" w:rsidR="00832F98" w:rsidRPr="005107DF" w:rsidRDefault="00832F98" w:rsidP="001A78F7">
            <w:pPr>
              <w:spacing w:after="0" w:line="240" w:lineRule="auto"/>
              <w:rPr>
                <w:rFonts w:ascii="Times New Roman" w:eastAsia="Calibri" w:hAnsi="Times New Roman" w:cs="Times New Roman"/>
                <w:b/>
                <w:color w:val="000000"/>
                <w:sz w:val="24"/>
                <w:szCs w:val="24"/>
              </w:rPr>
            </w:pPr>
            <w:r>
              <w:rPr>
                <w:rFonts w:ascii="Times New Roman" w:hAnsi="Times New Roman"/>
                <w:b/>
                <w:color w:val="000000"/>
                <w:sz w:val="24"/>
              </w:rPr>
              <w:t>POINTS FORTS:</w:t>
            </w:r>
          </w:p>
          <w:p w14:paraId="5AA344C0" w14:textId="77777777" w:rsidR="00832F98" w:rsidRPr="005107DF" w:rsidRDefault="00832F98" w:rsidP="001A78F7">
            <w:pPr>
              <w:spacing w:after="0" w:line="240" w:lineRule="auto"/>
              <w:rPr>
                <w:rFonts w:ascii="Times New Roman" w:eastAsia="Calibri" w:hAnsi="Times New Roman" w:cs="Times New Roman"/>
              </w:rPr>
            </w:pPr>
          </w:p>
          <w:p w14:paraId="449151DE" w14:textId="77777777" w:rsidR="00832F98" w:rsidRPr="005107DF" w:rsidRDefault="00832F98" w:rsidP="001A78F7">
            <w:pPr>
              <w:spacing w:after="0" w:line="240" w:lineRule="auto"/>
              <w:rPr>
                <w:rFonts w:ascii="Times New Roman" w:eastAsia="Calibri" w:hAnsi="Times New Roman" w:cs="Times New Roman"/>
              </w:rPr>
            </w:pPr>
          </w:p>
          <w:p w14:paraId="15FE7C81" w14:textId="77777777" w:rsidR="00832F98" w:rsidRPr="005107DF" w:rsidRDefault="00832F98" w:rsidP="001A78F7">
            <w:pPr>
              <w:spacing w:after="0" w:line="240" w:lineRule="auto"/>
              <w:rPr>
                <w:rFonts w:ascii="Times New Roman" w:eastAsia="Calibri" w:hAnsi="Times New Roman" w:cs="Times New Roman"/>
                <w:b/>
                <w:color w:val="000000"/>
                <w:sz w:val="24"/>
                <w:szCs w:val="24"/>
              </w:rPr>
            </w:pPr>
            <w:r>
              <w:rPr>
                <w:rFonts w:ascii="Times New Roman" w:hAnsi="Times New Roman"/>
                <w:b/>
                <w:color w:val="000000"/>
                <w:sz w:val="24"/>
              </w:rPr>
              <w:t>POINTS FAIBLES:</w:t>
            </w:r>
          </w:p>
          <w:p w14:paraId="5EFB25F2" w14:textId="77777777" w:rsidR="00832F98" w:rsidRPr="005107DF" w:rsidRDefault="00832F98" w:rsidP="001A78F7">
            <w:pPr>
              <w:spacing w:after="0" w:line="240" w:lineRule="auto"/>
              <w:rPr>
                <w:rFonts w:ascii="Times New Roman" w:eastAsia="Calibri" w:hAnsi="Times New Roman" w:cs="Times New Roman"/>
              </w:rPr>
            </w:pPr>
          </w:p>
          <w:p w14:paraId="63EBA0E2" w14:textId="77777777" w:rsidR="00832F98" w:rsidRPr="005107DF" w:rsidRDefault="00832F98" w:rsidP="001A78F7">
            <w:pPr>
              <w:spacing w:after="0" w:line="240" w:lineRule="auto"/>
              <w:rPr>
                <w:rFonts w:ascii="Times New Roman" w:eastAsia="Calibri" w:hAnsi="Times New Roman" w:cs="Times New Roman"/>
              </w:rPr>
            </w:pPr>
          </w:p>
          <w:p w14:paraId="6187F47D" w14:textId="77777777" w:rsidR="00832F98" w:rsidRPr="005107DF" w:rsidRDefault="00832F98" w:rsidP="001A78F7">
            <w:pPr>
              <w:spacing w:after="0" w:line="240" w:lineRule="auto"/>
              <w:rPr>
                <w:rFonts w:ascii="Times New Roman" w:eastAsia="Calibri" w:hAnsi="Times New Roman" w:cs="Times New Roman"/>
              </w:rPr>
            </w:pPr>
            <w:r>
              <w:rPr>
                <w:rFonts w:ascii="Times New Roman" w:hAnsi="Times New Roman"/>
                <w:b/>
                <w:color w:val="000000"/>
                <w:sz w:val="24"/>
              </w:rPr>
              <w:t xml:space="preserve">Commentaires particuliers: </w:t>
            </w:r>
          </w:p>
          <w:p w14:paraId="37BB38F3" w14:textId="77777777" w:rsidR="00832F98" w:rsidRPr="005107DF" w:rsidRDefault="00832F98" w:rsidP="001A78F7">
            <w:pPr>
              <w:spacing w:after="0" w:line="240" w:lineRule="auto"/>
              <w:rPr>
                <w:rFonts w:ascii="Times New Roman" w:eastAsia="Calibri" w:hAnsi="Times New Roman" w:cs="Times New Roman"/>
              </w:rPr>
            </w:pPr>
          </w:p>
          <w:p w14:paraId="24849E71" w14:textId="77777777" w:rsidR="00832F98" w:rsidRPr="005107DF" w:rsidRDefault="00832F98" w:rsidP="001A78F7">
            <w:pPr>
              <w:spacing w:after="0" w:line="240" w:lineRule="auto"/>
              <w:rPr>
                <w:rFonts w:ascii="Times New Roman" w:eastAsia="Calibri" w:hAnsi="Times New Roman" w:cs="Times New Roman"/>
                <w:b/>
                <w:color w:val="000000"/>
                <w:sz w:val="24"/>
                <w:szCs w:val="24"/>
              </w:rPr>
            </w:pPr>
          </w:p>
        </w:tc>
      </w:tr>
    </w:tbl>
    <w:p w14:paraId="541E190A" w14:textId="77777777" w:rsidR="00832F98" w:rsidRDefault="00832F98" w:rsidP="001A78F7">
      <w:pPr>
        <w:rPr>
          <w:rFonts w:ascii="Times New Roman" w:eastAsia="Calibri" w:hAnsi="Times New Roman" w:cs="Times New Roman"/>
          <w:b/>
          <w:color w:val="000000"/>
          <w:u w:val="single"/>
        </w:rPr>
      </w:pPr>
    </w:p>
    <w:p w14:paraId="21B36E79" w14:textId="77777777" w:rsidR="00832F98" w:rsidRPr="005107DF" w:rsidRDefault="00832F98" w:rsidP="001A78F7">
      <w:pPr>
        <w:rPr>
          <w:rFonts w:ascii="Times New Roman" w:eastAsia="Calibri" w:hAnsi="Times New Roman" w:cs="Times New Roman"/>
          <w:b/>
          <w:color w:val="000000"/>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832F98" w:rsidRPr="005107DF" w14:paraId="0D8C9EE2" w14:textId="77777777" w:rsidTr="0013042C">
        <w:tc>
          <w:tcPr>
            <w:tcW w:w="5000" w:type="pct"/>
            <w:shd w:val="pct10" w:color="auto" w:fill="FFFFFF"/>
          </w:tcPr>
          <w:p w14:paraId="7BA1E9A0" w14:textId="77777777" w:rsidR="00832F98" w:rsidRPr="005107DF" w:rsidRDefault="00832F98" w:rsidP="001A78F7">
            <w:pPr>
              <w:spacing w:after="0" w:line="240" w:lineRule="auto"/>
              <w:ind w:right="-1050"/>
              <w:rPr>
                <w:rFonts w:ascii="Times New Roman" w:eastAsia="Times New Roman" w:hAnsi="Times New Roman" w:cs="Times New Roman"/>
                <w:b/>
                <w:color w:val="000000"/>
              </w:rPr>
            </w:pPr>
            <w:r>
              <w:lastRenderedPageBreak/>
              <w:br w:type="page"/>
            </w:r>
            <w:r>
              <w:rPr>
                <w:rFonts w:ascii="Times New Roman" w:hAnsi="Times New Roman"/>
                <w:b/>
                <w:sz w:val="28"/>
              </w:rPr>
              <w:t>CONCLUSION</w:t>
            </w:r>
            <w:r>
              <w:rPr>
                <w:rFonts w:ascii="Times New Roman" w:eastAsia="Times New Roman" w:hAnsi="Times New Roman" w:cs="Times New Roman"/>
                <w:b/>
                <w:sz w:val="20"/>
                <w:szCs w:val="20"/>
              </w:rPr>
              <w:br/>
            </w:r>
            <w:r>
              <w:rPr>
                <w:rFonts w:ascii="Times New Roman" w:hAnsi="Times New Roman"/>
                <w:b/>
                <w:i/>
                <w:sz w:val="20"/>
              </w:rPr>
              <w:t>Veuillez indiquer votre conclusion en utilisant l’une des options suivantes: proposition retenue/proposition non retenue</w:t>
            </w:r>
          </w:p>
        </w:tc>
      </w:tr>
    </w:tbl>
    <w:p w14:paraId="66B7EC09"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i/>
          <w:color w:val="000000"/>
        </w:rPr>
      </w:pPr>
    </w:p>
    <w:p w14:paraId="38E70E5B"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r>
        <w:rPr>
          <w:rFonts w:ascii="Times New Roman" w:hAnsi="Times New Roman"/>
          <w:i/>
          <w:color w:val="000000"/>
        </w:rPr>
        <w:t>CONCLUSION</w:t>
      </w:r>
      <w:r>
        <w:rPr>
          <w:rFonts w:ascii="Times New Roman" w:hAnsi="Times New Roman"/>
          <w:b/>
          <w:i/>
          <w:color w:val="000000"/>
        </w:rPr>
        <w:t>: </w:t>
      </w:r>
      <w:r>
        <w:tab/>
      </w:r>
    </w:p>
    <w:p w14:paraId="131E80EB"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832F98" w:rsidRPr="005107DF" w14:paraId="325ADDEA" w14:textId="77777777" w:rsidTr="0013042C">
        <w:tc>
          <w:tcPr>
            <w:tcW w:w="3096" w:type="dxa"/>
            <w:shd w:val="clear" w:color="auto" w:fill="auto"/>
          </w:tcPr>
          <w:p w14:paraId="14447245"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r>
              <w:rPr>
                <w:rFonts w:ascii="Times New Roman" w:hAnsi="Times New Roman"/>
                <w:b/>
                <w:i/>
                <w:color w:val="000000"/>
              </w:rPr>
              <w:t xml:space="preserve">Nom </w:t>
            </w:r>
          </w:p>
        </w:tc>
        <w:tc>
          <w:tcPr>
            <w:tcW w:w="3096" w:type="dxa"/>
            <w:shd w:val="clear" w:color="auto" w:fill="auto"/>
          </w:tcPr>
          <w:p w14:paraId="20E06BB4"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r>
              <w:rPr>
                <w:rFonts w:ascii="Times New Roman" w:hAnsi="Times New Roman"/>
                <w:b/>
                <w:i/>
                <w:color w:val="000000"/>
              </w:rPr>
              <w:t xml:space="preserve">Nom </w:t>
            </w:r>
          </w:p>
        </w:tc>
        <w:tc>
          <w:tcPr>
            <w:tcW w:w="3096" w:type="dxa"/>
            <w:shd w:val="clear" w:color="auto" w:fill="auto"/>
          </w:tcPr>
          <w:p w14:paraId="5C90996D"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r>
              <w:rPr>
                <w:rFonts w:ascii="Times New Roman" w:hAnsi="Times New Roman"/>
                <w:b/>
                <w:i/>
                <w:color w:val="000000"/>
              </w:rPr>
              <w:t xml:space="preserve">Nom </w:t>
            </w:r>
          </w:p>
        </w:tc>
      </w:tr>
      <w:tr w:rsidR="00832F98" w:rsidRPr="005107DF" w14:paraId="56D28473" w14:textId="77777777" w:rsidTr="0013042C">
        <w:trPr>
          <w:trHeight w:val="1178"/>
        </w:trPr>
        <w:tc>
          <w:tcPr>
            <w:tcW w:w="3096" w:type="dxa"/>
            <w:shd w:val="clear" w:color="auto" w:fill="auto"/>
          </w:tcPr>
          <w:p w14:paraId="63002263"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r>
              <w:rPr>
                <w:rFonts w:ascii="Times New Roman" w:hAnsi="Times New Roman"/>
                <w:b/>
                <w:i/>
                <w:color w:val="000000"/>
              </w:rPr>
              <w:t xml:space="preserve">Signature: </w:t>
            </w:r>
          </w:p>
          <w:p w14:paraId="17341BA4"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p>
        </w:tc>
        <w:tc>
          <w:tcPr>
            <w:tcW w:w="3096" w:type="dxa"/>
            <w:shd w:val="clear" w:color="auto" w:fill="auto"/>
          </w:tcPr>
          <w:p w14:paraId="451516BA"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r>
              <w:rPr>
                <w:rFonts w:ascii="Times New Roman" w:hAnsi="Times New Roman"/>
                <w:b/>
                <w:i/>
                <w:color w:val="000000"/>
              </w:rPr>
              <w:t xml:space="preserve">Signature: </w:t>
            </w:r>
          </w:p>
          <w:p w14:paraId="5515C798"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p>
        </w:tc>
        <w:tc>
          <w:tcPr>
            <w:tcW w:w="3096" w:type="dxa"/>
            <w:shd w:val="clear" w:color="auto" w:fill="auto"/>
          </w:tcPr>
          <w:p w14:paraId="3F96ECE2"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r>
              <w:rPr>
                <w:rFonts w:ascii="Times New Roman" w:hAnsi="Times New Roman"/>
                <w:b/>
                <w:i/>
                <w:color w:val="000000"/>
              </w:rPr>
              <w:t xml:space="preserve">Signature: </w:t>
            </w:r>
          </w:p>
          <w:p w14:paraId="1C0A6BB3"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p>
        </w:tc>
      </w:tr>
    </w:tbl>
    <w:p w14:paraId="6530021F"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p>
    <w:p w14:paraId="7DCE5100" w14:textId="77777777" w:rsidR="00832F98" w:rsidRPr="005107DF" w:rsidRDefault="00832F98" w:rsidP="007338F0">
      <w:pPr>
        <w:tabs>
          <w:tab w:val="right" w:leader="dot" w:pos="8789"/>
        </w:tabs>
        <w:spacing w:after="0" w:line="240" w:lineRule="auto"/>
        <w:rPr>
          <w:rFonts w:ascii="Times New Roman" w:eastAsia="Times New Roman" w:hAnsi="Times New Roman" w:cs="Times New Roman"/>
          <w:color w:val="000000"/>
          <w:sz w:val="24"/>
          <w:szCs w:val="24"/>
        </w:rPr>
      </w:pPr>
      <w:r>
        <w:rPr>
          <w:rFonts w:ascii="Times New Roman" w:hAnsi="Times New Roman"/>
          <w:b/>
          <w:i/>
          <w:color w:val="000000"/>
        </w:rPr>
        <w:t>Date:</w:t>
      </w:r>
      <w:r>
        <w:tab/>
      </w:r>
      <w:r>
        <w:rPr>
          <w:rFonts w:ascii="Times New Roman" w:hAnsi="Times New Roman"/>
          <w:b/>
          <w:i/>
          <w:color w:val="000000"/>
        </w:rPr>
        <w:t>…</w:t>
      </w:r>
    </w:p>
    <w:p w14:paraId="6F0662DC" w14:textId="77777777" w:rsidR="00832F98" w:rsidRPr="005107DF" w:rsidRDefault="00832F98">
      <w:pPr>
        <w:rPr>
          <w:rFonts w:ascii="Times New Roman" w:eastAsia="Times New Roman" w:hAnsi="Times New Roman" w:cs="Times New Roman"/>
          <w:color w:val="000000"/>
          <w:sz w:val="24"/>
          <w:szCs w:val="24"/>
        </w:rPr>
      </w:pPr>
      <w:r>
        <w:br w:type="page"/>
      </w:r>
    </w:p>
    <w:p w14:paraId="630B877C"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513" w:name="_Toc517434486"/>
      <w:bookmarkStart w:id="1514" w:name="_Toc2861053"/>
      <w:r>
        <w:rPr>
          <w:sz w:val="32"/>
        </w:rPr>
        <w:lastRenderedPageBreak/>
        <w:t>ANNEXE C</w:t>
      </w:r>
      <w:r w:rsidRPr="00452C1A">
        <w:rPr>
          <w:sz w:val="32"/>
        </w:rPr>
        <w:t>9</w:t>
      </w:r>
      <w:r>
        <w:rPr>
          <w:sz w:val="32"/>
        </w:rPr>
        <w:t>: Jumelage standard - Publication sur l’internet de l’appel à propositions</w:t>
      </w:r>
      <w:bookmarkEnd w:id="1513"/>
      <w:bookmarkEnd w:id="1514"/>
    </w:p>
    <w:p w14:paraId="4C5979BC" w14:textId="77777777" w:rsidR="00832F98" w:rsidRPr="005107DF" w:rsidRDefault="00832F98" w:rsidP="00BE376C">
      <w:pPr>
        <w:spacing w:after="0" w:line="240" w:lineRule="auto"/>
        <w:rPr>
          <w:rFonts w:ascii="Times New Roman" w:eastAsia="Times New Roman" w:hAnsi="Times New Roman" w:cs="Times New Roman"/>
          <w:color w:val="000000"/>
          <w:sz w:val="24"/>
          <w:szCs w:val="24"/>
        </w:rPr>
      </w:pPr>
    </w:p>
    <w:p w14:paraId="1FA00B66"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APPEL À PROPOSITIONS DE JUMELAGE</w:t>
      </w:r>
    </w:p>
    <w:p w14:paraId="59E20352"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lancé par la Commission européenne</w:t>
      </w:r>
    </w:p>
    <w:p w14:paraId="4EA654A1"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p>
    <w:p w14:paraId="5E097748"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val="en-GB" w:eastAsia="en-GB" w:bidi="ar-SA"/>
        </w:rPr>
        <mc:AlternateContent>
          <mc:Choice Requires="wps">
            <w:drawing>
              <wp:anchor distT="0" distB="0" distL="114300" distR="114300" simplePos="0" relativeHeight="251663360" behindDoc="0" locked="0" layoutInCell="0" allowOverlap="1" wp14:anchorId="2F81142C" wp14:editId="05EF9B01">
                <wp:simplePos x="0" y="0"/>
                <wp:positionH relativeFrom="column">
                  <wp:posOffset>5080</wp:posOffset>
                </wp:positionH>
                <wp:positionV relativeFrom="paragraph">
                  <wp:posOffset>103505</wp:posOffset>
                </wp:positionV>
                <wp:extent cx="5838825" cy="0"/>
                <wp:effectExtent l="0" t="19050" r="952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825"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E28CD" id="Straight Connector 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8.15pt" to="460.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" o:allowincell="f" strokecolor="#d4d4d4" strokeweight="1.75pt">
                <v:shadow on="t" origin=".5,-.5" offset="0,-1pt"/>
              </v:line>
            </w:pict>
          </mc:Fallback>
        </mc:AlternateContent>
      </w:r>
    </w:p>
    <w:p w14:paraId="2C31FA58" w14:textId="77777777" w:rsidR="00832F98" w:rsidRPr="005107DF" w:rsidRDefault="00832F98"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rPr>
      </w:pPr>
    </w:p>
    <w:p w14:paraId="145DDF1C" w14:textId="77777777" w:rsidR="00832F98" w:rsidRPr="005107DF" w:rsidRDefault="00832F98" w:rsidP="007338F0">
      <w:pPr>
        <w:rPr>
          <w:rFonts w:ascii="Times New Roman" w:hAnsi="Times New Roman" w:cs="Times New Roman"/>
          <w:b/>
          <w:sz w:val="24"/>
          <w:szCs w:val="24"/>
        </w:rPr>
      </w:pPr>
      <w:bookmarkStart w:id="1515" w:name="_Toc442374580"/>
      <w:bookmarkStart w:id="1516" w:name="_Toc442375070"/>
      <w:bookmarkStart w:id="1517" w:name="_Toc443320392"/>
      <w:bookmarkStart w:id="1518" w:name="_Toc464460239"/>
      <w:bookmarkStart w:id="1519" w:name="_Toc476063586"/>
      <w:bookmarkStart w:id="1520" w:name="_Toc476068068"/>
      <w:r w:rsidRPr="00452C1A">
        <w:rPr>
          <w:rFonts w:ascii="Times New Roman" w:hAnsi="Times New Roman"/>
          <w:b/>
          <w:sz w:val="24"/>
        </w:rPr>
        <w:t>1</w:t>
      </w:r>
      <w:r>
        <w:rPr>
          <w:rFonts w:ascii="Times New Roman" w:hAnsi="Times New Roman"/>
          <w:b/>
          <w:sz w:val="24"/>
        </w:rPr>
        <w:t>.</w:t>
      </w:r>
      <w:r>
        <w:tab/>
      </w:r>
      <w:r>
        <w:rPr>
          <w:rFonts w:ascii="Times New Roman" w:hAnsi="Times New Roman"/>
          <w:b/>
          <w:sz w:val="24"/>
        </w:rPr>
        <w:t>Référence de publication</w:t>
      </w:r>
      <w:bookmarkEnd w:id="1515"/>
      <w:bookmarkEnd w:id="1516"/>
      <w:bookmarkEnd w:id="1517"/>
      <w:bookmarkEnd w:id="1518"/>
      <w:bookmarkEnd w:id="1519"/>
      <w:bookmarkEnd w:id="1520"/>
    </w:p>
    <w:p w14:paraId="7044E02E" w14:textId="77777777" w:rsidR="00832F98" w:rsidRPr="005107DF" w:rsidRDefault="00832F98" w:rsidP="007338F0">
      <w:pPr>
        <w:widowControl w:val="0"/>
        <w:tabs>
          <w:tab w:val="left" w:pos="360"/>
          <w:tab w:val="left" w:pos="720"/>
          <w:tab w:val="left" w:pos="900"/>
        </w:tabs>
        <w:spacing w:before="100" w:after="100" w:line="240" w:lineRule="auto"/>
        <w:ind w:right="360"/>
        <w:jc w:val="both"/>
        <w:rPr>
          <w:rFonts w:ascii="Times New Roman" w:eastAsia="Times New Roman" w:hAnsi="Times New Roman" w:cs="Times New Roman"/>
          <w:snapToGrid w:val="0"/>
          <w:color w:val="000000"/>
          <w:sz w:val="24"/>
          <w:szCs w:val="24"/>
        </w:rPr>
      </w:pPr>
      <w:r>
        <w:tab/>
      </w:r>
      <w:r>
        <w:rPr>
          <w:rFonts w:ascii="Times New Roman" w:hAnsi="Times New Roman"/>
          <w:snapToGrid w:val="0"/>
          <w:color w:val="000000"/>
          <w:sz w:val="24"/>
        </w:rPr>
        <w:t>Code CRIS/code de référence du projet (communiqué par les services de la Commission chargés de la publication)</w:t>
      </w:r>
    </w:p>
    <w:p w14:paraId="1D592898" w14:textId="77777777" w:rsidR="00832F98" w:rsidRPr="005107DF" w:rsidRDefault="00832F98" w:rsidP="007338F0">
      <w:pPr>
        <w:tabs>
          <w:tab w:val="left" w:pos="360"/>
          <w:tab w:val="left" w:pos="720"/>
          <w:tab w:val="left" w:pos="900"/>
        </w:tabs>
        <w:spacing w:after="0" w:line="240" w:lineRule="auto"/>
        <w:jc w:val="both"/>
        <w:outlineLvl w:val="0"/>
        <w:rPr>
          <w:rFonts w:ascii="Times New Roman" w:eastAsia="Times New Roman" w:hAnsi="Times New Roman" w:cs="Times New Roman"/>
          <w:b/>
          <w:color w:val="000000"/>
          <w:sz w:val="24"/>
          <w:szCs w:val="24"/>
        </w:rPr>
      </w:pPr>
    </w:p>
    <w:p w14:paraId="007707A5" w14:textId="77777777" w:rsidR="00832F98" w:rsidRPr="005107DF" w:rsidRDefault="00832F98" w:rsidP="007338F0">
      <w:pPr>
        <w:jc w:val="both"/>
        <w:rPr>
          <w:rFonts w:ascii="Times New Roman" w:hAnsi="Times New Roman" w:cs="Times New Roman"/>
          <w:b/>
          <w:sz w:val="24"/>
          <w:szCs w:val="24"/>
        </w:rPr>
      </w:pPr>
      <w:bookmarkStart w:id="1521" w:name="_Toc442374581"/>
      <w:bookmarkStart w:id="1522" w:name="_Toc442375071"/>
      <w:bookmarkStart w:id="1523" w:name="_Toc443320393"/>
      <w:bookmarkStart w:id="1524" w:name="_Toc464460240"/>
      <w:bookmarkStart w:id="1525" w:name="_Toc476063587"/>
      <w:bookmarkStart w:id="1526" w:name="_Toc476068069"/>
      <w:r w:rsidRPr="00452C1A">
        <w:rPr>
          <w:rFonts w:ascii="Times New Roman" w:hAnsi="Times New Roman"/>
          <w:b/>
          <w:sz w:val="24"/>
        </w:rPr>
        <w:t>2</w:t>
      </w:r>
      <w:r>
        <w:rPr>
          <w:rFonts w:ascii="Times New Roman" w:hAnsi="Times New Roman"/>
          <w:b/>
          <w:sz w:val="24"/>
        </w:rPr>
        <w:t>.</w:t>
      </w:r>
      <w:r>
        <w:tab/>
      </w:r>
      <w:r>
        <w:rPr>
          <w:rFonts w:ascii="Times New Roman" w:hAnsi="Times New Roman"/>
          <w:b/>
          <w:sz w:val="24"/>
        </w:rPr>
        <w:t>Programme et source de financement</w:t>
      </w:r>
      <w:bookmarkEnd w:id="1521"/>
      <w:bookmarkEnd w:id="1522"/>
      <w:bookmarkEnd w:id="1523"/>
      <w:bookmarkEnd w:id="1524"/>
      <w:bookmarkEnd w:id="1525"/>
      <w:bookmarkEnd w:id="1526"/>
    </w:p>
    <w:p w14:paraId="716CEFCC" w14:textId="77777777" w:rsidR="00832F98" w:rsidRPr="005107DF" w:rsidRDefault="00832F98" w:rsidP="007338F0">
      <w:pPr>
        <w:autoSpaceDE w:val="0"/>
        <w:autoSpaceDN w:val="0"/>
        <w:adjustRightInd w:val="0"/>
        <w:spacing w:before="120" w:after="0" w:line="240" w:lineRule="auto"/>
        <w:ind w:left="540" w:hanging="540"/>
        <w:jc w:val="both"/>
        <w:rPr>
          <w:rFonts w:ascii="Times New Roman" w:eastAsia="Times New Roman" w:hAnsi="Times New Roman" w:cs="Times New Roman"/>
          <w:bCs/>
          <w:sz w:val="24"/>
          <w:szCs w:val="24"/>
        </w:rPr>
      </w:pPr>
      <w:r>
        <w:rPr>
          <w:rFonts w:ascii="Times New Roman" w:hAnsi="Times New Roman"/>
          <w:b/>
          <w:sz w:val="24"/>
        </w:rPr>
        <w:t>Intitulé du projet:</w:t>
      </w:r>
      <w:r>
        <w:rPr>
          <w:rFonts w:ascii="Times New Roman" w:hAnsi="Times New Roman"/>
          <w:sz w:val="24"/>
        </w:rPr>
        <w:t xml:space="preserve"> &lt;Intitulé et numéro du projet de jumelage - référence du jumelage</w:t>
      </w:r>
      <w:r>
        <w:rPr>
          <w:rFonts w:ascii="Times New Roman" w:hAnsi="Times New Roman"/>
          <w:b/>
          <w:snapToGrid w:val="0"/>
          <w:color w:val="000000"/>
          <w:sz w:val="24"/>
        </w:rPr>
        <w:t xml:space="preserve"> &gt;</w:t>
      </w:r>
    </w:p>
    <w:p w14:paraId="7B38616A" w14:textId="77777777" w:rsidR="00832F98" w:rsidRPr="005107DF" w:rsidRDefault="00832F98" w:rsidP="007338F0">
      <w:pPr>
        <w:widowControl w:val="0"/>
        <w:tabs>
          <w:tab w:val="left" w:pos="360"/>
          <w:tab w:val="left" w:pos="720"/>
          <w:tab w:val="left" w:pos="900"/>
        </w:tabs>
        <w:spacing w:before="100" w:after="100" w:line="240" w:lineRule="auto"/>
        <w:ind w:right="360"/>
        <w:jc w:val="both"/>
        <w:rPr>
          <w:rFonts w:ascii="Times New Roman" w:eastAsia="Times New Roman" w:hAnsi="Times New Roman" w:cs="Times New Roman"/>
          <w:snapToGrid w:val="0"/>
          <w:color w:val="000000"/>
          <w:sz w:val="24"/>
          <w:szCs w:val="24"/>
        </w:rPr>
      </w:pPr>
      <w:r>
        <w:rPr>
          <w:rFonts w:ascii="Times New Roman" w:hAnsi="Times New Roman"/>
          <w:b/>
          <w:sz w:val="24"/>
        </w:rPr>
        <w:t>Nom du programme:</w:t>
      </w:r>
      <w:r>
        <w:rPr>
          <w:rFonts w:ascii="Times New Roman" w:hAnsi="Times New Roman"/>
          <w:sz w:val="24"/>
        </w:rPr>
        <w:t xml:space="preserve"> &lt;Intitulé de la décision de financement et numéro du système comptable de la Commission (CRIS, OPSYS ou système similaire)/en gestion directe ou indirecte, avec contrôle ex ante ou ex post, exercice budgétaire</w:t>
      </w:r>
      <w:r>
        <w:rPr>
          <w:rFonts w:ascii="Times New Roman" w:hAnsi="Times New Roman"/>
          <w:b/>
          <w:snapToGrid w:val="0"/>
          <w:color w:val="000000"/>
          <w:sz w:val="24"/>
        </w:rPr>
        <w:t>&gt;</w:t>
      </w:r>
    </w:p>
    <w:p w14:paraId="3CFE1213" w14:textId="77777777" w:rsidR="00832F98" w:rsidRPr="005107DF" w:rsidRDefault="00832F98" w:rsidP="001A78F7">
      <w:pPr>
        <w:tabs>
          <w:tab w:val="left" w:pos="360"/>
          <w:tab w:val="left" w:pos="720"/>
          <w:tab w:val="left" w:pos="900"/>
        </w:tabs>
        <w:spacing w:after="0" w:line="240" w:lineRule="auto"/>
        <w:outlineLvl w:val="0"/>
        <w:rPr>
          <w:rFonts w:ascii="Times New Roman" w:eastAsia="Times New Roman" w:hAnsi="Times New Roman" w:cs="Times New Roman"/>
          <w:b/>
          <w:color w:val="000000"/>
          <w:sz w:val="24"/>
          <w:szCs w:val="24"/>
        </w:rPr>
      </w:pPr>
    </w:p>
    <w:p w14:paraId="7A083266" w14:textId="77777777" w:rsidR="00832F98" w:rsidRPr="005107DF" w:rsidRDefault="00832F98" w:rsidP="007338F0">
      <w:pPr>
        <w:rPr>
          <w:rFonts w:ascii="Times New Roman" w:hAnsi="Times New Roman" w:cs="Times New Roman"/>
          <w:b/>
          <w:sz w:val="24"/>
          <w:szCs w:val="24"/>
        </w:rPr>
      </w:pPr>
      <w:bookmarkStart w:id="1527" w:name="_Toc442374582"/>
      <w:bookmarkStart w:id="1528" w:name="_Toc442375072"/>
      <w:bookmarkStart w:id="1529" w:name="_Toc443320394"/>
      <w:bookmarkStart w:id="1530" w:name="_Toc464460241"/>
      <w:bookmarkStart w:id="1531" w:name="_Toc476063588"/>
      <w:bookmarkStart w:id="1532" w:name="_Toc476068070"/>
      <w:r w:rsidRPr="00452C1A">
        <w:rPr>
          <w:rFonts w:ascii="Times New Roman" w:hAnsi="Times New Roman"/>
          <w:b/>
          <w:sz w:val="24"/>
        </w:rPr>
        <w:t>3</w:t>
      </w:r>
      <w:r>
        <w:rPr>
          <w:rFonts w:ascii="Times New Roman" w:hAnsi="Times New Roman"/>
          <w:b/>
          <w:sz w:val="24"/>
        </w:rPr>
        <w:t>.</w:t>
      </w:r>
      <w:r>
        <w:tab/>
      </w:r>
      <w:r>
        <w:rPr>
          <w:rFonts w:ascii="Times New Roman" w:hAnsi="Times New Roman"/>
          <w:b/>
          <w:sz w:val="24"/>
        </w:rPr>
        <w:t>Nature des activités, zone géographique et durée du projet</w:t>
      </w:r>
      <w:bookmarkEnd w:id="1527"/>
      <w:bookmarkEnd w:id="1528"/>
      <w:bookmarkEnd w:id="1529"/>
      <w:bookmarkEnd w:id="1530"/>
      <w:bookmarkEnd w:id="1531"/>
      <w:bookmarkEnd w:id="1532"/>
    </w:p>
    <w:p w14:paraId="2782688B" w14:textId="77777777" w:rsidR="00832F98" w:rsidRPr="005107DF" w:rsidRDefault="00832F98"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tab/>
      </w:r>
      <w:r>
        <w:rPr>
          <w:rFonts w:ascii="Times New Roman" w:hAnsi="Times New Roman"/>
          <w:b/>
          <w:snapToGrid w:val="0"/>
          <w:color w:val="000000"/>
          <w:sz w:val="24"/>
        </w:rPr>
        <w:t>a)</w:t>
      </w:r>
      <w:r>
        <w:tab/>
      </w:r>
      <w:r>
        <w:rPr>
          <w:rFonts w:ascii="Times New Roman" w:hAnsi="Times New Roman"/>
          <w:b/>
          <w:snapToGrid w:val="0"/>
          <w:color w:val="000000"/>
          <w:sz w:val="24"/>
        </w:rPr>
        <w:t>Brève description (</w:t>
      </w:r>
      <w:r w:rsidRPr="00452C1A">
        <w:rPr>
          <w:rFonts w:ascii="Times New Roman" w:hAnsi="Times New Roman"/>
          <w:b/>
          <w:snapToGrid w:val="0"/>
          <w:color w:val="000000"/>
          <w:sz w:val="24"/>
        </w:rPr>
        <w:t>5</w:t>
      </w:r>
      <w:r>
        <w:rPr>
          <w:rFonts w:ascii="Times New Roman" w:hAnsi="Times New Roman"/>
          <w:b/>
          <w:snapToGrid w:val="0"/>
          <w:color w:val="000000"/>
          <w:sz w:val="24"/>
        </w:rPr>
        <w:t> lignes) des objectifs prévus:</w:t>
      </w:r>
      <w:r>
        <w:rPr>
          <w:rFonts w:ascii="Times New Roman" w:hAnsi="Times New Roman"/>
          <w:sz w:val="24"/>
        </w:rPr>
        <w:t xml:space="preserve"> &lt;    </w:t>
      </w:r>
      <w:r>
        <w:rPr>
          <w:rFonts w:ascii="Times New Roman" w:hAnsi="Times New Roman"/>
          <w:snapToGrid w:val="0"/>
          <w:color w:val="000000"/>
          <w:sz w:val="24"/>
        </w:rPr>
        <w:t xml:space="preserve"> </w:t>
      </w:r>
      <w:r>
        <w:rPr>
          <w:rFonts w:ascii="Times New Roman" w:hAnsi="Times New Roman"/>
          <w:b/>
          <w:snapToGrid w:val="0"/>
          <w:color w:val="000000"/>
          <w:sz w:val="24"/>
        </w:rPr>
        <w:t>&gt;</w:t>
      </w:r>
    </w:p>
    <w:p w14:paraId="50F16F24" w14:textId="77777777" w:rsidR="00832F98" w:rsidRPr="005107DF" w:rsidRDefault="00832F98"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tab/>
      </w:r>
      <w:r>
        <w:rPr>
          <w:rFonts w:ascii="Times New Roman" w:hAnsi="Times New Roman"/>
          <w:b/>
          <w:snapToGrid w:val="0"/>
          <w:color w:val="000000"/>
          <w:sz w:val="24"/>
        </w:rPr>
        <w:t>(b)</w:t>
      </w:r>
      <w:r>
        <w:tab/>
      </w:r>
      <w:r>
        <w:rPr>
          <w:rFonts w:ascii="Times New Roman" w:hAnsi="Times New Roman"/>
          <w:b/>
          <w:snapToGrid w:val="0"/>
          <w:color w:val="000000"/>
          <w:sz w:val="24"/>
        </w:rPr>
        <w:t>Zone géographique: &lt;à préciser: pays&gt;</w:t>
      </w:r>
    </w:p>
    <w:p w14:paraId="59419F54" w14:textId="77777777" w:rsidR="00832F98" w:rsidRPr="005107DF" w:rsidRDefault="00832F98"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tab/>
      </w:r>
      <w:r>
        <w:rPr>
          <w:rFonts w:ascii="Times New Roman" w:hAnsi="Times New Roman"/>
          <w:b/>
          <w:snapToGrid w:val="0"/>
          <w:color w:val="000000"/>
          <w:sz w:val="24"/>
        </w:rPr>
        <w:t>(c)</w:t>
      </w:r>
      <w:r>
        <w:tab/>
      </w:r>
      <w:r>
        <w:rPr>
          <w:rFonts w:ascii="Times New Roman" w:hAnsi="Times New Roman"/>
          <w:b/>
          <w:snapToGrid w:val="0"/>
          <w:color w:val="000000"/>
          <w:sz w:val="24"/>
        </w:rPr>
        <w:t>Durée maximale du projet: &gt; &lt;à préciser&gt;</w:t>
      </w:r>
    </w:p>
    <w:p w14:paraId="458A3EE5" w14:textId="77777777" w:rsidR="00832F98" w:rsidRPr="005107DF" w:rsidRDefault="00832F98"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rPr>
      </w:pPr>
    </w:p>
    <w:p w14:paraId="639BA7D0" w14:textId="77777777" w:rsidR="00832F98" w:rsidRPr="005107DF" w:rsidRDefault="00832F98" w:rsidP="007338F0">
      <w:pPr>
        <w:rPr>
          <w:rFonts w:ascii="Times New Roman" w:hAnsi="Times New Roman" w:cs="Times New Roman"/>
          <w:b/>
          <w:sz w:val="24"/>
          <w:szCs w:val="24"/>
        </w:rPr>
      </w:pPr>
      <w:bookmarkStart w:id="1533" w:name="_Toc442374583"/>
      <w:bookmarkStart w:id="1534" w:name="_Toc442375073"/>
      <w:bookmarkStart w:id="1535" w:name="_Toc443320395"/>
      <w:bookmarkStart w:id="1536" w:name="_Toc464460242"/>
      <w:bookmarkStart w:id="1537" w:name="_Toc476063589"/>
      <w:bookmarkStart w:id="1538" w:name="_Toc476068071"/>
      <w:r w:rsidRPr="00452C1A">
        <w:rPr>
          <w:rFonts w:ascii="Times New Roman" w:hAnsi="Times New Roman"/>
          <w:b/>
          <w:sz w:val="24"/>
        </w:rPr>
        <w:t>4</w:t>
      </w:r>
      <w:r>
        <w:rPr>
          <w:rFonts w:ascii="Times New Roman" w:hAnsi="Times New Roman"/>
          <w:b/>
          <w:sz w:val="24"/>
        </w:rPr>
        <w:t>.</w:t>
      </w:r>
      <w:r>
        <w:tab/>
      </w:r>
      <w:r>
        <w:rPr>
          <w:rFonts w:ascii="Times New Roman" w:hAnsi="Times New Roman"/>
          <w:b/>
          <w:sz w:val="24"/>
        </w:rPr>
        <w:t>Montant total disponible pour cet appel à propositions</w:t>
      </w:r>
      <w:bookmarkEnd w:id="1533"/>
      <w:bookmarkEnd w:id="1534"/>
      <w:bookmarkEnd w:id="1535"/>
      <w:bookmarkEnd w:id="1536"/>
      <w:bookmarkEnd w:id="1537"/>
      <w:bookmarkEnd w:id="1538"/>
      <w:r>
        <w:rPr>
          <w:rFonts w:ascii="Times New Roman" w:hAnsi="Times New Roman"/>
          <w:b/>
          <w:sz w:val="24"/>
        </w:rPr>
        <w:t xml:space="preserve"> </w:t>
      </w:r>
    </w:p>
    <w:p w14:paraId="6581C17C" w14:textId="77777777" w:rsidR="00832F98" w:rsidRPr="005107DF" w:rsidRDefault="00832F98"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rPr>
      </w:pPr>
    </w:p>
    <w:p w14:paraId="3DE8939B" w14:textId="77777777" w:rsidR="00832F98" w:rsidRPr="005107DF" w:rsidRDefault="00832F98" w:rsidP="001A78F7">
      <w:pPr>
        <w:widowControl w:val="0"/>
        <w:tabs>
          <w:tab w:val="left" w:pos="360"/>
          <w:tab w:val="left" w:pos="900"/>
        </w:tabs>
        <w:spacing w:before="100" w:after="100" w:line="240" w:lineRule="auto"/>
        <w:ind w:left="360" w:right="360"/>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&lt;Montant&gt; EUR</w:t>
      </w:r>
    </w:p>
    <w:p w14:paraId="1E7367D2" w14:textId="77777777" w:rsidR="00832F98" w:rsidRPr="005107DF" w:rsidRDefault="00832F98" w:rsidP="001A78F7">
      <w:pPr>
        <w:widowControl w:val="0"/>
        <w:spacing w:before="100" w:after="100" w:line="240" w:lineRule="auto"/>
        <w:ind w:left="360" w:right="360"/>
        <w:rPr>
          <w:rFonts w:ascii="Times New Roman" w:eastAsia="Times New Roman" w:hAnsi="Times New Roman" w:cs="Times New Roman"/>
          <w:snapToGrid w:val="0"/>
          <w:color w:val="000000"/>
          <w:sz w:val="24"/>
          <w:szCs w:val="24"/>
        </w:rPr>
      </w:pPr>
    </w:p>
    <w:p w14:paraId="4C6293D8"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GB" w:eastAsia="en-GB" w:bidi="ar-SA"/>
        </w:rPr>
        <mc:AlternateContent>
          <mc:Choice Requires="wps">
            <w:drawing>
              <wp:anchor distT="0" distB="0" distL="114300" distR="114300" simplePos="0" relativeHeight="251664384" behindDoc="0" locked="0" layoutInCell="0" allowOverlap="1" wp14:anchorId="541A1F9F" wp14:editId="093C01B0">
                <wp:simplePos x="0" y="0"/>
                <wp:positionH relativeFrom="column">
                  <wp:posOffset>5080</wp:posOffset>
                </wp:positionH>
                <wp:positionV relativeFrom="paragraph">
                  <wp:posOffset>147955</wp:posOffset>
                </wp:positionV>
                <wp:extent cx="5695950" cy="0"/>
                <wp:effectExtent l="0" t="1905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B8300" id="Straight Connector 2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1.65pt" to="448.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" o:allowincell="f" strokecolor="#d4d4d4" strokeweight="1.75pt">
                <v:shadow on="t" origin=".5,-.5" offset="0,-1pt"/>
              </v:line>
            </w:pict>
          </mc:Fallback>
        </mc:AlternateContent>
      </w:r>
    </w:p>
    <w:p w14:paraId="7CCE93EA" w14:textId="77777777" w:rsidR="00832F98" w:rsidRPr="005107DF" w:rsidRDefault="00832F98" w:rsidP="001A78F7">
      <w:pPr>
        <w:spacing w:after="0" w:line="240" w:lineRule="auto"/>
        <w:ind w:left="360"/>
        <w:jc w:val="center"/>
        <w:rPr>
          <w:rFonts w:ascii="Times New Roman" w:eastAsia="Times New Roman" w:hAnsi="Times New Roman" w:cs="Times New Roman"/>
          <w:b/>
          <w:color w:val="000000"/>
          <w:sz w:val="24"/>
          <w:szCs w:val="24"/>
        </w:rPr>
      </w:pPr>
      <w:r>
        <w:rPr>
          <w:rFonts w:ascii="Times New Roman" w:hAnsi="Times New Roman"/>
          <w:b/>
          <w:color w:val="000000"/>
          <w:sz w:val="24"/>
        </w:rPr>
        <w:t>CRITÈRES D’ÉLIGIBILITÉ</w:t>
      </w:r>
    </w:p>
    <w:p w14:paraId="1C0D7F08" w14:textId="77777777" w:rsidR="00832F98" w:rsidRPr="005107DF" w:rsidRDefault="00832F98" w:rsidP="001A78F7">
      <w:pPr>
        <w:spacing w:after="0" w:line="240" w:lineRule="auto"/>
        <w:ind w:left="284"/>
        <w:outlineLvl w:val="0"/>
        <w:rPr>
          <w:rFonts w:ascii="Times New Roman" w:eastAsia="Times New Roman" w:hAnsi="Times New Roman" w:cs="Times New Roman"/>
          <w:b/>
          <w:color w:val="000000"/>
          <w:sz w:val="24"/>
          <w:szCs w:val="24"/>
        </w:rPr>
      </w:pPr>
    </w:p>
    <w:p w14:paraId="4CCF15AB" w14:textId="77777777" w:rsidR="00832F98" w:rsidRPr="005107DF" w:rsidRDefault="00832F98" w:rsidP="007338F0">
      <w:pPr>
        <w:jc w:val="both"/>
        <w:rPr>
          <w:rFonts w:ascii="Times New Roman" w:hAnsi="Times New Roman" w:cs="Times New Roman"/>
          <w:b/>
          <w:sz w:val="24"/>
          <w:szCs w:val="24"/>
        </w:rPr>
      </w:pPr>
      <w:bookmarkStart w:id="1539" w:name="_Toc442374584"/>
      <w:bookmarkStart w:id="1540" w:name="_Toc442375074"/>
      <w:bookmarkStart w:id="1541" w:name="_Toc443320396"/>
      <w:bookmarkStart w:id="1542" w:name="_Toc464460243"/>
      <w:bookmarkStart w:id="1543" w:name="_Toc476063590"/>
      <w:bookmarkStart w:id="1544" w:name="_Toc476068072"/>
      <w:r w:rsidRPr="00452C1A">
        <w:rPr>
          <w:rFonts w:ascii="Times New Roman" w:hAnsi="Times New Roman"/>
          <w:b/>
          <w:sz w:val="24"/>
        </w:rPr>
        <w:t>5</w:t>
      </w:r>
      <w:r>
        <w:rPr>
          <w:rFonts w:ascii="Times New Roman" w:hAnsi="Times New Roman"/>
          <w:b/>
          <w:sz w:val="24"/>
        </w:rPr>
        <w:t>.</w:t>
      </w:r>
      <w:r>
        <w:tab/>
      </w:r>
      <w:r>
        <w:rPr>
          <w:rFonts w:ascii="Times New Roman" w:hAnsi="Times New Roman"/>
          <w:b/>
          <w:sz w:val="24"/>
        </w:rPr>
        <w:t xml:space="preserve">Éligibilité: qui peut présenter une </w:t>
      </w:r>
      <w:bookmarkEnd w:id="1539"/>
      <w:bookmarkEnd w:id="1540"/>
      <w:bookmarkEnd w:id="1541"/>
      <w:bookmarkEnd w:id="1542"/>
      <w:r>
        <w:rPr>
          <w:rFonts w:ascii="Times New Roman" w:hAnsi="Times New Roman"/>
          <w:b/>
          <w:sz w:val="24"/>
        </w:rPr>
        <w:t>proposition?</w:t>
      </w:r>
      <w:bookmarkEnd w:id="1543"/>
      <w:bookmarkEnd w:id="1544"/>
    </w:p>
    <w:p w14:paraId="3F7F3110" w14:textId="77777777" w:rsidR="00832F98" w:rsidRPr="005107DF" w:rsidRDefault="00832F98">
      <w:pPr>
        <w:widowControl w:val="0"/>
        <w:spacing w:before="100" w:after="100" w:line="240" w:lineRule="auto"/>
        <w:ind w:left="360" w:right="360"/>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 xml:space="preserve">Les administrations publiques et les organismes mandatés des États membres de l’Union européenne tels qu’ils sont définis dans le manuel de jumelage sont seuls autorisés à présenter une proposition par l’intermédiaire des points de contact nationaux des États membres de l’Union européenne. </w:t>
      </w:r>
    </w:p>
    <w:p w14:paraId="0D8A1AE4" w14:textId="77777777" w:rsidR="00832F98" w:rsidRPr="005107DF" w:rsidRDefault="00832F98" w:rsidP="00434C10">
      <w:pPr>
        <w:ind w:left="426"/>
        <w:jc w:val="both"/>
        <w:rPr>
          <w:rFonts w:ascii="Times New Roman" w:hAnsi="Times New Roman" w:cs="Times New Roman"/>
          <w:i/>
          <w:snapToGrid w:val="0"/>
          <w:color w:val="000000"/>
          <w:sz w:val="24"/>
          <w:szCs w:val="24"/>
        </w:rPr>
      </w:pPr>
      <w:r>
        <w:rPr>
          <w:rFonts w:ascii="Times New Roman" w:hAnsi="Times New Roman"/>
          <w:i/>
          <w:snapToGrid w:val="0"/>
          <w:color w:val="000000"/>
          <w:sz w:val="24"/>
        </w:rPr>
        <w:t xml:space="preserve">Pour les demandeurs du Royaume-Uni: veuillez noter que les critères d’éligibilité doivent être respectés pendant toute la durée de la convention de subvention. Si le Royaume-Uni se retire de l’Union au cours de la période de subvention sans conclure avec l’Union un accord veillant notamment à ce que les demandeurs du Royaume-Uni continuent à être éligibles, vous cesserez de recevoir un financement de l’Union (tout en continuant, si c’est possible, à participer au projet) ou serez contraint de quitter le </w:t>
      </w:r>
      <w:r>
        <w:rPr>
          <w:rFonts w:ascii="Times New Roman" w:hAnsi="Times New Roman"/>
          <w:i/>
          <w:snapToGrid w:val="0"/>
          <w:color w:val="000000"/>
          <w:sz w:val="24"/>
        </w:rPr>
        <w:lastRenderedPageBreak/>
        <w:t>projet sur la base de l’article </w:t>
      </w:r>
      <w:r w:rsidRPr="00452C1A">
        <w:rPr>
          <w:rFonts w:ascii="Times New Roman" w:hAnsi="Times New Roman"/>
          <w:i/>
          <w:snapToGrid w:val="0"/>
          <w:color w:val="000000"/>
          <w:sz w:val="24"/>
        </w:rPr>
        <w:t>12</w:t>
      </w:r>
      <w:r>
        <w:rPr>
          <w:rFonts w:ascii="Times New Roman" w:hAnsi="Times New Roman"/>
          <w:i/>
          <w:snapToGrid w:val="0"/>
          <w:color w:val="000000"/>
          <w:sz w:val="24"/>
        </w:rPr>
        <w:t>.</w:t>
      </w:r>
      <w:r w:rsidRPr="00452C1A">
        <w:rPr>
          <w:rFonts w:ascii="Times New Roman" w:hAnsi="Times New Roman"/>
          <w:i/>
          <w:snapToGrid w:val="0"/>
          <w:color w:val="000000"/>
          <w:sz w:val="24"/>
        </w:rPr>
        <w:t>2</w:t>
      </w:r>
      <w:r>
        <w:rPr>
          <w:rFonts w:ascii="Times New Roman" w:hAnsi="Times New Roman"/>
          <w:i/>
          <w:snapToGrid w:val="0"/>
          <w:color w:val="000000"/>
          <w:sz w:val="24"/>
        </w:rPr>
        <w:t xml:space="preserve"> des conditions générales de la convention de subvention.</w:t>
      </w:r>
    </w:p>
    <w:p w14:paraId="06365BC6" w14:textId="77777777" w:rsidR="00832F98" w:rsidRPr="005107DF" w:rsidRDefault="00832F98" w:rsidP="001A78F7">
      <w:pPr>
        <w:spacing w:after="0" w:line="240" w:lineRule="auto"/>
        <w:ind w:left="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val="en-GB" w:eastAsia="en-GB" w:bidi="ar-SA"/>
        </w:rPr>
        <mc:AlternateContent>
          <mc:Choice Requires="wps">
            <w:drawing>
              <wp:anchor distT="0" distB="0" distL="114300" distR="114300" simplePos="0" relativeHeight="251665408" behindDoc="0" locked="0" layoutInCell="0" allowOverlap="1" wp14:anchorId="5E197821" wp14:editId="122276DD">
                <wp:simplePos x="0" y="0"/>
                <wp:positionH relativeFrom="column">
                  <wp:posOffset>52705</wp:posOffset>
                </wp:positionH>
                <wp:positionV relativeFrom="paragraph">
                  <wp:posOffset>151765</wp:posOffset>
                </wp:positionV>
                <wp:extent cx="5743575" cy="0"/>
                <wp:effectExtent l="0" t="19050" r="952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81E7D" id="Straight Connector 2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1.95pt" to="456.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" o:allowincell="f" strokecolor="#d4d4d4" strokeweight="1.75pt">
                <v:shadow on="t" origin=".5,-.5" offset="0,-1pt"/>
              </v:line>
            </w:pict>
          </mc:Fallback>
        </mc:AlternateContent>
      </w:r>
      <w:r>
        <w:rPr>
          <w:rFonts w:ascii="Times New Roman" w:hAnsi="Times New Roman"/>
          <w:b/>
          <w:color w:val="000000"/>
          <w:sz w:val="24"/>
        </w:rPr>
        <w:t>CALENDRIER PRÉVISIONNEL</w:t>
      </w:r>
    </w:p>
    <w:p w14:paraId="6E6B5E38" w14:textId="77777777" w:rsidR="00832F98" w:rsidRPr="005107DF" w:rsidRDefault="00832F98" w:rsidP="001A78F7">
      <w:pPr>
        <w:spacing w:after="0" w:line="240" w:lineRule="auto"/>
        <w:ind w:left="360"/>
        <w:jc w:val="center"/>
        <w:rPr>
          <w:rFonts w:ascii="Times New Roman" w:eastAsia="Times New Roman" w:hAnsi="Times New Roman" w:cs="Times New Roman"/>
          <w:b/>
          <w:color w:val="000000"/>
          <w:sz w:val="24"/>
          <w:szCs w:val="24"/>
        </w:rPr>
      </w:pPr>
    </w:p>
    <w:p w14:paraId="280A7964" w14:textId="77777777" w:rsidR="00832F98" w:rsidRPr="005107DF" w:rsidRDefault="00832F98" w:rsidP="007338F0">
      <w:pPr>
        <w:rPr>
          <w:rFonts w:ascii="Times New Roman" w:hAnsi="Times New Roman" w:cs="Times New Roman"/>
          <w:b/>
          <w:sz w:val="24"/>
          <w:szCs w:val="24"/>
        </w:rPr>
      </w:pPr>
      <w:bookmarkStart w:id="1545" w:name="_Toc442374585"/>
      <w:bookmarkStart w:id="1546" w:name="_Toc442375075"/>
      <w:bookmarkStart w:id="1547" w:name="_Toc443320397"/>
      <w:bookmarkStart w:id="1548" w:name="_Toc464460244"/>
      <w:bookmarkStart w:id="1549" w:name="_Toc476063591"/>
      <w:bookmarkStart w:id="1550" w:name="_Toc476068073"/>
      <w:r w:rsidRPr="00452C1A">
        <w:rPr>
          <w:rFonts w:ascii="Times New Roman" w:hAnsi="Times New Roman"/>
          <w:b/>
          <w:sz w:val="24"/>
        </w:rPr>
        <w:t>6</w:t>
      </w:r>
      <w:r>
        <w:rPr>
          <w:rFonts w:ascii="Times New Roman" w:hAnsi="Times New Roman"/>
          <w:b/>
          <w:sz w:val="24"/>
        </w:rPr>
        <w:t>.</w:t>
      </w:r>
      <w:r>
        <w:tab/>
      </w:r>
      <w:r>
        <w:rPr>
          <w:rFonts w:ascii="Times New Roman" w:hAnsi="Times New Roman"/>
          <w:b/>
          <w:sz w:val="24"/>
        </w:rPr>
        <w:t>Date prévisionnelle de notification des résultats du processus d’attribution</w:t>
      </w:r>
      <w:r>
        <w:rPr>
          <w:rFonts w:ascii="Times New Roman" w:hAnsi="Times New Roman"/>
          <w:b/>
          <w:sz w:val="24"/>
        </w:rPr>
        <w:footnoteReference w:id="59"/>
      </w:r>
      <w:bookmarkEnd w:id="1545"/>
      <w:bookmarkEnd w:id="1546"/>
      <w:bookmarkEnd w:id="1547"/>
      <w:bookmarkEnd w:id="1548"/>
      <w:bookmarkEnd w:id="1549"/>
      <w:bookmarkEnd w:id="1550"/>
    </w:p>
    <w:p w14:paraId="34DFAC4C" w14:textId="77777777" w:rsidR="00832F98" w:rsidRPr="005107DF" w:rsidRDefault="00832F98" w:rsidP="001A78F7">
      <w:pPr>
        <w:widowControl w:val="0"/>
        <w:spacing w:before="100" w:after="100" w:line="240" w:lineRule="auto"/>
        <w:ind w:left="360" w:right="360"/>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&lt;à préciser&gt;</w:t>
      </w:r>
    </w:p>
    <w:p w14:paraId="03E1B794"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GB" w:eastAsia="en-GB" w:bidi="ar-SA"/>
        </w:rPr>
        <mc:AlternateContent>
          <mc:Choice Requires="wps">
            <w:drawing>
              <wp:anchor distT="0" distB="0" distL="114300" distR="114300" simplePos="0" relativeHeight="251666432" behindDoc="0" locked="0" layoutInCell="0" allowOverlap="1" wp14:anchorId="4F36ACD7" wp14:editId="7F91828D">
                <wp:simplePos x="0" y="0"/>
                <wp:positionH relativeFrom="column">
                  <wp:posOffset>0</wp:posOffset>
                </wp:positionH>
                <wp:positionV relativeFrom="paragraph">
                  <wp:posOffset>152400</wp:posOffset>
                </wp:positionV>
                <wp:extent cx="5943600" cy="635"/>
                <wp:effectExtent l="17145" t="30480" r="11430" b="1651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43636" id="Straight Connector 2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" o:allowincell="f" strokecolor="#d4d4d4" strokeweight="1.75pt">
                <v:shadow on="t" origin=".5,-.5" offset="0,-1pt"/>
              </v:line>
            </w:pict>
          </mc:Fallback>
        </mc:AlternateContent>
      </w:r>
    </w:p>
    <w:p w14:paraId="054C65B0" w14:textId="77777777" w:rsidR="00832F98" w:rsidRPr="005107DF" w:rsidRDefault="00832F98" w:rsidP="001A78F7">
      <w:pPr>
        <w:spacing w:after="0" w:line="240" w:lineRule="auto"/>
        <w:ind w:left="360"/>
        <w:jc w:val="center"/>
        <w:rPr>
          <w:rFonts w:ascii="Times New Roman" w:eastAsia="Times New Roman" w:hAnsi="Times New Roman" w:cs="Times New Roman"/>
          <w:b/>
          <w:color w:val="000000"/>
          <w:sz w:val="24"/>
          <w:szCs w:val="24"/>
        </w:rPr>
      </w:pPr>
    </w:p>
    <w:p w14:paraId="5EE5B7E6" w14:textId="77777777" w:rsidR="00832F98" w:rsidRPr="005107DF" w:rsidRDefault="00832F98" w:rsidP="001A78F7">
      <w:pPr>
        <w:spacing w:after="0" w:line="240" w:lineRule="auto"/>
        <w:ind w:left="360"/>
        <w:jc w:val="center"/>
        <w:rPr>
          <w:rFonts w:ascii="Times New Roman" w:eastAsia="Times New Roman" w:hAnsi="Times New Roman" w:cs="Times New Roman"/>
          <w:b/>
          <w:color w:val="000000"/>
          <w:sz w:val="24"/>
          <w:szCs w:val="24"/>
        </w:rPr>
      </w:pPr>
    </w:p>
    <w:p w14:paraId="2DCCDDC7" w14:textId="77777777" w:rsidR="00832F98" w:rsidRPr="005107DF" w:rsidRDefault="00832F98" w:rsidP="001A78F7">
      <w:pPr>
        <w:spacing w:after="0" w:line="240" w:lineRule="auto"/>
        <w:ind w:left="360"/>
        <w:jc w:val="center"/>
        <w:rPr>
          <w:rFonts w:ascii="Times New Roman" w:eastAsia="Times New Roman" w:hAnsi="Times New Roman" w:cs="Times New Roman"/>
          <w:b/>
          <w:color w:val="000000"/>
          <w:sz w:val="24"/>
          <w:szCs w:val="24"/>
        </w:rPr>
      </w:pPr>
      <w:r>
        <w:rPr>
          <w:rFonts w:ascii="Times New Roman" w:hAnsi="Times New Roman"/>
          <w:b/>
          <w:color w:val="000000"/>
          <w:sz w:val="24"/>
        </w:rPr>
        <w:t>CRITÈRES DE SÉLECTION ET D’ATTRIBUTION</w:t>
      </w:r>
    </w:p>
    <w:p w14:paraId="2764F25D" w14:textId="77777777" w:rsidR="00832F98" w:rsidRPr="005107DF" w:rsidRDefault="00832F98" w:rsidP="001A78F7">
      <w:pPr>
        <w:spacing w:after="0" w:line="240" w:lineRule="auto"/>
        <w:ind w:left="360" w:hanging="360"/>
        <w:outlineLvl w:val="0"/>
        <w:rPr>
          <w:rFonts w:ascii="Times New Roman" w:eastAsia="Times New Roman" w:hAnsi="Times New Roman" w:cs="Times New Roman"/>
          <w:b/>
          <w:color w:val="000000"/>
          <w:sz w:val="24"/>
          <w:szCs w:val="24"/>
        </w:rPr>
      </w:pPr>
      <w:bookmarkStart w:id="1551" w:name="_Toc442374586"/>
      <w:bookmarkStart w:id="1552" w:name="_Toc442375076"/>
      <w:bookmarkStart w:id="1553" w:name="_Toc443320398"/>
      <w:bookmarkStart w:id="1554" w:name="_Toc464460245"/>
    </w:p>
    <w:p w14:paraId="66B28FCE" w14:textId="77777777" w:rsidR="00832F98" w:rsidRPr="005107DF" w:rsidRDefault="00832F98" w:rsidP="007338F0">
      <w:pPr>
        <w:jc w:val="both"/>
        <w:rPr>
          <w:rFonts w:ascii="Times New Roman" w:hAnsi="Times New Roman" w:cs="Times New Roman"/>
          <w:b/>
          <w:sz w:val="24"/>
          <w:szCs w:val="24"/>
        </w:rPr>
      </w:pPr>
      <w:bookmarkStart w:id="1555" w:name="_Toc476063592"/>
      <w:bookmarkStart w:id="1556" w:name="_Toc476068074"/>
      <w:r w:rsidRPr="00452C1A">
        <w:rPr>
          <w:rFonts w:ascii="Times New Roman" w:hAnsi="Times New Roman"/>
          <w:b/>
          <w:sz w:val="24"/>
        </w:rPr>
        <w:t>7</w:t>
      </w:r>
      <w:r>
        <w:rPr>
          <w:rFonts w:ascii="Times New Roman" w:hAnsi="Times New Roman"/>
          <w:b/>
          <w:sz w:val="24"/>
        </w:rPr>
        <w:t>.</w:t>
      </w:r>
      <w:r>
        <w:tab/>
      </w:r>
      <w:r>
        <w:rPr>
          <w:rFonts w:ascii="Times New Roman" w:hAnsi="Times New Roman"/>
          <w:b/>
          <w:sz w:val="24"/>
        </w:rPr>
        <w:t>Critères de sélection et d’attribution</w:t>
      </w:r>
      <w:bookmarkEnd w:id="1551"/>
      <w:bookmarkEnd w:id="1552"/>
      <w:bookmarkEnd w:id="1553"/>
      <w:bookmarkEnd w:id="1554"/>
      <w:bookmarkEnd w:id="1555"/>
      <w:bookmarkEnd w:id="1556"/>
    </w:p>
    <w:p w14:paraId="6B43D09D" w14:textId="77777777" w:rsidR="00832F98" w:rsidRPr="00A73350" w:rsidRDefault="00832F98" w:rsidP="007338F0">
      <w:pPr>
        <w:widowControl w:val="0"/>
        <w:spacing w:before="100" w:after="100" w:line="240" w:lineRule="auto"/>
        <w:ind w:left="540" w:right="360"/>
        <w:jc w:val="both"/>
        <w:rPr>
          <w:rFonts w:ascii="Times New Roman" w:eastAsia="Calibri" w:hAnsi="Times New Roman" w:cs="Times New Roman"/>
          <w:b/>
          <w:color w:val="000000"/>
          <w:sz w:val="24"/>
          <w:szCs w:val="24"/>
        </w:rPr>
      </w:pPr>
      <w:r w:rsidRPr="00A73350">
        <w:rPr>
          <w:rFonts w:ascii="Times New Roman" w:hAnsi="Times New Roman"/>
          <w:color w:val="000000"/>
          <w:sz w:val="24"/>
          <w:szCs w:val="24"/>
        </w:rPr>
        <w:t xml:space="preserve">Les </w:t>
      </w:r>
      <w:r w:rsidRPr="00A73350">
        <w:rPr>
          <w:rFonts w:ascii="Times New Roman" w:hAnsi="Times New Roman"/>
          <w:b/>
          <w:color w:val="000000"/>
          <w:sz w:val="24"/>
          <w:szCs w:val="24"/>
        </w:rPr>
        <w:t>critères de sélection</w:t>
      </w:r>
      <w:r w:rsidRPr="00A73350">
        <w:rPr>
          <w:rFonts w:ascii="Times New Roman" w:hAnsi="Times New Roman"/>
          <w:color w:val="000000"/>
          <w:sz w:val="24"/>
          <w:szCs w:val="24"/>
        </w:rPr>
        <w:t xml:space="preserve"> servent à </w:t>
      </w:r>
      <w:r w:rsidRPr="00A73350">
        <w:rPr>
          <w:rFonts w:ascii="Times New Roman" w:hAnsi="Times New Roman"/>
          <w:snapToGrid w:val="0"/>
          <w:color w:val="000000"/>
          <w:sz w:val="24"/>
          <w:szCs w:val="24"/>
        </w:rPr>
        <w:t>évaluer</w:t>
      </w:r>
      <w:r w:rsidRPr="00A73350">
        <w:rPr>
          <w:rFonts w:ascii="Times New Roman" w:hAnsi="Times New Roman"/>
          <w:color w:val="000000"/>
          <w:sz w:val="24"/>
          <w:szCs w:val="24"/>
        </w:rPr>
        <w:t xml:space="preserve"> la </w:t>
      </w:r>
      <w:r w:rsidRPr="00A73350">
        <w:rPr>
          <w:rFonts w:ascii="Times New Roman" w:hAnsi="Times New Roman"/>
          <w:b/>
          <w:color w:val="000000"/>
          <w:sz w:val="24"/>
          <w:szCs w:val="24"/>
        </w:rPr>
        <w:t>capacité opérationnelle des responsables de volets</w:t>
      </w:r>
      <w:r w:rsidRPr="00A73350">
        <w:rPr>
          <w:rFonts w:ascii="Times New Roman" w:hAnsi="Times New Roman"/>
          <w:color w:val="000000"/>
          <w:sz w:val="24"/>
          <w:szCs w:val="24"/>
        </w:rPr>
        <w:t xml:space="preserve"> mentionnés dans la proposition: chef de projet de l’État membre, conseiller résident de jumelage et responsables de volets; l’appréciation est exprimée de manière positive ou négative (</w:t>
      </w:r>
      <w:r w:rsidRPr="00A73350">
        <w:rPr>
          <w:rFonts w:ascii="Times New Roman" w:hAnsi="Times New Roman"/>
          <w:b/>
          <w:color w:val="000000"/>
          <w:sz w:val="24"/>
          <w:szCs w:val="24"/>
        </w:rPr>
        <w:t>oui/non</w:t>
      </w:r>
      <w:r w:rsidRPr="00A73350">
        <w:rPr>
          <w:rFonts w:ascii="Times New Roman" w:hAnsi="Times New Roman"/>
          <w:color w:val="000000"/>
          <w:sz w:val="24"/>
          <w:szCs w:val="24"/>
        </w:rPr>
        <w:t>) et il suffit qu’un seul critère donne lieu à une évaluation négative pour exclure la proposition.</w:t>
      </w:r>
      <w:r w:rsidRPr="00A73350">
        <w:rPr>
          <w:rFonts w:ascii="Times New Roman" w:hAnsi="Times New Roman"/>
          <w:b/>
          <w:color w:val="000000"/>
          <w:sz w:val="24"/>
          <w:szCs w:val="24"/>
        </w:rPr>
        <w:t xml:space="preserve"> </w:t>
      </w:r>
    </w:p>
    <w:p w14:paraId="23A6FDC4" w14:textId="77777777" w:rsidR="00832F98" w:rsidRPr="00A73350" w:rsidRDefault="00832F98" w:rsidP="007338F0">
      <w:pPr>
        <w:widowControl w:val="0"/>
        <w:spacing w:before="100" w:after="100" w:line="240" w:lineRule="auto"/>
        <w:ind w:left="540" w:right="360"/>
        <w:jc w:val="both"/>
        <w:rPr>
          <w:rFonts w:ascii="Times New Roman" w:eastAsia="Calibri" w:hAnsi="Times New Roman" w:cs="Times New Roman"/>
          <w:b/>
          <w:color w:val="000000"/>
          <w:sz w:val="24"/>
          <w:szCs w:val="24"/>
          <w:u w:val="single"/>
        </w:rPr>
      </w:pPr>
      <w:r w:rsidRPr="00A73350">
        <w:rPr>
          <w:rFonts w:ascii="Times New Roman" w:hAnsi="Times New Roman"/>
          <w:b/>
          <w:color w:val="000000"/>
          <w:sz w:val="24"/>
          <w:szCs w:val="24"/>
        </w:rPr>
        <w:t>Les critères d’attribution</w:t>
      </w:r>
      <w:r w:rsidRPr="00A73350">
        <w:rPr>
          <w:rFonts w:ascii="Times New Roman" w:hAnsi="Times New Roman"/>
          <w:snapToGrid w:val="0"/>
          <w:color w:val="000000"/>
          <w:sz w:val="24"/>
          <w:szCs w:val="24"/>
        </w:rPr>
        <w:t xml:space="preserve"> portent</w:t>
      </w:r>
      <w:r w:rsidRPr="00A73350">
        <w:rPr>
          <w:rFonts w:ascii="Times New Roman" w:hAnsi="Times New Roman"/>
          <w:color w:val="000000"/>
          <w:sz w:val="24"/>
          <w:szCs w:val="24"/>
        </w:rPr>
        <w:t xml:space="preserve"> sur</w:t>
      </w:r>
      <w:r w:rsidRPr="00A73350">
        <w:rPr>
          <w:rFonts w:ascii="Times New Roman" w:hAnsi="Times New Roman"/>
          <w:b/>
          <w:color w:val="000000"/>
          <w:sz w:val="24"/>
          <w:szCs w:val="24"/>
        </w:rPr>
        <w:t xml:space="preserve"> l’intérêt des principaux aspects à prendre en considération</w:t>
      </w:r>
      <w:r w:rsidRPr="00A73350">
        <w:rPr>
          <w:rFonts w:ascii="Times New Roman" w:hAnsi="Times New Roman"/>
          <w:color w:val="000000"/>
          <w:sz w:val="24"/>
          <w:szCs w:val="24"/>
        </w:rPr>
        <w:t xml:space="preserve"> dans la proposition et sont évalués en appliquant un </w:t>
      </w:r>
      <w:r w:rsidRPr="00A73350">
        <w:rPr>
          <w:rFonts w:ascii="Times New Roman" w:hAnsi="Times New Roman"/>
          <w:b/>
          <w:color w:val="000000"/>
          <w:sz w:val="24"/>
          <w:szCs w:val="24"/>
        </w:rPr>
        <w:t>système de notation (de 1 à 5)</w:t>
      </w:r>
      <w:r w:rsidRPr="00A73350">
        <w:rPr>
          <w:rFonts w:ascii="Times New Roman" w:hAnsi="Times New Roman"/>
          <w:color w:val="000000"/>
          <w:sz w:val="24"/>
          <w:szCs w:val="24"/>
        </w:rPr>
        <w:t>:</w:t>
      </w:r>
    </w:p>
    <w:p w14:paraId="5861FCE0" w14:textId="77777777" w:rsidR="00832F98" w:rsidRPr="005107DF" w:rsidRDefault="00832F98"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La sélection d’un État membre et l’attribution d’un contrat de jumelage se fonderont sur l’évaluation de plusieurs aspects qualitatifs incluant, entre autres, la méthodologie proposée, l’expérience du CRJ et du chef de projet proposés, l’expérience de l’administration en matière de projets de coopération et la présentation de l’État membre, etc.</w:t>
      </w:r>
    </w:p>
    <w:p w14:paraId="422F11D0" w14:textId="77777777" w:rsidR="00832F98" w:rsidRPr="005107DF" w:rsidRDefault="00832F98" w:rsidP="007338F0">
      <w:pPr>
        <w:widowControl w:val="0"/>
        <w:spacing w:before="100" w:after="100" w:line="240" w:lineRule="auto"/>
        <w:ind w:left="540" w:right="360"/>
        <w:jc w:val="both"/>
        <w:rPr>
          <w:rFonts w:ascii="Times New Roman" w:eastAsia="Times New Roman" w:hAnsi="Times New Roman" w:cs="Times New Roman"/>
          <w:i/>
          <w:snapToGrid w:val="0"/>
          <w:color w:val="000000"/>
          <w:sz w:val="24"/>
          <w:szCs w:val="24"/>
        </w:rPr>
      </w:pPr>
      <w:r>
        <w:rPr>
          <w:rFonts w:ascii="Times New Roman" w:hAnsi="Times New Roman"/>
          <w:snapToGrid w:val="0"/>
          <w:color w:val="000000"/>
          <w:sz w:val="24"/>
        </w:rPr>
        <w:t>Voir l’annexe C</w:t>
      </w:r>
      <w:r w:rsidRPr="00452C1A">
        <w:rPr>
          <w:rFonts w:ascii="Times New Roman" w:hAnsi="Times New Roman"/>
          <w:snapToGrid w:val="0"/>
          <w:color w:val="000000"/>
          <w:sz w:val="24"/>
        </w:rPr>
        <w:t>6</w:t>
      </w:r>
      <w:r>
        <w:rPr>
          <w:rFonts w:ascii="Times New Roman" w:hAnsi="Times New Roman"/>
          <w:snapToGrid w:val="0"/>
          <w:color w:val="000000"/>
          <w:sz w:val="24"/>
        </w:rPr>
        <w:t xml:space="preserve"> du manuel de jumelage: grille de conformité administrative et d’éligibilité et l’annexe C</w:t>
      </w:r>
      <w:r w:rsidRPr="00452C1A">
        <w:rPr>
          <w:rFonts w:ascii="Times New Roman" w:hAnsi="Times New Roman"/>
          <w:snapToGrid w:val="0"/>
          <w:color w:val="000000"/>
          <w:sz w:val="24"/>
        </w:rPr>
        <w:t>7</w:t>
      </w:r>
      <w:r>
        <w:rPr>
          <w:rFonts w:ascii="Times New Roman" w:hAnsi="Times New Roman"/>
          <w:snapToGrid w:val="0"/>
          <w:color w:val="000000"/>
          <w:sz w:val="24"/>
        </w:rPr>
        <w:t xml:space="preserve"> du manuel de jumelage.</w:t>
      </w:r>
      <w:r>
        <w:rPr>
          <w:rFonts w:ascii="Times New Roman" w:hAnsi="Times New Roman"/>
          <w:i/>
          <w:snapToGrid w:val="0"/>
          <w:color w:val="000000"/>
          <w:sz w:val="24"/>
        </w:rPr>
        <w:t xml:space="preserve"> </w:t>
      </w:r>
    </w:p>
    <w:p w14:paraId="22CB3CBE" w14:textId="77777777" w:rsidR="00832F98" w:rsidRPr="005107DF" w:rsidRDefault="00832F98" w:rsidP="007338F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GB" w:eastAsia="en-GB" w:bidi="ar-SA"/>
        </w:rPr>
        <mc:AlternateContent>
          <mc:Choice Requires="wps">
            <w:drawing>
              <wp:anchor distT="0" distB="0" distL="114300" distR="114300" simplePos="0" relativeHeight="251667456" behindDoc="0" locked="0" layoutInCell="0" allowOverlap="1" wp14:anchorId="0C4A623F" wp14:editId="1CA7CAA7">
                <wp:simplePos x="0" y="0"/>
                <wp:positionH relativeFrom="column">
                  <wp:posOffset>0</wp:posOffset>
                </wp:positionH>
                <wp:positionV relativeFrom="paragraph">
                  <wp:posOffset>152400</wp:posOffset>
                </wp:positionV>
                <wp:extent cx="5943600" cy="635"/>
                <wp:effectExtent l="17145" t="29845" r="11430" b="1714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5EACD" id="Straight Connector 2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" o:allowincell="f" strokecolor="#d4d4d4" strokeweight="1.75pt">
                <v:shadow on="t" origin=".5,-.5" offset="0,-1pt"/>
              </v:line>
            </w:pict>
          </mc:Fallback>
        </mc:AlternateContent>
      </w:r>
    </w:p>
    <w:p w14:paraId="69E6193E" w14:textId="77777777" w:rsidR="00832F98" w:rsidRPr="005107DF" w:rsidRDefault="00832F98" w:rsidP="007338F0">
      <w:pPr>
        <w:spacing w:after="0" w:line="240" w:lineRule="auto"/>
        <w:ind w:left="360"/>
        <w:jc w:val="both"/>
        <w:rPr>
          <w:rFonts w:ascii="Times New Roman" w:eastAsia="Times New Roman" w:hAnsi="Times New Roman" w:cs="Times New Roman"/>
          <w:b/>
          <w:color w:val="000000"/>
          <w:sz w:val="24"/>
          <w:szCs w:val="24"/>
        </w:rPr>
      </w:pPr>
    </w:p>
    <w:p w14:paraId="3B633FA8" w14:textId="77777777" w:rsidR="00832F98" w:rsidRPr="005107DF" w:rsidRDefault="00832F98" w:rsidP="007338F0">
      <w:pPr>
        <w:spacing w:after="0" w:line="240" w:lineRule="auto"/>
        <w:ind w:left="360"/>
        <w:jc w:val="both"/>
        <w:rPr>
          <w:rFonts w:ascii="Times New Roman" w:eastAsia="Times New Roman" w:hAnsi="Times New Roman" w:cs="Times New Roman"/>
          <w:b/>
          <w:color w:val="000000"/>
          <w:sz w:val="24"/>
          <w:szCs w:val="24"/>
        </w:rPr>
      </w:pPr>
      <w:r>
        <w:rPr>
          <w:rFonts w:ascii="Times New Roman" w:hAnsi="Times New Roman"/>
          <w:b/>
          <w:color w:val="000000"/>
          <w:sz w:val="24"/>
        </w:rPr>
        <w:t>PRÉSENTATION D’UNE DEMANDE</w:t>
      </w:r>
    </w:p>
    <w:p w14:paraId="698DEB97" w14:textId="77777777" w:rsidR="00832F98" w:rsidRPr="005107DF" w:rsidRDefault="00832F98" w:rsidP="007338F0">
      <w:pPr>
        <w:spacing w:after="0" w:line="240" w:lineRule="auto"/>
        <w:ind w:left="360"/>
        <w:jc w:val="both"/>
        <w:rPr>
          <w:rFonts w:ascii="Times New Roman" w:eastAsia="Times New Roman" w:hAnsi="Times New Roman" w:cs="Times New Roman"/>
          <w:b/>
          <w:color w:val="000000"/>
          <w:sz w:val="24"/>
          <w:szCs w:val="24"/>
        </w:rPr>
      </w:pPr>
    </w:p>
    <w:p w14:paraId="0493FEB7" w14:textId="77777777" w:rsidR="00832F98" w:rsidRPr="005107DF" w:rsidRDefault="00832F98" w:rsidP="007338F0">
      <w:pPr>
        <w:jc w:val="both"/>
        <w:rPr>
          <w:rFonts w:ascii="Times New Roman" w:hAnsi="Times New Roman" w:cs="Times New Roman"/>
          <w:b/>
          <w:sz w:val="24"/>
          <w:szCs w:val="24"/>
        </w:rPr>
      </w:pPr>
      <w:bookmarkStart w:id="1557" w:name="_Toc442374587"/>
      <w:bookmarkStart w:id="1558" w:name="_Toc442375077"/>
      <w:bookmarkStart w:id="1559" w:name="_Toc443320399"/>
      <w:bookmarkStart w:id="1560" w:name="_Toc464460246"/>
      <w:bookmarkStart w:id="1561" w:name="_Toc476063593"/>
      <w:bookmarkStart w:id="1562" w:name="_Toc476068075"/>
      <w:r w:rsidRPr="00452C1A">
        <w:rPr>
          <w:rFonts w:ascii="Times New Roman" w:hAnsi="Times New Roman"/>
          <w:b/>
          <w:sz w:val="24"/>
        </w:rPr>
        <w:t>8</w:t>
      </w:r>
      <w:r>
        <w:rPr>
          <w:rFonts w:ascii="Times New Roman" w:hAnsi="Times New Roman"/>
          <w:b/>
          <w:sz w:val="24"/>
        </w:rPr>
        <w:t>.</w:t>
      </w:r>
      <w:r>
        <w:tab/>
      </w:r>
      <w:r>
        <w:rPr>
          <w:rFonts w:ascii="Times New Roman" w:hAnsi="Times New Roman"/>
          <w:b/>
          <w:sz w:val="24"/>
        </w:rPr>
        <w:t>Proposition de jumelage et renseignements à fournir</w:t>
      </w:r>
      <w:bookmarkEnd w:id="1557"/>
      <w:bookmarkEnd w:id="1558"/>
      <w:bookmarkEnd w:id="1559"/>
      <w:bookmarkEnd w:id="1560"/>
      <w:bookmarkEnd w:id="1561"/>
      <w:bookmarkEnd w:id="1562"/>
    </w:p>
    <w:p w14:paraId="3C9F5373" w14:textId="77777777" w:rsidR="00832F98" w:rsidRPr="005107DF" w:rsidRDefault="00832F98"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 xml:space="preserve">Les propositions de jumelage doivent être présentées par l’administration de l’État membre principal aux </w:t>
      </w:r>
      <w:r>
        <w:rPr>
          <w:rFonts w:ascii="Times New Roman" w:hAnsi="Times New Roman"/>
          <w:b/>
          <w:snapToGrid w:val="0"/>
          <w:color w:val="000000"/>
          <w:sz w:val="24"/>
        </w:rPr>
        <w:t>points de contact nationaux pour les jumelages des</w:t>
      </w:r>
      <w:r>
        <w:rPr>
          <w:rFonts w:ascii="Times New Roman" w:hAnsi="Times New Roman"/>
          <w:snapToGrid w:val="0"/>
          <w:color w:val="000000"/>
          <w:sz w:val="24"/>
        </w:rPr>
        <w:t xml:space="preserve"> </w:t>
      </w:r>
      <w:r>
        <w:rPr>
          <w:rFonts w:ascii="Times New Roman" w:hAnsi="Times New Roman"/>
          <w:b/>
          <w:snapToGrid w:val="0"/>
          <w:color w:val="000000"/>
          <w:sz w:val="24"/>
        </w:rPr>
        <w:t>États membres de l’UE</w:t>
      </w:r>
      <w:r>
        <w:rPr>
          <w:rFonts w:ascii="Times New Roman" w:hAnsi="Times New Roman"/>
          <w:snapToGrid w:val="0"/>
          <w:color w:val="000000"/>
          <w:sz w:val="24"/>
        </w:rPr>
        <w:t xml:space="preserve"> dans le strict respect des instructions du </w:t>
      </w:r>
      <w:r>
        <w:rPr>
          <w:rFonts w:ascii="Times New Roman" w:hAnsi="Times New Roman"/>
          <w:b/>
          <w:snapToGrid w:val="0"/>
          <w:color w:val="000000"/>
          <w:sz w:val="24"/>
        </w:rPr>
        <w:t>manuel de jumelage</w:t>
      </w:r>
      <w:r>
        <w:rPr>
          <w:rFonts w:ascii="Times New Roman" w:hAnsi="Times New Roman"/>
          <w:snapToGrid w:val="0"/>
          <w:color w:val="000000"/>
          <w:sz w:val="24"/>
        </w:rPr>
        <w:t xml:space="preserve"> (y compris l’utilisation du modèle).</w:t>
      </w:r>
    </w:p>
    <w:p w14:paraId="4751399E" w14:textId="77777777" w:rsidR="00832F98" w:rsidRPr="005107DF" w:rsidRDefault="00832F98"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 xml:space="preserve">Les </w:t>
      </w:r>
      <w:r>
        <w:rPr>
          <w:rFonts w:ascii="Times New Roman" w:hAnsi="Times New Roman"/>
          <w:b/>
          <w:snapToGrid w:val="0"/>
          <w:color w:val="000000"/>
          <w:sz w:val="24"/>
        </w:rPr>
        <w:t>points de contact nationaux pour les jumelages des États membres</w:t>
      </w:r>
      <w:r>
        <w:rPr>
          <w:rFonts w:ascii="Times New Roman" w:hAnsi="Times New Roman"/>
          <w:snapToGrid w:val="0"/>
          <w:color w:val="000000"/>
          <w:sz w:val="24"/>
        </w:rPr>
        <w:t xml:space="preserve"> ne peuvent soumettre qu’une seule proposition de jumelage par État membre à l’administration contractante dans le délai prévu pour la soumission des propositions.</w:t>
      </w:r>
    </w:p>
    <w:p w14:paraId="121C503F" w14:textId="77777777" w:rsidR="00832F98" w:rsidRPr="005107DF" w:rsidRDefault="00832F98" w:rsidP="009D08CF">
      <w:pPr>
        <w:spacing w:after="0" w:line="240" w:lineRule="auto"/>
        <w:ind w:left="540"/>
        <w:jc w:val="both"/>
        <w:outlineLvl w:val="0"/>
        <w:rPr>
          <w:rFonts w:ascii="Times New Roman" w:eastAsia="Times New Roman" w:hAnsi="Times New Roman" w:cs="Times New Roman"/>
          <w:snapToGrid w:val="0"/>
          <w:color w:val="000000"/>
          <w:sz w:val="24"/>
          <w:szCs w:val="24"/>
        </w:rPr>
      </w:pPr>
      <w:bookmarkStart w:id="1563" w:name="_Toc490062193"/>
      <w:bookmarkStart w:id="1564" w:name="_Toc513542220"/>
      <w:bookmarkStart w:id="1565" w:name="_Toc517271228"/>
      <w:bookmarkStart w:id="1566" w:name="_Toc517434487"/>
      <w:bookmarkStart w:id="1567" w:name="_Toc2861054"/>
      <w:r>
        <w:rPr>
          <w:rFonts w:ascii="Times New Roman" w:hAnsi="Times New Roman"/>
          <w:snapToGrid w:val="0"/>
          <w:color w:val="000000"/>
          <w:sz w:val="24"/>
        </w:rPr>
        <w:t>L’État membre doit soumettre sa demande à l’administration contractante via l’adresse de courrier électronique de son point de contact national pour les jumelages.</w:t>
      </w:r>
      <w:bookmarkEnd w:id="1563"/>
      <w:bookmarkEnd w:id="1564"/>
      <w:bookmarkEnd w:id="1565"/>
      <w:bookmarkEnd w:id="1566"/>
      <w:bookmarkEnd w:id="1567"/>
    </w:p>
    <w:p w14:paraId="633F3F4D" w14:textId="77777777" w:rsidR="00832F98" w:rsidRPr="005107DF" w:rsidRDefault="00832F98" w:rsidP="007338F0">
      <w:pPr>
        <w:spacing w:after="0" w:line="240" w:lineRule="auto"/>
        <w:ind w:left="540" w:hanging="540"/>
        <w:jc w:val="both"/>
        <w:outlineLvl w:val="0"/>
        <w:rPr>
          <w:rFonts w:ascii="Times New Roman" w:eastAsia="Times New Roman" w:hAnsi="Times New Roman" w:cs="Times New Roman"/>
          <w:b/>
          <w:color w:val="000000"/>
          <w:sz w:val="24"/>
          <w:szCs w:val="24"/>
        </w:rPr>
      </w:pPr>
    </w:p>
    <w:p w14:paraId="0C6C5294" w14:textId="77777777" w:rsidR="00832F98" w:rsidRPr="005107DF" w:rsidRDefault="00832F98" w:rsidP="007338F0">
      <w:pPr>
        <w:jc w:val="both"/>
        <w:rPr>
          <w:rFonts w:ascii="Times New Roman" w:hAnsi="Times New Roman" w:cs="Times New Roman"/>
          <w:b/>
          <w:sz w:val="24"/>
          <w:szCs w:val="24"/>
        </w:rPr>
      </w:pPr>
      <w:bookmarkStart w:id="1568" w:name="_Toc442374588"/>
      <w:bookmarkStart w:id="1569" w:name="_Toc442375078"/>
      <w:bookmarkStart w:id="1570" w:name="_Toc443320400"/>
      <w:bookmarkStart w:id="1571" w:name="_Toc464460247"/>
      <w:bookmarkStart w:id="1572" w:name="_Toc476063594"/>
      <w:bookmarkStart w:id="1573" w:name="_Toc476068076"/>
      <w:r w:rsidRPr="00452C1A">
        <w:rPr>
          <w:rFonts w:ascii="Times New Roman" w:hAnsi="Times New Roman"/>
          <w:b/>
          <w:sz w:val="24"/>
        </w:rPr>
        <w:lastRenderedPageBreak/>
        <w:t>9</w:t>
      </w:r>
      <w:r>
        <w:rPr>
          <w:rFonts w:ascii="Times New Roman" w:hAnsi="Times New Roman"/>
          <w:b/>
          <w:sz w:val="24"/>
        </w:rPr>
        <w:t>.</w:t>
      </w:r>
      <w:r>
        <w:tab/>
      </w:r>
      <w:r>
        <w:rPr>
          <w:rFonts w:ascii="Times New Roman" w:hAnsi="Times New Roman"/>
          <w:b/>
          <w:sz w:val="24"/>
        </w:rPr>
        <w:t>Date limite d’introduction des demandes</w:t>
      </w:r>
      <w:bookmarkEnd w:id="1568"/>
      <w:bookmarkEnd w:id="1569"/>
      <w:bookmarkEnd w:id="1570"/>
      <w:bookmarkEnd w:id="1571"/>
      <w:bookmarkEnd w:id="1572"/>
      <w:bookmarkEnd w:id="1573"/>
    </w:p>
    <w:p w14:paraId="32A8B6EE" w14:textId="77777777" w:rsidR="00832F98" w:rsidRPr="005107DF" w:rsidRDefault="00832F98" w:rsidP="007338F0">
      <w:pPr>
        <w:widowControl w:val="0"/>
        <w:spacing w:before="100" w:after="100" w:line="240" w:lineRule="auto"/>
        <w:ind w:left="540" w:right="360"/>
        <w:jc w:val="both"/>
        <w:rPr>
          <w:rFonts w:ascii="Times New Roman" w:eastAsia="Times New Roman" w:hAnsi="Times New Roman" w:cs="Times New Roman"/>
          <w:snapToGrid w:val="0"/>
          <w:sz w:val="24"/>
          <w:szCs w:val="24"/>
        </w:rPr>
      </w:pPr>
      <w:r>
        <w:rPr>
          <w:rFonts w:ascii="Times New Roman" w:hAnsi="Times New Roman"/>
          <w:snapToGrid w:val="0"/>
          <w:color w:val="000000"/>
          <w:sz w:val="24"/>
        </w:rPr>
        <w:t>Date limite de présentation des propositions de jumelage à l’administration contractante par les points de contact nationaux: &lt;Date et heure à préciser (</w:t>
      </w:r>
      <w:r w:rsidRPr="00452C1A">
        <w:rPr>
          <w:rFonts w:ascii="Times New Roman" w:hAnsi="Times New Roman"/>
          <w:snapToGrid w:val="0"/>
          <w:color w:val="000000"/>
          <w:sz w:val="24"/>
        </w:rPr>
        <w:t>8</w:t>
      </w:r>
      <w:r>
        <w:rPr>
          <w:rFonts w:ascii="Times New Roman" w:hAnsi="Times New Roman"/>
          <w:snapToGrid w:val="0"/>
          <w:color w:val="000000"/>
          <w:sz w:val="24"/>
        </w:rPr>
        <w:t xml:space="preserve"> semaines pour un jumelage standard et </w:t>
      </w:r>
      <w:r w:rsidRPr="00452C1A">
        <w:rPr>
          <w:rFonts w:ascii="Times New Roman" w:hAnsi="Times New Roman"/>
          <w:snapToGrid w:val="0"/>
          <w:color w:val="000000"/>
          <w:sz w:val="24"/>
        </w:rPr>
        <w:t>6</w:t>
      </w:r>
      <w:r>
        <w:rPr>
          <w:rFonts w:ascii="Times New Roman" w:hAnsi="Times New Roman"/>
          <w:snapToGrid w:val="0"/>
          <w:color w:val="000000"/>
          <w:sz w:val="24"/>
        </w:rPr>
        <w:t> semaines pour un jumelage léger après la publication de l’appel à propositions - se référer au point </w:t>
      </w:r>
      <w:r w:rsidRPr="00452C1A">
        <w:rPr>
          <w:rFonts w:ascii="Times New Roman" w:hAnsi="Times New Roman"/>
          <w:snapToGrid w:val="0"/>
          <w:color w:val="000000"/>
          <w:sz w:val="24"/>
        </w:rPr>
        <w:t>2</w:t>
      </w:r>
      <w:r>
        <w:rPr>
          <w:rFonts w:ascii="Times New Roman" w:hAnsi="Times New Roman"/>
          <w:snapToGrid w:val="0"/>
          <w:color w:val="000000"/>
          <w:sz w:val="24"/>
        </w:rPr>
        <w:t>.</w:t>
      </w:r>
      <w:r w:rsidRPr="00452C1A">
        <w:rPr>
          <w:rFonts w:ascii="Times New Roman" w:hAnsi="Times New Roman"/>
          <w:snapToGrid w:val="0"/>
          <w:color w:val="000000"/>
          <w:sz w:val="24"/>
        </w:rPr>
        <w:t>2</w:t>
      </w:r>
      <w:r>
        <w:rPr>
          <w:rFonts w:ascii="Times New Roman" w:hAnsi="Times New Roman"/>
          <w:snapToGrid w:val="0"/>
          <w:color w:val="000000"/>
          <w:sz w:val="24"/>
        </w:rPr>
        <w:t xml:space="preserve"> du manuel de jumelage)&gt;</w:t>
      </w:r>
      <w:r>
        <w:rPr>
          <w:rFonts w:ascii="Times New Roman" w:hAnsi="Times New Roman"/>
          <w:b/>
          <w:snapToGrid w:val="0"/>
          <w:sz w:val="24"/>
        </w:rPr>
        <w:t xml:space="preserve"> </w:t>
      </w:r>
    </w:p>
    <w:p w14:paraId="0D7EA706" w14:textId="77777777" w:rsidR="00832F98" w:rsidRPr="005107DF" w:rsidRDefault="00832F98" w:rsidP="007338F0">
      <w:pPr>
        <w:widowControl w:val="0"/>
        <w:spacing w:before="100" w:after="100" w:line="240" w:lineRule="auto"/>
        <w:ind w:left="540" w:right="360"/>
        <w:jc w:val="both"/>
        <w:rPr>
          <w:rFonts w:ascii="Times New Roman" w:eastAsia="Times New Roman" w:hAnsi="Times New Roman" w:cs="Times New Roman"/>
          <w:b/>
          <w:snapToGrid w:val="0"/>
          <w:color w:val="000000"/>
          <w:sz w:val="24"/>
          <w:szCs w:val="24"/>
        </w:rPr>
      </w:pPr>
      <w:r>
        <w:rPr>
          <w:rFonts w:ascii="Times New Roman" w:hAnsi="Times New Roman"/>
          <w:snapToGrid w:val="0"/>
          <w:color w:val="000000"/>
          <w:sz w:val="24"/>
        </w:rPr>
        <w:t>La date limite de présentation des propositions de jumelage par les administrations publiques des États membres de l’UE au point de contact national correspondant est fixée par ce dernier.</w:t>
      </w:r>
    </w:p>
    <w:p w14:paraId="4EDA4D7F" w14:textId="77777777" w:rsidR="00832F98" w:rsidRPr="005107DF" w:rsidRDefault="00832F98"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 xml:space="preserve">Aucune demande </w:t>
      </w:r>
      <w:r>
        <w:rPr>
          <w:rFonts w:ascii="Times New Roman" w:hAnsi="Times New Roman"/>
          <w:snapToGrid w:val="0"/>
          <w:color w:val="000000"/>
          <w:sz w:val="24"/>
          <w:u w:val="single"/>
        </w:rPr>
        <w:t>reçue</w:t>
      </w:r>
      <w:r>
        <w:rPr>
          <w:rFonts w:ascii="Times New Roman" w:hAnsi="Times New Roman"/>
          <w:snapToGrid w:val="0"/>
          <w:color w:val="000000"/>
          <w:sz w:val="24"/>
        </w:rPr>
        <w:t xml:space="preserve"> par l’administration contractante après cette date ne sera prise en considération.</w:t>
      </w:r>
    </w:p>
    <w:p w14:paraId="27DBE372" w14:textId="77777777" w:rsidR="00832F98" w:rsidRPr="005107DF" w:rsidRDefault="00832F98" w:rsidP="007338F0">
      <w:pPr>
        <w:spacing w:after="0" w:line="240" w:lineRule="auto"/>
        <w:ind w:left="540" w:hanging="540"/>
        <w:jc w:val="both"/>
        <w:outlineLvl w:val="0"/>
        <w:rPr>
          <w:rFonts w:ascii="Times New Roman" w:eastAsia="Times New Roman" w:hAnsi="Times New Roman" w:cs="Times New Roman"/>
          <w:b/>
          <w:color w:val="000000"/>
          <w:sz w:val="24"/>
          <w:szCs w:val="24"/>
        </w:rPr>
      </w:pPr>
    </w:p>
    <w:p w14:paraId="39B14BE1" w14:textId="77777777" w:rsidR="00832F98" w:rsidRPr="005107DF" w:rsidRDefault="00832F98" w:rsidP="007338F0">
      <w:pPr>
        <w:jc w:val="both"/>
        <w:rPr>
          <w:rFonts w:ascii="Times New Roman" w:hAnsi="Times New Roman" w:cs="Times New Roman"/>
          <w:b/>
          <w:sz w:val="24"/>
          <w:szCs w:val="24"/>
        </w:rPr>
      </w:pPr>
      <w:bookmarkStart w:id="1574" w:name="_Toc442374589"/>
      <w:bookmarkStart w:id="1575" w:name="_Toc442375079"/>
      <w:bookmarkStart w:id="1576" w:name="_Toc443320401"/>
      <w:bookmarkStart w:id="1577" w:name="_Toc464460248"/>
      <w:bookmarkStart w:id="1578" w:name="_Toc476063595"/>
      <w:bookmarkStart w:id="1579" w:name="_Toc476068077"/>
      <w:r w:rsidRPr="00452C1A">
        <w:rPr>
          <w:rFonts w:ascii="Times New Roman" w:hAnsi="Times New Roman"/>
          <w:b/>
          <w:sz w:val="24"/>
        </w:rPr>
        <w:t>10</w:t>
      </w:r>
      <w:r>
        <w:rPr>
          <w:rFonts w:ascii="Times New Roman" w:hAnsi="Times New Roman"/>
          <w:b/>
          <w:sz w:val="24"/>
        </w:rPr>
        <w:t>.</w:t>
      </w:r>
      <w:r>
        <w:tab/>
      </w:r>
      <w:r>
        <w:rPr>
          <w:rFonts w:ascii="Times New Roman" w:hAnsi="Times New Roman"/>
          <w:b/>
          <w:sz w:val="24"/>
        </w:rPr>
        <w:t>Informations détaillées</w:t>
      </w:r>
      <w:bookmarkEnd w:id="1574"/>
      <w:bookmarkEnd w:id="1575"/>
      <w:bookmarkEnd w:id="1576"/>
      <w:bookmarkEnd w:id="1577"/>
      <w:bookmarkEnd w:id="1578"/>
      <w:bookmarkEnd w:id="1579"/>
    </w:p>
    <w:p w14:paraId="61B8CACE" w14:textId="77777777" w:rsidR="00832F98" w:rsidRPr="005107DF" w:rsidRDefault="00832F98"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 xml:space="preserve">Les informations détaillées relatives au présent appel à propositions figurent dans le manuel de jumelage et les fiches de projet de jumelage spécifiques que vous pouvez vous procurer auprès des </w:t>
      </w:r>
      <w:r>
        <w:rPr>
          <w:rFonts w:ascii="Times New Roman" w:hAnsi="Times New Roman"/>
          <w:b/>
          <w:snapToGrid w:val="0"/>
          <w:color w:val="000000"/>
          <w:sz w:val="24"/>
        </w:rPr>
        <w:t>points de contact nationaux pour les jumelages</w:t>
      </w:r>
      <w:r>
        <w:rPr>
          <w:rFonts w:ascii="Times New Roman" w:hAnsi="Times New Roman"/>
          <w:snapToGrid w:val="0"/>
          <w:color w:val="000000"/>
          <w:sz w:val="24"/>
        </w:rPr>
        <w:t xml:space="preserve"> des États membres de l’Union européenne. </w:t>
      </w:r>
    </w:p>
    <w:p w14:paraId="09493966" w14:textId="77777777" w:rsidR="00832F98" w:rsidRPr="005107DF" w:rsidRDefault="00832F98"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La ou les dates provisoires prévues pour le début des réunions du comité d’évaluation sont les suivantes: &lt;à préciser&gt;.</w:t>
      </w:r>
    </w:p>
    <w:p w14:paraId="592BBB7F" w14:textId="77777777" w:rsidR="00832F98" w:rsidRPr="005107DF" w:rsidRDefault="00832F98"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p>
    <w:p w14:paraId="7DC4CEE0" w14:textId="77777777" w:rsidR="00832F98" w:rsidRPr="005107DF" w:rsidRDefault="00832F98" w:rsidP="007338F0">
      <w:pPr>
        <w:ind w:left="540"/>
        <w:jc w:val="both"/>
        <w:rPr>
          <w:rFonts w:ascii="Times New Roman" w:eastAsia="Times New Roman" w:hAnsi="Times New Roman" w:cs="Times New Roman"/>
          <w:snapToGrid w:val="0"/>
          <w:color w:val="000000"/>
          <w:sz w:val="24"/>
          <w:szCs w:val="24"/>
          <w:highlight w:val="yellow"/>
        </w:rPr>
      </w:pPr>
      <w:r>
        <w:rPr>
          <w:rFonts w:ascii="Times New Roman" w:hAnsi="Times New Roman"/>
          <w:snapToGrid w:val="0"/>
          <w:color w:val="000000"/>
          <w:sz w:val="24"/>
        </w:rPr>
        <w:t xml:space="preserve">La délégation de l’État membre doit toujours inclure le chef de projet et le ou les CRJ proposés. </w:t>
      </w:r>
    </w:p>
    <w:p w14:paraId="02415C1E" w14:textId="77777777" w:rsidR="00832F98" w:rsidRPr="005107DF" w:rsidRDefault="00832F98" w:rsidP="00BB41DC">
      <w:pPr>
        <w:rPr>
          <w:rFonts w:ascii="Times New Roman" w:eastAsia="Times New Roman" w:hAnsi="Times New Roman" w:cs="Times New Roman"/>
          <w:color w:val="000000"/>
          <w:sz w:val="24"/>
          <w:szCs w:val="24"/>
        </w:rPr>
      </w:pPr>
    </w:p>
    <w:p w14:paraId="20779E60" w14:textId="77777777" w:rsidR="00832F98" w:rsidRPr="005107DF" w:rsidRDefault="00832F98" w:rsidP="00BB41DC">
      <w:pPr>
        <w:rPr>
          <w:rFonts w:ascii="Times New Roman" w:eastAsia="Times New Roman" w:hAnsi="Times New Roman" w:cs="Times New Roman"/>
          <w:color w:val="000000"/>
          <w:sz w:val="24"/>
          <w:szCs w:val="24"/>
        </w:rPr>
      </w:pPr>
    </w:p>
    <w:p w14:paraId="28039A8D" w14:textId="77777777" w:rsidR="00832F98" w:rsidRPr="005107DF" w:rsidRDefault="00832F98" w:rsidP="00BB41DC">
      <w:pPr>
        <w:rPr>
          <w:rFonts w:ascii="Times New Roman" w:eastAsia="Times New Roman" w:hAnsi="Times New Roman" w:cs="Times New Roman"/>
          <w:color w:val="000000"/>
          <w:sz w:val="24"/>
          <w:szCs w:val="24"/>
        </w:rPr>
      </w:pPr>
    </w:p>
    <w:p w14:paraId="2D4CDD41" w14:textId="77777777" w:rsidR="00832F98" w:rsidRPr="005107DF" w:rsidRDefault="00832F98" w:rsidP="00BB41DC">
      <w:pPr>
        <w:rPr>
          <w:rFonts w:ascii="Times New Roman" w:eastAsia="Times New Roman" w:hAnsi="Times New Roman" w:cs="Times New Roman"/>
          <w:color w:val="000000"/>
          <w:sz w:val="24"/>
          <w:szCs w:val="24"/>
        </w:rPr>
      </w:pPr>
    </w:p>
    <w:p w14:paraId="78D0CBC5" w14:textId="77777777" w:rsidR="00832F98" w:rsidRPr="005107DF" w:rsidRDefault="00832F98" w:rsidP="00BB41DC">
      <w:pPr>
        <w:rPr>
          <w:rFonts w:ascii="Times New Roman" w:eastAsia="Times New Roman" w:hAnsi="Times New Roman" w:cs="Times New Roman"/>
          <w:color w:val="000000"/>
          <w:sz w:val="24"/>
          <w:szCs w:val="24"/>
        </w:rPr>
      </w:pPr>
    </w:p>
    <w:p w14:paraId="7D263781" w14:textId="77777777" w:rsidR="00832F98" w:rsidRPr="005107DF" w:rsidRDefault="00832F98" w:rsidP="00BB41DC">
      <w:pPr>
        <w:rPr>
          <w:rFonts w:ascii="Times New Roman" w:eastAsia="Times New Roman" w:hAnsi="Times New Roman" w:cs="Times New Roman"/>
          <w:color w:val="000000"/>
          <w:sz w:val="24"/>
          <w:szCs w:val="24"/>
        </w:rPr>
      </w:pPr>
    </w:p>
    <w:p w14:paraId="3E2C4247" w14:textId="77777777" w:rsidR="00832F98" w:rsidRPr="005107DF" w:rsidRDefault="00832F98" w:rsidP="00BB41DC">
      <w:pPr>
        <w:rPr>
          <w:rFonts w:ascii="Times New Roman" w:eastAsia="Times New Roman" w:hAnsi="Times New Roman" w:cs="Times New Roman"/>
          <w:color w:val="000000"/>
          <w:sz w:val="24"/>
          <w:szCs w:val="24"/>
        </w:rPr>
      </w:pPr>
    </w:p>
    <w:p w14:paraId="42F785B8" w14:textId="77777777" w:rsidR="00832F98" w:rsidRPr="005107DF" w:rsidRDefault="00832F98" w:rsidP="00BB41DC">
      <w:pPr>
        <w:rPr>
          <w:rFonts w:ascii="Times New Roman" w:eastAsia="Times New Roman" w:hAnsi="Times New Roman" w:cs="Times New Roman"/>
          <w:color w:val="000000"/>
          <w:sz w:val="24"/>
          <w:szCs w:val="24"/>
        </w:rPr>
      </w:pPr>
    </w:p>
    <w:p w14:paraId="2CD1BB36" w14:textId="77777777" w:rsidR="00832F98" w:rsidRPr="005107DF" w:rsidRDefault="00832F98" w:rsidP="00BB41DC">
      <w:pPr>
        <w:rPr>
          <w:rFonts w:ascii="Times New Roman" w:eastAsia="Times New Roman" w:hAnsi="Times New Roman" w:cs="Times New Roman"/>
          <w:color w:val="000000"/>
          <w:sz w:val="24"/>
          <w:szCs w:val="24"/>
        </w:rPr>
      </w:pPr>
    </w:p>
    <w:p w14:paraId="0507D885" w14:textId="77777777" w:rsidR="00832F98" w:rsidRPr="005107DF" w:rsidRDefault="00832F98" w:rsidP="00BB41DC">
      <w:pPr>
        <w:rPr>
          <w:rFonts w:ascii="Times New Roman" w:eastAsia="Times New Roman" w:hAnsi="Times New Roman" w:cs="Times New Roman"/>
          <w:color w:val="000000"/>
          <w:sz w:val="24"/>
          <w:szCs w:val="24"/>
        </w:rPr>
      </w:pPr>
    </w:p>
    <w:p w14:paraId="190A07E3" w14:textId="77777777" w:rsidR="00832F98" w:rsidRPr="005107DF" w:rsidRDefault="00832F98" w:rsidP="00BB41DC">
      <w:pPr>
        <w:rPr>
          <w:rFonts w:ascii="Times New Roman" w:eastAsia="Times New Roman" w:hAnsi="Times New Roman" w:cs="Times New Roman"/>
          <w:color w:val="000000"/>
          <w:sz w:val="24"/>
          <w:szCs w:val="24"/>
        </w:rPr>
      </w:pPr>
    </w:p>
    <w:p w14:paraId="30DD5154" w14:textId="77777777" w:rsidR="00832F98" w:rsidRPr="005107DF" w:rsidRDefault="00832F98" w:rsidP="00BB41DC">
      <w:pPr>
        <w:rPr>
          <w:rFonts w:ascii="Times New Roman" w:eastAsia="Times New Roman" w:hAnsi="Times New Roman" w:cs="Times New Roman"/>
          <w:color w:val="000000"/>
          <w:sz w:val="24"/>
          <w:szCs w:val="24"/>
        </w:rPr>
      </w:pPr>
    </w:p>
    <w:p w14:paraId="3585D065" w14:textId="77777777" w:rsidR="00832F98" w:rsidRPr="005107DF" w:rsidRDefault="00832F98" w:rsidP="00BB41DC">
      <w:pPr>
        <w:rPr>
          <w:rFonts w:ascii="Times New Roman" w:eastAsia="Times New Roman" w:hAnsi="Times New Roman" w:cs="Times New Roman"/>
          <w:color w:val="000000"/>
          <w:sz w:val="24"/>
          <w:szCs w:val="24"/>
        </w:rPr>
      </w:pPr>
    </w:p>
    <w:p w14:paraId="6998741A" w14:textId="77777777" w:rsidR="00832F98" w:rsidRPr="005107DF" w:rsidRDefault="00832F98" w:rsidP="00BB41DC">
      <w:pPr>
        <w:rPr>
          <w:rFonts w:ascii="Times New Roman" w:eastAsia="Times New Roman" w:hAnsi="Times New Roman" w:cs="Times New Roman"/>
          <w:color w:val="000000"/>
          <w:sz w:val="24"/>
          <w:szCs w:val="24"/>
        </w:rPr>
      </w:pPr>
    </w:p>
    <w:p w14:paraId="14DC1828" w14:textId="30C68A08" w:rsidR="00832F98" w:rsidRPr="005107DF" w:rsidRDefault="00832F98" w:rsidP="00BB41DC">
      <w:pPr>
        <w:rPr>
          <w:rFonts w:ascii="Times New Roman" w:eastAsia="Times New Roman" w:hAnsi="Times New Roman" w:cs="Times New Roman"/>
          <w:color w:val="000000"/>
          <w:sz w:val="24"/>
          <w:szCs w:val="24"/>
        </w:rPr>
      </w:pPr>
    </w:p>
    <w:p w14:paraId="5A977F96" w14:textId="77777777" w:rsidR="00832F98" w:rsidRPr="005107DF" w:rsidRDefault="00832F98" w:rsidP="009D08CF">
      <w:pPr>
        <w:pStyle w:val="Heading2"/>
        <w:pBdr>
          <w:top w:val="single" w:sz="4" w:space="1" w:color="auto"/>
          <w:left w:val="single" w:sz="4" w:space="4" w:color="auto"/>
          <w:bottom w:val="single" w:sz="4" w:space="1" w:color="auto"/>
          <w:right w:val="single" w:sz="4" w:space="4" w:color="auto"/>
        </w:pBdr>
        <w:rPr>
          <w:sz w:val="32"/>
          <w:szCs w:val="32"/>
        </w:rPr>
      </w:pPr>
      <w:bookmarkStart w:id="1580" w:name="_Toc490062194"/>
      <w:bookmarkStart w:id="1581" w:name="_Toc517434488"/>
      <w:bookmarkStart w:id="1582" w:name="_Toc2861055"/>
      <w:r>
        <w:rPr>
          <w:sz w:val="32"/>
        </w:rPr>
        <w:t>ANNEXE C</w:t>
      </w:r>
      <w:r w:rsidRPr="00452C1A">
        <w:rPr>
          <w:sz w:val="32"/>
        </w:rPr>
        <w:t>9</w:t>
      </w:r>
      <w:r>
        <w:rPr>
          <w:sz w:val="32"/>
        </w:rPr>
        <w:t>bis: Jumelage léger - Publication sur l’internet de l’appel à propositions</w:t>
      </w:r>
      <w:bookmarkEnd w:id="1580"/>
      <w:bookmarkEnd w:id="1581"/>
      <w:bookmarkEnd w:id="1582"/>
    </w:p>
    <w:p w14:paraId="01067B28" w14:textId="77777777" w:rsidR="00832F98" w:rsidRPr="005107DF" w:rsidRDefault="00832F98" w:rsidP="009D08CF">
      <w:pPr>
        <w:spacing w:after="0" w:line="240" w:lineRule="auto"/>
        <w:jc w:val="center"/>
        <w:rPr>
          <w:rFonts w:ascii="Times New Roman" w:hAnsi="Times New Roman" w:cs="Times New Roman"/>
          <w:b/>
          <w:color w:val="000000"/>
          <w:sz w:val="24"/>
          <w:szCs w:val="24"/>
        </w:rPr>
      </w:pPr>
      <w:r>
        <w:rPr>
          <w:rFonts w:ascii="Times New Roman" w:hAnsi="Times New Roman"/>
          <w:b/>
          <w:color w:val="000000"/>
          <w:sz w:val="24"/>
        </w:rPr>
        <w:t>APPEL À PROPOSITIONS DE JUMELAGE</w:t>
      </w:r>
    </w:p>
    <w:p w14:paraId="70AF62F4" w14:textId="77777777" w:rsidR="00832F98" w:rsidRPr="005107DF" w:rsidRDefault="00832F98" w:rsidP="009D08CF">
      <w:pPr>
        <w:spacing w:after="0" w:line="240" w:lineRule="auto"/>
        <w:jc w:val="center"/>
        <w:rPr>
          <w:rFonts w:ascii="Times New Roman" w:hAnsi="Times New Roman" w:cs="Times New Roman"/>
          <w:b/>
          <w:color w:val="000000"/>
          <w:sz w:val="24"/>
          <w:szCs w:val="24"/>
        </w:rPr>
      </w:pPr>
      <w:r>
        <w:rPr>
          <w:rFonts w:ascii="Times New Roman" w:hAnsi="Times New Roman"/>
          <w:b/>
          <w:color w:val="000000"/>
          <w:sz w:val="24"/>
        </w:rPr>
        <w:t>lancé par la Commission européenne</w:t>
      </w:r>
    </w:p>
    <w:p w14:paraId="1374180A" w14:textId="77777777" w:rsidR="00832F98" w:rsidRPr="005107DF" w:rsidRDefault="00832F98" w:rsidP="009D08CF">
      <w:pPr>
        <w:spacing w:after="0" w:line="240" w:lineRule="auto"/>
        <w:jc w:val="center"/>
        <w:rPr>
          <w:rFonts w:ascii="Times New Roman" w:hAnsi="Times New Roman" w:cs="Times New Roman"/>
          <w:b/>
          <w:color w:val="000000"/>
          <w:sz w:val="24"/>
          <w:szCs w:val="24"/>
        </w:rPr>
      </w:pPr>
    </w:p>
    <w:p w14:paraId="67CAFE23" w14:textId="77777777" w:rsidR="00832F98" w:rsidRPr="005107DF" w:rsidRDefault="00832F98" w:rsidP="009D08CF">
      <w:pPr>
        <w:jc w:val="center"/>
        <w:rPr>
          <w:rFonts w:ascii="Times New Roman" w:hAnsi="Times New Roman" w:cs="Times New Roman"/>
          <w:b/>
          <w:color w:val="000000"/>
          <w:sz w:val="24"/>
          <w:szCs w:val="24"/>
        </w:rPr>
      </w:pPr>
      <w:r>
        <w:rPr>
          <w:rFonts w:ascii="Times New Roman" w:hAnsi="Times New Roman" w:cs="Times New Roman"/>
          <w:noProof/>
          <w:color w:val="000000"/>
          <w:sz w:val="24"/>
          <w:szCs w:val="24"/>
          <w:lang w:val="en-GB" w:eastAsia="en-GB" w:bidi="ar-SA"/>
        </w:rPr>
        <mc:AlternateContent>
          <mc:Choice Requires="wps">
            <w:drawing>
              <wp:anchor distT="0" distB="0" distL="114300" distR="114300" simplePos="0" relativeHeight="251670528" behindDoc="0" locked="0" layoutInCell="0" allowOverlap="1" wp14:anchorId="6C16323F" wp14:editId="2A9282F7">
                <wp:simplePos x="0" y="0"/>
                <wp:positionH relativeFrom="column">
                  <wp:posOffset>0</wp:posOffset>
                </wp:positionH>
                <wp:positionV relativeFrom="paragraph">
                  <wp:posOffset>99060</wp:posOffset>
                </wp:positionV>
                <wp:extent cx="5943600" cy="635"/>
                <wp:effectExtent l="13970" t="26035" r="1460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9F291" id="Straight Connector 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46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" o:allowincell="f" strokecolor="#d4d4d4" strokeweight="1.75pt">
                <v:shadow on="t" origin=".5,-.5" offset="0,-1pt"/>
              </v:line>
            </w:pict>
          </mc:Fallback>
        </mc:AlternateContent>
      </w:r>
    </w:p>
    <w:p w14:paraId="718481FE" w14:textId="77777777" w:rsidR="00832F98" w:rsidRPr="005107DF" w:rsidRDefault="00832F98" w:rsidP="009D08CF">
      <w:pPr>
        <w:tabs>
          <w:tab w:val="left" w:pos="360"/>
          <w:tab w:val="left" w:pos="720"/>
          <w:tab w:val="left" w:pos="900"/>
        </w:tabs>
        <w:outlineLvl w:val="0"/>
        <w:rPr>
          <w:rFonts w:ascii="Times New Roman" w:hAnsi="Times New Roman" w:cs="Times New Roman"/>
          <w:b/>
          <w:color w:val="000000"/>
          <w:sz w:val="24"/>
          <w:szCs w:val="24"/>
        </w:rPr>
      </w:pPr>
      <w:bookmarkStart w:id="1583" w:name="_Toc490062195"/>
      <w:bookmarkStart w:id="1584" w:name="_Toc513542222"/>
      <w:bookmarkStart w:id="1585" w:name="_Toc517271230"/>
      <w:bookmarkStart w:id="1586" w:name="_Toc517434489"/>
      <w:bookmarkStart w:id="1587" w:name="_Toc2861056"/>
      <w:r w:rsidRPr="00452C1A">
        <w:rPr>
          <w:rFonts w:ascii="Times New Roman" w:hAnsi="Times New Roman"/>
          <w:b/>
          <w:color w:val="000000"/>
          <w:sz w:val="24"/>
        </w:rPr>
        <w:t>1</w:t>
      </w:r>
      <w:r>
        <w:rPr>
          <w:rFonts w:ascii="Times New Roman" w:hAnsi="Times New Roman"/>
          <w:b/>
          <w:color w:val="000000"/>
          <w:sz w:val="24"/>
        </w:rPr>
        <w:t>.</w:t>
      </w:r>
      <w:r>
        <w:tab/>
      </w:r>
      <w:r>
        <w:rPr>
          <w:rFonts w:ascii="Times New Roman" w:hAnsi="Times New Roman"/>
          <w:b/>
          <w:color w:val="000000"/>
          <w:sz w:val="24"/>
        </w:rPr>
        <w:t>Référence de publication</w:t>
      </w:r>
      <w:bookmarkEnd w:id="1583"/>
      <w:bookmarkEnd w:id="1584"/>
      <w:bookmarkEnd w:id="1585"/>
      <w:bookmarkEnd w:id="1586"/>
      <w:bookmarkEnd w:id="1587"/>
    </w:p>
    <w:p w14:paraId="037BE217" w14:textId="77777777" w:rsidR="00832F98" w:rsidRPr="005107DF" w:rsidRDefault="00832F98" w:rsidP="009D08CF">
      <w:pPr>
        <w:widowControl w:val="0"/>
        <w:tabs>
          <w:tab w:val="left" w:pos="360"/>
          <w:tab w:val="left" w:pos="720"/>
          <w:tab w:val="left" w:pos="900"/>
        </w:tabs>
        <w:spacing w:before="100" w:after="100"/>
        <w:ind w:right="360"/>
        <w:jc w:val="both"/>
        <w:rPr>
          <w:rFonts w:ascii="Times New Roman" w:hAnsi="Times New Roman" w:cs="Times New Roman"/>
          <w:snapToGrid w:val="0"/>
          <w:color w:val="000000"/>
          <w:sz w:val="24"/>
          <w:szCs w:val="24"/>
        </w:rPr>
      </w:pPr>
      <w:r>
        <w:rPr>
          <w:rFonts w:ascii="Times New Roman" w:hAnsi="Times New Roman"/>
          <w:snapToGrid w:val="0"/>
          <w:color w:val="000000"/>
          <w:sz w:val="24"/>
        </w:rPr>
        <w:t xml:space="preserve">Code CRIS/code de référence du projet (communiqué par les services de la Commission chargés de la publication) </w:t>
      </w:r>
    </w:p>
    <w:p w14:paraId="429D46BA" w14:textId="77777777" w:rsidR="00832F98" w:rsidRPr="005107DF" w:rsidRDefault="00832F98" w:rsidP="009D08CF">
      <w:pPr>
        <w:tabs>
          <w:tab w:val="left" w:pos="360"/>
          <w:tab w:val="left" w:pos="720"/>
          <w:tab w:val="left" w:pos="900"/>
        </w:tabs>
        <w:outlineLvl w:val="0"/>
        <w:rPr>
          <w:rFonts w:ascii="Times New Roman" w:hAnsi="Times New Roman" w:cs="Times New Roman"/>
          <w:b/>
          <w:color w:val="000000"/>
          <w:sz w:val="24"/>
          <w:szCs w:val="24"/>
        </w:rPr>
      </w:pPr>
    </w:p>
    <w:p w14:paraId="26AF1428" w14:textId="77777777" w:rsidR="00832F98" w:rsidRPr="005107DF" w:rsidRDefault="00832F98" w:rsidP="009D08CF">
      <w:pPr>
        <w:tabs>
          <w:tab w:val="left" w:pos="360"/>
          <w:tab w:val="left" w:pos="720"/>
          <w:tab w:val="left" w:pos="900"/>
        </w:tabs>
        <w:outlineLvl w:val="0"/>
        <w:rPr>
          <w:rFonts w:ascii="Times New Roman" w:hAnsi="Times New Roman" w:cs="Times New Roman"/>
          <w:b/>
          <w:color w:val="000000"/>
          <w:sz w:val="24"/>
          <w:szCs w:val="24"/>
        </w:rPr>
      </w:pPr>
      <w:bookmarkStart w:id="1588" w:name="_Toc490062196"/>
      <w:bookmarkStart w:id="1589" w:name="_Toc513542223"/>
      <w:bookmarkStart w:id="1590" w:name="_Toc517271231"/>
      <w:bookmarkStart w:id="1591" w:name="_Toc517434490"/>
      <w:bookmarkStart w:id="1592" w:name="_Toc2861057"/>
      <w:r w:rsidRPr="00452C1A">
        <w:rPr>
          <w:rFonts w:ascii="Times New Roman" w:hAnsi="Times New Roman"/>
          <w:b/>
          <w:color w:val="000000"/>
          <w:sz w:val="24"/>
        </w:rPr>
        <w:t>2</w:t>
      </w:r>
      <w:r>
        <w:rPr>
          <w:rFonts w:ascii="Times New Roman" w:hAnsi="Times New Roman"/>
          <w:b/>
          <w:color w:val="000000"/>
          <w:sz w:val="24"/>
        </w:rPr>
        <w:t>.</w:t>
      </w:r>
      <w:r>
        <w:tab/>
      </w:r>
      <w:r>
        <w:rPr>
          <w:rFonts w:ascii="Times New Roman" w:hAnsi="Times New Roman"/>
          <w:b/>
          <w:color w:val="000000"/>
          <w:sz w:val="24"/>
        </w:rPr>
        <w:t>Programme et source de financement</w:t>
      </w:r>
      <w:bookmarkEnd w:id="1588"/>
      <w:bookmarkEnd w:id="1589"/>
      <w:bookmarkEnd w:id="1590"/>
      <w:bookmarkEnd w:id="1591"/>
      <w:bookmarkEnd w:id="1592"/>
    </w:p>
    <w:p w14:paraId="25A4FA0E" w14:textId="77777777" w:rsidR="00832F98" w:rsidRPr="005107DF" w:rsidRDefault="00832F98" w:rsidP="009D08CF">
      <w:pPr>
        <w:autoSpaceDE w:val="0"/>
        <w:autoSpaceDN w:val="0"/>
        <w:adjustRightInd w:val="0"/>
        <w:spacing w:before="120"/>
        <w:ind w:left="540" w:hanging="540"/>
        <w:rPr>
          <w:rFonts w:ascii="Times New Roman" w:hAnsi="Times New Roman" w:cs="Times New Roman"/>
          <w:bCs/>
          <w:sz w:val="24"/>
          <w:szCs w:val="24"/>
        </w:rPr>
      </w:pPr>
      <w:r>
        <w:rPr>
          <w:rFonts w:ascii="Times New Roman" w:hAnsi="Times New Roman"/>
          <w:b/>
          <w:sz w:val="24"/>
        </w:rPr>
        <w:t>Intitulé du projet:</w:t>
      </w:r>
      <w:r>
        <w:rPr>
          <w:rFonts w:ascii="Times New Roman" w:hAnsi="Times New Roman"/>
          <w:sz w:val="24"/>
        </w:rPr>
        <w:t xml:space="preserve">  &lt;Intitulé et numéro du projet de jumelage - référence du jumelage</w:t>
      </w:r>
      <w:r>
        <w:rPr>
          <w:rFonts w:ascii="Times New Roman" w:hAnsi="Times New Roman"/>
          <w:b/>
          <w:snapToGrid w:val="0"/>
          <w:color w:val="000000"/>
          <w:sz w:val="24"/>
        </w:rPr>
        <w:t xml:space="preserve"> &gt;</w:t>
      </w:r>
    </w:p>
    <w:p w14:paraId="4519B56A" w14:textId="77777777" w:rsidR="00832F98" w:rsidRPr="005107DF" w:rsidRDefault="00832F98" w:rsidP="009D08CF">
      <w:pPr>
        <w:widowControl w:val="0"/>
        <w:tabs>
          <w:tab w:val="left" w:pos="360"/>
          <w:tab w:val="left" w:pos="720"/>
          <w:tab w:val="left" w:pos="900"/>
        </w:tabs>
        <w:spacing w:before="100" w:after="100"/>
        <w:ind w:right="360"/>
        <w:jc w:val="both"/>
        <w:rPr>
          <w:rFonts w:ascii="Times New Roman" w:hAnsi="Times New Roman" w:cs="Times New Roman"/>
          <w:snapToGrid w:val="0"/>
          <w:color w:val="000000"/>
          <w:sz w:val="24"/>
          <w:szCs w:val="24"/>
        </w:rPr>
      </w:pPr>
      <w:r>
        <w:rPr>
          <w:rFonts w:ascii="Times New Roman" w:hAnsi="Times New Roman"/>
          <w:b/>
          <w:sz w:val="24"/>
        </w:rPr>
        <w:t>Nom du programme:</w:t>
      </w:r>
      <w:r>
        <w:rPr>
          <w:rFonts w:ascii="Times New Roman" w:hAnsi="Times New Roman"/>
          <w:sz w:val="24"/>
        </w:rPr>
        <w:t xml:space="preserve"> &lt;Intitulé de la décision de financement et numéro CRIS/du système comptable/en gestion directe ou indirecte, avec contrôle ex ante ou ex post, exercice budgétaire</w:t>
      </w:r>
      <w:r>
        <w:rPr>
          <w:rFonts w:ascii="Times New Roman" w:hAnsi="Times New Roman"/>
          <w:b/>
          <w:snapToGrid w:val="0"/>
          <w:color w:val="000000"/>
          <w:sz w:val="24"/>
        </w:rPr>
        <w:t>&gt;</w:t>
      </w:r>
    </w:p>
    <w:p w14:paraId="0651848B" w14:textId="77777777" w:rsidR="00832F98" w:rsidRPr="005107DF" w:rsidRDefault="00832F98" w:rsidP="009D08CF">
      <w:pPr>
        <w:tabs>
          <w:tab w:val="left" w:pos="360"/>
          <w:tab w:val="left" w:pos="720"/>
          <w:tab w:val="left" w:pos="900"/>
        </w:tabs>
        <w:outlineLvl w:val="0"/>
        <w:rPr>
          <w:rFonts w:ascii="Times New Roman" w:hAnsi="Times New Roman" w:cs="Times New Roman"/>
          <w:b/>
          <w:color w:val="000000"/>
          <w:sz w:val="24"/>
          <w:szCs w:val="24"/>
        </w:rPr>
      </w:pPr>
    </w:p>
    <w:p w14:paraId="00568498" w14:textId="77777777" w:rsidR="00832F98" w:rsidRPr="005107DF" w:rsidRDefault="00832F98" w:rsidP="009D08CF">
      <w:pPr>
        <w:tabs>
          <w:tab w:val="left" w:pos="360"/>
          <w:tab w:val="left" w:pos="720"/>
          <w:tab w:val="left" w:pos="900"/>
        </w:tabs>
        <w:outlineLvl w:val="0"/>
        <w:rPr>
          <w:rFonts w:ascii="Times New Roman" w:hAnsi="Times New Roman" w:cs="Times New Roman"/>
          <w:b/>
          <w:color w:val="000000"/>
          <w:sz w:val="24"/>
          <w:szCs w:val="24"/>
        </w:rPr>
      </w:pPr>
      <w:bookmarkStart w:id="1593" w:name="_Toc490062197"/>
      <w:bookmarkStart w:id="1594" w:name="_Toc513542224"/>
      <w:bookmarkStart w:id="1595" w:name="_Toc517271232"/>
      <w:bookmarkStart w:id="1596" w:name="_Toc517434491"/>
      <w:bookmarkStart w:id="1597" w:name="_Toc2861058"/>
      <w:r w:rsidRPr="00452C1A">
        <w:rPr>
          <w:rFonts w:ascii="Times New Roman" w:hAnsi="Times New Roman"/>
          <w:b/>
          <w:color w:val="000000"/>
          <w:sz w:val="24"/>
        </w:rPr>
        <w:t>3</w:t>
      </w:r>
      <w:r>
        <w:rPr>
          <w:rFonts w:ascii="Times New Roman" w:hAnsi="Times New Roman"/>
          <w:b/>
          <w:color w:val="000000"/>
          <w:sz w:val="24"/>
        </w:rPr>
        <w:t>.</w:t>
      </w:r>
      <w:r>
        <w:tab/>
      </w:r>
      <w:r>
        <w:rPr>
          <w:rFonts w:ascii="Times New Roman" w:hAnsi="Times New Roman"/>
          <w:b/>
          <w:color w:val="000000"/>
          <w:sz w:val="24"/>
        </w:rPr>
        <w:t>Nature des activités, zone géographique et durée du projet</w:t>
      </w:r>
      <w:bookmarkEnd w:id="1593"/>
      <w:bookmarkEnd w:id="1594"/>
      <w:bookmarkEnd w:id="1595"/>
      <w:bookmarkEnd w:id="1596"/>
      <w:bookmarkEnd w:id="1597"/>
    </w:p>
    <w:p w14:paraId="12296242" w14:textId="77777777" w:rsidR="00832F98" w:rsidRPr="005107DF" w:rsidRDefault="00832F98" w:rsidP="009D08CF">
      <w:pPr>
        <w:tabs>
          <w:tab w:val="num" w:pos="720"/>
        </w:tabs>
        <w:ind w:right="164"/>
        <w:jc w:val="both"/>
        <w:rPr>
          <w:rFonts w:ascii="Times New Roman" w:eastAsia="Calibri" w:hAnsi="Times New Roman" w:cs="Times New Roman"/>
          <w:sz w:val="24"/>
          <w:szCs w:val="24"/>
        </w:rPr>
      </w:pPr>
      <w:r>
        <w:tab/>
      </w:r>
      <w:r>
        <w:rPr>
          <w:rFonts w:ascii="Times New Roman" w:hAnsi="Times New Roman"/>
          <w:b/>
          <w:snapToGrid w:val="0"/>
          <w:color w:val="000000"/>
          <w:sz w:val="24"/>
        </w:rPr>
        <w:t>a)    Brève description (</w:t>
      </w:r>
      <w:r w:rsidRPr="00452C1A">
        <w:rPr>
          <w:rFonts w:ascii="Times New Roman" w:hAnsi="Times New Roman"/>
          <w:b/>
          <w:snapToGrid w:val="0"/>
          <w:color w:val="000000"/>
          <w:sz w:val="24"/>
        </w:rPr>
        <w:t>5</w:t>
      </w:r>
      <w:r>
        <w:rPr>
          <w:rFonts w:ascii="Times New Roman" w:hAnsi="Times New Roman"/>
          <w:b/>
          <w:snapToGrid w:val="0"/>
          <w:color w:val="000000"/>
          <w:sz w:val="24"/>
        </w:rPr>
        <w:t> lignes) des objectifs prévus:</w:t>
      </w:r>
      <w:r>
        <w:rPr>
          <w:rFonts w:ascii="Times New Roman" w:hAnsi="Times New Roman"/>
          <w:sz w:val="24"/>
        </w:rPr>
        <w:t xml:space="preserve"> </w:t>
      </w:r>
      <w:r>
        <w:rPr>
          <w:rFonts w:ascii="Times New Roman" w:hAnsi="Times New Roman"/>
          <w:b/>
          <w:snapToGrid w:val="0"/>
          <w:color w:val="000000"/>
          <w:sz w:val="24"/>
        </w:rPr>
        <w:t>&lt; &gt;</w:t>
      </w:r>
    </w:p>
    <w:p w14:paraId="58AB49CE" w14:textId="77777777" w:rsidR="00832F98" w:rsidRPr="005107DF" w:rsidRDefault="00832F98" w:rsidP="009D08CF">
      <w:pPr>
        <w:widowControl w:val="0"/>
        <w:tabs>
          <w:tab w:val="left" w:pos="360"/>
          <w:tab w:val="left" w:pos="720"/>
          <w:tab w:val="left" w:pos="900"/>
          <w:tab w:val="left" w:pos="1260"/>
        </w:tabs>
        <w:spacing w:before="100" w:after="100"/>
        <w:ind w:right="360"/>
        <w:rPr>
          <w:rFonts w:ascii="Times New Roman" w:hAnsi="Times New Roman" w:cs="Times New Roman"/>
          <w:b/>
          <w:snapToGrid w:val="0"/>
          <w:color w:val="000000"/>
          <w:sz w:val="24"/>
          <w:szCs w:val="24"/>
        </w:rPr>
      </w:pPr>
      <w:r>
        <w:tab/>
      </w:r>
      <w:r>
        <w:tab/>
      </w:r>
      <w:r>
        <w:rPr>
          <w:rFonts w:ascii="Times New Roman" w:hAnsi="Times New Roman"/>
          <w:b/>
          <w:snapToGrid w:val="0"/>
          <w:color w:val="000000"/>
          <w:sz w:val="24"/>
        </w:rPr>
        <w:t>(b)</w:t>
      </w:r>
      <w:r>
        <w:tab/>
      </w:r>
      <w:r>
        <w:rPr>
          <w:rFonts w:ascii="Times New Roman" w:hAnsi="Times New Roman"/>
          <w:b/>
          <w:snapToGrid w:val="0"/>
          <w:color w:val="000000"/>
          <w:sz w:val="24"/>
        </w:rPr>
        <w:t>Zone géographique: &lt;</w:t>
      </w:r>
      <w:r>
        <w:rPr>
          <w:rFonts w:ascii="Times New Roman" w:hAnsi="Times New Roman"/>
          <w:snapToGrid w:val="0"/>
          <w:color w:val="000000"/>
          <w:sz w:val="24"/>
        </w:rPr>
        <w:t>à préciser: Pays</w:t>
      </w:r>
      <w:r>
        <w:rPr>
          <w:rFonts w:ascii="Times New Roman" w:hAnsi="Times New Roman"/>
          <w:b/>
          <w:snapToGrid w:val="0"/>
          <w:color w:val="000000"/>
          <w:sz w:val="24"/>
        </w:rPr>
        <w:t>&gt;</w:t>
      </w:r>
    </w:p>
    <w:p w14:paraId="3E3B4526" w14:textId="77777777" w:rsidR="00832F98" w:rsidRPr="005107DF" w:rsidRDefault="00832F98" w:rsidP="009D08CF">
      <w:pPr>
        <w:widowControl w:val="0"/>
        <w:tabs>
          <w:tab w:val="left" w:pos="360"/>
          <w:tab w:val="left" w:pos="720"/>
          <w:tab w:val="left" w:pos="900"/>
          <w:tab w:val="left" w:pos="1260"/>
        </w:tabs>
        <w:spacing w:before="100" w:after="100"/>
        <w:ind w:left="1260" w:right="360" w:hanging="1260"/>
        <w:rPr>
          <w:rFonts w:ascii="Times New Roman" w:hAnsi="Times New Roman" w:cs="Times New Roman"/>
          <w:b/>
          <w:snapToGrid w:val="0"/>
          <w:color w:val="000000"/>
          <w:sz w:val="24"/>
          <w:szCs w:val="24"/>
        </w:rPr>
      </w:pPr>
      <w:r>
        <w:tab/>
      </w:r>
      <w:r>
        <w:tab/>
      </w:r>
      <w:r>
        <w:rPr>
          <w:rFonts w:ascii="Times New Roman" w:hAnsi="Times New Roman"/>
          <w:b/>
          <w:snapToGrid w:val="0"/>
          <w:color w:val="000000"/>
          <w:sz w:val="24"/>
        </w:rPr>
        <w:t>(c)</w:t>
      </w:r>
      <w:r>
        <w:tab/>
      </w:r>
      <w:r>
        <w:rPr>
          <w:rFonts w:ascii="Times New Roman" w:hAnsi="Times New Roman"/>
          <w:b/>
          <w:snapToGrid w:val="0"/>
          <w:color w:val="000000"/>
          <w:sz w:val="24"/>
        </w:rPr>
        <w:t xml:space="preserve">Durée maximale du projet: &gt; &lt; </w:t>
      </w:r>
      <w:r>
        <w:rPr>
          <w:rFonts w:ascii="Times New Roman" w:hAnsi="Times New Roman"/>
          <w:snapToGrid w:val="0"/>
          <w:color w:val="000000"/>
          <w:sz w:val="24"/>
        </w:rPr>
        <w:t xml:space="preserve">Durée maximale - À préciser - La durée maximale est de </w:t>
      </w:r>
      <w:r w:rsidRPr="00452C1A">
        <w:rPr>
          <w:rFonts w:ascii="Times New Roman" w:hAnsi="Times New Roman"/>
          <w:snapToGrid w:val="0"/>
          <w:color w:val="000000"/>
          <w:sz w:val="24"/>
        </w:rPr>
        <w:t>10</w:t>
      </w:r>
      <w:r>
        <w:rPr>
          <w:rFonts w:ascii="Times New Roman" w:hAnsi="Times New Roman"/>
          <w:snapToGrid w:val="0"/>
          <w:color w:val="000000"/>
          <w:sz w:val="24"/>
        </w:rPr>
        <w:t xml:space="preserve"> mois pour le jumelage léger</w:t>
      </w:r>
      <w:r>
        <w:rPr>
          <w:rFonts w:ascii="Times New Roman" w:hAnsi="Times New Roman"/>
          <w:b/>
          <w:snapToGrid w:val="0"/>
          <w:color w:val="000000"/>
          <w:sz w:val="24"/>
        </w:rPr>
        <w:t xml:space="preserve"> &gt;</w:t>
      </w:r>
    </w:p>
    <w:p w14:paraId="02D8A2A4" w14:textId="77777777" w:rsidR="00832F98" w:rsidRPr="005107DF" w:rsidRDefault="00832F98" w:rsidP="009D08CF">
      <w:pPr>
        <w:tabs>
          <w:tab w:val="left" w:pos="360"/>
          <w:tab w:val="left" w:pos="900"/>
        </w:tabs>
        <w:ind w:left="360" w:hanging="360"/>
        <w:outlineLvl w:val="0"/>
        <w:rPr>
          <w:rFonts w:ascii="Times New Roman" w:hAnsi="Times New Roman" w:cs="Times New Roman"/>
          <w:b/>
          <w:color w:val="000000"/>
          <w:sz w:val="24"/>
          <w:szCs w:val="24"/>
        </w:rPr>
      </w:pPr>
    </w:p>
    <w:p w14:paraId="4BE42D44" w14:textId="77777777" w:rsidR="00832F98" w:rsidRPr="005107DF" w:rsidRDefault="00832F98" w:rsidP="009D08CF">
      <w:pPr>
        <w:tabs>
          <w:tab w:val="left" w:pos="360"/>
          <w:tab w:val="left" w:pos="900"/>
        </w:tabs>
        <w:ind w:left="360" w:hanging="360"/>
        <w:outlineLvl w:val="0"/>
        <w:rPr>
          <w:rFonts w:ascii="Times New Roman" w:hAnsi="Times New Roman" w:cs="Times New Roman"/>
          <w:b/>
          <w:color w:val="000000"/>
          <w:sz w:val="24"/>
          <w:szCs w:val="24"/>
        </w:rPr>
      </w:pPr>
      <w:bookmarkStart w:id="1598" w:name="_Toc490062198"/>
      <w:bookmarkStart w:id="1599" w:name="_Toc513542225"/>
      <w:bookmarkStart w:id="1600" w:name="_Toc517271233"/>
      <w:bookmarkStart w:id="1601" w:name="_Toc517434492"/>
      <w:bookmarkStart w:id="1602" w:name="_Toc2861059"/>
      <w:r w:rsidRPr="00452C1A">
        <w:rPr>
          <w:rFonts w:ascii="Times New Roman" w:hAnsi="Times New Roman"/>
          <w:b/>
          <w:color w:val="000000"/>
          <w:sz w:val="24"/>
        </w:rPr>
        <w:t>4</w:t>
      </w:r>
      <w:r>
        <w:rPr>
          <w:rFonts w:ascii="Times New Roman" w:hAnsi="Times New Roman"/>
          <w:b/>
          <w:color w:val="000000"/>
          <w:sz w:val="24"/>
        </w:rPr>
        <w:t>.</w:t>
      </w:r>
      <w:r>
        <w:tab/>
      </w:r>
      <w:r>
        <w:rPr>
          <w:rFonts w:ascii="Times New Roman" w:hAnsi="Times New Roman"/>
          <w:b/>
          <w:color w:val="000000"/>
          <w:sz w:val="24"/>
        </w:rPr>
        <w:t>Montant total disponible pour cet appel à propositions</w:t>
      </w:r>
      <w:bookmarkEnd w:id="1598"/>
      <w:bookmarkEnd w:id="1599"/>
      <w:bookmarkEnd w:id="1600"/>
      <w:bookmarkEnd w:id="1601"/>
      <w:bookmarkEnd w:id="1602"/>
      <w:r>
        <w:rPr>
          <w:rFonts w:ascii="Times New Roman" w:hAnsi="Times New Roman"/>
          <w:b/>
          <w:color w:val="000000"/>
          <w:sz w:val="24"/>
        </w:rPr>
        <w:t xml:space="preserve"> </w:t>
      </w:r>
    </w:p>
    <w:p w14:paraId="0BA972AF" w14:textId="77777777" w:rsidR="00832F98" w:rsidRPr="005107DF" w:rsidRDefault="00832F98" w:rsidP="009D08CF">
      <w:pPr>
        <w:widowControl w:val="0"/>
        <w:tabs>
          <w:tab w:val="left" w:pos="360"/>
          <w:tab w:val="left" w:pos="900"/>
        </w:tabs>
        <w:spacing w:before="100" w:after="100"/>
        <w:ind w:left="360" w:right="360"/>
        <w:rPr>
          <w:rFonts w:ascii="Times New Roman" w:hAnsi="Times New Roman" w:cs="Times New Roman"/>
          <w:snapToGrid w:val="0"/>
          <w:color w:val="000000"/>
          <w:sz w:val="24"/>
          <w:szCs w:val="24"/>
        </w:rPr>
      </w:pPr>
      <w:r>
        <w:rPr>
          <w:rFonts w:ascii="Times New Roman" w:hAnsi="Times New Roman"/>
          <w:snapToGrid w:val="0"/>
          <w:color w:val="000000"/>
          <w:sz w:val="24"/>
        </w:rPr>
        <w:t xml:space="preserve">limite fixée à </w:t>
      </w:r>
      <w:r w:rsidRPr="00452C1A">
        <w:rPr>
          <w:rFonts w:ascii="Times New Roman" w:hAnsi="Times New Roman"/>
          <w:snapToGrid w:val="0"/>
          <w:color w:val="000000"/>
          <w:sz w:val="24"/>
        </w:rPr>
        <w:t>250</w:t>
      </w:r>
      <w:r>
        <w:rPr>
          <w:rFonts w:ascii="Times New Roman" w:hAnsi="Times New Roman"/>
          <w:snapToGrid w:val="0"/>
          <w:color w:val="000000"/>
          <w:sz w:val="24"/>
        </w:rPr>
        <w:t xml:space="preserve"> </w:t>
      </w:r>
      <w:r w:rsidRPr="00452C1A">
        <w:rPr>
          <w:rFonts w:ascii="Times New Roman" w:hAnsi="Times New Roman"/>
          <w:snapToGrid w:val="0"/>
          <w:color w:val="000000"/>
          <w:sz w:val="24"/>
        </w:rPr>
        <w:t>000</w:t>
      </w:r>
      <w:r>
        <w:rPr>
          <w:rFonts w:ascii="Times New Roman" w:hAnsi="Times New Roman"/>
          <w:snapToGrid w:val="0"/>
          <w:color w:val="000000"/>
          <w:sz w:val="24"/>
        </w:rPr>
        <w:t xml:space="preserve"> EUR maximum pour le jumelage léger&gt; EUR</w:t>
      </w:r>
    </w:p>
    <w:p w14:paraId="7EA15A0B" w14:textId="77777777" w:rsidR="00832F98" w:rsidRPr="005107DF" w:rsidRDefault="00832F98" w:rsidP="009D08CF">
      <w:pPr>
        <w:widowControl w:val="0"/>
        <w:spacing w:before="100" w:after="100"/>
        <w:ind w:left="360" w:right="360"/>
        <w:rPr>
          <w:rFonts w:ascii="Times New Roman" w:hAnsi="Times New Roman" w:cs="Times New Roman"/>
          <w:snapToGrid w:val="0"/>
          <w:color w:val="000000"/>
          <w:sz w:val="24"/>
          <w:szCs w:val="24"/>
        </w:rPr>
      </w:pPr>
    </w:p>
    <w:p w14:paraId="0F085A3A" w14:textId="77777777" w:rsidR="00832F98" w:rsidRPr="005107DF" w:rsidRDefault="00832F98" w:rsidP="009D08CF">
      <w:pPr>
        <w:rPr>
          <w:rFonts w:ascii="Times New Roman" w:hAnsi="Times New Roman" w:cs="Times New Roman"/>
          <w:color w:val="000000"/>
          <w:sz w:val="24"/>
          <w:szCs w:val="24"/>
        </w:rPr>
      </w:pPr>
      <w:r>
        <w:rPr>
          <w:rFonts w:ascii="Times New Roman" w:hAnsi="Times New Roman" w:cs="Times New Roman"/>
          <w:noProof/>
          <w:color w:val="000000"/>
          <w:sz w:val="24"/>
          <w:szCs w:val="24"/>
          <w:lang w:val="en-GB" w:eastAsia="en-GB" w:bidi="ar-SA"/>
        </w:rPr>
        <mc:AlternateContent>
          <mc:Choice Requires="wps">
            <w:drawing>
              <wp:anchor distT="0" distB="0" distL="114300" distR="114300" simplePos="0" relativeHeight="251671552" behindDoc="0" locked="0" layoutInCell="0" allowOverlap="1" wp14:anchorId="51B6FCBF" wp14:editId="740AFC02">
                <wp:simplePos x="0" y="0"/>
                <wp:positionH relativeFrom="column">
                  <wp:posOffset>0</wp:posOffset>
                </wp:positionH>
                <wp:positionV relativeFrom="paragraph">
                  <wp:posOffset>152400</wp:posOffset>
                </wp:positionV>
                <wp:extent cx="5943600" cy="635"/>
                <wp:effectExtent l="13970" t="32385" r="14605" b="1460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FDBC6" id="Straight Connector 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" o:allowincell="f" strokecolor="#d4d4d4" strokeweight="1.75pt">
                <v:shadow on="t" origin=".5,-.5" offset="0,-1pt"/>
              </v:line>
            </w:pict>
          </mc:Fallback>
        </mc:AlternateContent>
      </w:r>
    </w:p>
    <w:p w14:paraId="4E7A0ADB" w14:textId="77777777" w:rsidR="00832F98" w:rsidRPr="005107DF" w:rsidRDefault="00832F98" w:rsidP="009D08CF">
      <w:pPr>
        <w:ind w:left="360"/>
        <w:jc w:val="center"/>
        <w:rPr>
          <w:rFonts w:ascii="Times New Roman" w:hAnsi="Times New Roman" w:cs="Times New Roman"/>
          <w:b/>
          <w:color w:val="000000"/>
          <w:sz w:val="24"/>
          <w:szCs w:val="24"/>
        </w:rPr>
      </w:pPr>
      <w:r>
        <w:rPr>
          <w:rFonts w:ascii="Times New Roman" w:hAnsi="Times New Roman"/>
          <w:b/>
          <w:color w:val="000000"/>
          <w:sz w:val="24"/>
        </w:rPr>
        <w:t>CRITÈRES D’ÉLIGIBILITÉ</w:t>
      </w:r>
    </w:p>
    <w:p w14:paraId="3AFF5EB5" w14:textId="77777777" w:rsidR="00832F98" w:rsidRPr="005107DF" w:rsidRDefault="00832F98" w:rsidP="009D08CF">
      <w:pPr>
        <w:ind w:left="360" w:hanging="360"/>
        <w:outlineLvl w:val="0"/>
        <w:rPr>
          <w:rFonts w:ascii="Times New Roman" w:hAnsi="Times New Roman" w:cs="Times New Roman"/>
          <w:b/>
          <w:color w:val="000000"/>
          <w:sz w:val="24"/>
          <w:szCs w:val="24"/>
        </w:rPr>
      </w:pPr>
      <w:bookmarkStart w:id="1603" w:name="_Toc490062199"/>
      <w:bookmarkStart w:id="1604" w:name="_Toc513542226"/>
      <w:bookmarkStart w:id="1605" w:name="_Toc517271234"/>
      <w:bookmarkStart w:id="1606" w:name="_Toc517434493"/>
      <w:bookmarkStart w:id="1607" w:name="_Toc2861060"/>
      <w:r w:rsidRPr="00452C1A">
        <w:rPr>
          <w:rFonts w:ascii="Times New Roman" w:hAnsi="Times New Roman"/>
          <w:b/>
          <w:color w:val="000000"/>
          <w:sz w:val="24"/>
        </w:rPr>
        <w:t>5</w:t>
      </w:r>
      <w:r>
        <w:rPr>
          <w:rFonts w:ascii="Times New Roman" w:hAnsi="Times New Roman"/>
          <w:b/>
          <w:color w:val="000000"/>
          <w:sz w:val="24"/>
        </w:rPr>
        <w:t>.</w:t>
      </w:r>
      <w:r>
        <w:tab/>
      </w:r>
      <w:r>
        <w:rPr>
          <w:rFonts w:ascii="Times New Roman" w:hAnsi="Times New Roman"/>
          <w:b/>
          <w:color w:val="000000"/>
          <w:sz w:val="24"/>
        </w:rPr>
        <w:t>Éligibilité: qui peut présenter une proposition?</w:t>
      </w:r>
      <w:bookmarkEnd w:id="1603"/>
      <w:bookmarkEnd w:id="1604"/>
      <w:bookmarkEnd w:id="1605"/>
      <w:bookmarkEnd w:id="1606"/>
      <w:bookmarkEnd w:id="1607"/>
    </w:p>
    <w:p w14:paraId="71E115D9" w14:textId="77777777" w:rsidR="00832F98" w:rsidRPr="005107DF" w:rsidRDefault="00832F98" w:rsidP="009D08CF">
      <w:pPr>
        <w:widowControl w:val="0"/>
        <w:spacing w:before="100" w:after="100"/>
        <w:ind w:left="360" w:right="360"/>
        <w:jc w:val="both"/>
        <w:rPr>
          <w:rFonts w:ascii="Times New Roman" w:hAnsi="Times New Roman" w:cs="Times New Roman"/>
          <w:snapToGrid w:val="0"/>
          <w:color w:val="000000"/>
          <w:sz w:val="24"/>
          <w:szCs w:val="24"/>
        </w:rPr>
      </w:pPr>
      <w:r>
        <w:rPr>
          <w:rFonts w:ascii="Times New Roman" w:hAnsi="Times New Roman"/>
          <w:snapToGrid w:val="0"/>
          <w:color w:val="000000"/>
          <w:sz w:val="24"/>
        </w:rPr>
        <w:t xml:space="preserve">Les administrations publiques et les organismes mandatés des États membres de l’Union européenne tels qu’ils sont définis dans le manuel de jumelage sont seuls autorisés à présenter une proposition par l’intermédiaire des points de contact nationaux des États membres de l’Union européenne. </w:t>
      </w:r>
    </w:p>
    <w:p w14:paraId="63102CB3" w14:textId="77777777" w:rsidR="00832F98" w:rsidRPr="005107DF" w:rsidRDefault="00832F98" w:rsidP="009D08CF">
      <w:pPr>
        <w:widowControl w:val="0"/>
        <w:spacing w:before="100" w:after="100"/>
        <w:ind w:left="360" w:right="360"/>
        <w:jc w:val="both"/>
        <w:rPr>
          <w:rFonts w:ascii="Times New Roman" w:hAnsi="Times New Roman" w:cs="Times New Roman"/>
          <w:snapToGrid w:val="0"/>
          <w:color w:val="000000"/>
          <w:sz w:val="24"/>
          <w:szCs w:val="24"/>
        </w:rPr>
      </w:pPr>
      <w:r>
        <w:rPr>
          <w:rFonts w:ascii="Times New Roman" w:hAnsi="Times New Roman"/>
          <w:i/>
          <w:snapToGrid w:val="0"/>
          <w:color w:val="000000"/>
          <w:sz w:val="24"/>
        </w:rPr>
        <w:lastRenderedPageBreak/>
        <w:t>Pour les demandeurs du Royaume-Uni: veuillez noter que les critères d’éligibilité doivent être respectés pendant toute la durée de la convention de subvention. Si le Royaume-Uni se retire de l’Union au cours de la période de subvention sans conclure avec l’Union un accord veillant notamment à ce que les demandeurs du Royaume-Uni continuent à être éligibles, vous cesserez de recevoir un financement de l’Union (tout en continuant, si c’est possible, à participer au projet) ou serez contraint de quitter le projet sur la base de l’article </w:t>
      </w:r>
      <w:r w:rsidRPr="00452C1A">
        <w:rPr>
          <w:rFonts w:ascii="Times New Roman" w:hAnsi="Times New Roman"/>
          <w:i/>
          <w:snapToGrid w:val="0"/>
          <w:color w:val="000000"/>
          <w:sz w:val="24"/>
        </w:rPr>
        <w:t>12</w:t>
      </w:r>
      <w:r>
        <w:rPr>
          <w:rFonts w:ascii="Times New Roman" w:hAnsi="Times New Roman"/>
          <w:i/>
          <w:snapToGrid w:val="0"/>
          <w:color w:val="000000"/>
          <w:sz w:val="24"/>
        </w:rPr>
        <w:t>.</w:t>
      </w:r>
      <w:r w:rsidRPr="00452C1A">
        <w:rPr>
          <w:rFonts w:ascii="Times New Roman" w:hAnsi="Times New Roman"/>
          <w:i/>
          <w:snapToGrid w:val="0"/>
          <w:color w:val="000000"/>
          <w:sz w:val="24"/>
        </w:rPr>
        <w:t>2</w:t>
      </w:r>
      <w:r>
        <w:rPr>
          <w:rFonts w:ascii="Times New Roman" w:hAnsi="Times New Roman"/>
          <w:i/>
          <w:snapToGrid w:val="0"/>
          <w:color w:val="000000"/>
          <w:sz w:val="24"/>
        </w:rPr>
        <w:t xml:space="preserve"> des conditions générales de la convention de subvention.</w:t>
      </w:r>
    </w:p>
    <w:p w14:paraId="7E8FCD6E" w14:textId="77777777" w:rsidR="00832F98" w:rsidRPr="005107DF" w:rsidRDefault="00832F98" w:rsidP="009D08CF">
      <w:pPr>
        <w:widowControl w:val="0"/>
        <w:spacing w:before="100" w:after="100"/>
        <w:ind w:left="360" w:right="360"/>
        <w:jc w:val="both"/>
        <w:rPr>
          <w:rFonts w:ascii="Times New Roman" w:hAnsi="Times New Roman" w:cs="Times New Roman"/>
          <w:b/>
          <w:color w:val="000000"/>
          <w:sz w:val="24"/>
          <w:szCs w:val="24"/>
        </w:rPr>
      </w:pPr>
    </w:p>
    <w:p w14:paraId="6DC8DF35" w14:textId="77777777" w:rsidR="00832F98" w:rsidRPr="005107DF" w:rsidRDefault="00832F98" w:rsidP="009D08CF">
      <w:pPr>
        <w:ind w:left="360"/>
        <w:jc w:val="center"/>
        <w:rPr>
          <w:rFonts w:ascii="Times New Roman" w:hAnsi="Times New Roman" w:cs="Times New Roman"/>
          <w:b/>
          <w:color w:val="000000"/>
          <w:sz w:val="24"/>
          <w:szCs w:val="24"/>
        </w:rPr>
      </w:pPr>
      <w:r>
        <w:rPr>
          <w:rFonts w:ascii="Times New Roman" w:hAnsi="Times New Roman"/>
          <w:b/>
          <w:color w:val="000000"/>
          <w:sz w:val="24"/>
        </w:rPr>
        <w:t>CALENDRIER PRÉVISIONNEL</w:t>
      </w:r>
    </w:p>
    <w:p w14:paraId="4E27E3F9" w14:textId="77777777" w:rsidR="00832F98" w:rsidRPr="005107DF" w:rsidRDefault="00832F98" w:rsidP="009D08CF">
      <w:pPr>
        <w:ind w:left="360" w:hanging="360"/>
        <w:outlineLvl w:val="0"/>
        <w:rPr>
          <w:rFonts w:ascii="Times New Roman" w:hAnsi="Times New Roman" w:cs="Times New Roman"/>
          <w:b/>
          <w:color w:val="000000"/>
          <w:sz w:val="24"/>
          <w:szCs w:val="24"/>
        </w:rPr>
      </w:pPr>
      <w:bookmarkStart w:id="1608" w:name="_Toc490062200"/>
      <w:bookmarkStart w:id="1609" w:name="_Toc513542227"/>
      <w:bookmarkStart w:id="1610" w:name="_Toc517271235"/>
      <w:bookmarkStart w:id="1611" w:name="_Toc517434494"/>
      <w:bookmarkStart w:id="1612" w:name="_Toc2861061"/>
      <w:r w:rsidRPr="00452C1A">
        <w:rPr>
          <w:rFonts w:ascii="Times New Roman" w:hAnsi="Times New Roman"/>
          <w:b/>
          <w:color w:val="000000"/>
          <w:sz w:val="24"/>
        </w:rPr>
        <w:t>6</w:t>
      </w:r>
      <w:r>
        <w:rPr>
          <w:rFonts w:ascii="Times New Roman" w:hAnsi="Times New Roman"/>
          <w:b/>
          <w:color w:val="000000"/>
          <w:sz w:val="24"/>
        </w:rPr>
        <w:t>.</w:t>
      </w:r>
      <w:r>
        <w:tab/>
      </w:r>
      <w:r>
        <w:rPr>
          <w:rFonts w:ascii="Times New Roman" w:hAnsi="Times New Roman"/>
          <w:b/>
          <w:color w:val="000000"/>
          <w:sz w:val="24"/>
        </w:rPr>
        <w:t>Date prévisionnelle de notification des résultats du processus d’attribution</w:t>
      </w:r>
      <w:bookmarkEnd w:id="1608"/>
      <w:bookmarkEnd w:id="1609"/>
      <w:bookmarkEnd w:id="1610"/>
      <w:bookmarkEnd w:id="1611"/>
      <w:bookmarkEnd w:id="1612"/>
    </w:p>
    <w:p w14:paraId="6B619AB3" w14:textId="77777777" w:rsidR="00832F98" w:rsidRPr="005107DF" w:rsidRDefault="00832F98" w:rsidP="009D08CF">
      <w:pPr>
        <w:ind w:left="360" w:hanging="360"/>
        <w:outlineLvl w:val="0"/>
        <w:rPr>
          <w:rFonts w:ascii="Times New Roman" w:hAnsi="Times New Roman" w:cs="Times New Roman"/>
          <w:b/>
          <w:color w:val="000000"/>
          <w:sz w:val="24"/>
          <w:szCs w:val="24"/>
        </w:rPr>
      </w:pPr>
      <w:bookmarkStart w:id="1613" w:name="_Toc490062201"/>
      <w:bookmarkStart w:id="1614" w:name="_Toc513542228"/>
      <w:bookmarkStart w:id="1615" w:name="_Toc517271236"/>
      <w:bookmarkStart w:id="1616" w:name="_Toc517434495"/>
      <w:bookmarkStart w:id="1617" w:name="_Toc2861062"/>
      <w:r>
        <w:rPr>
          <w:rFonts w:ascii="Times New Roman" w:hAnsi="Times New Roman"/>
          <w:b/>
          <w:snapToGrid w:val="0"/>
          <w:color w:val="000000"/>
          <w:sz w:val="24"/>
        </w:rPr>
        <w:t>&lt;</w:t>
      </w:r>
      <w:r>
        <w:rPr>
          <w:rFonts w:ascii="Times New Roman" w:hAnsi="Times New Roman"/>
          <w:snapToGrid w:val="0"/>
          <w:color w:val="000000"/>
          <w:sz w:val="24"/>
        </w:rPr>
        <w:t>à préciser</w:t>
      </w:r>
      <w:r>
        <w:rPr>
          <w:rFonts w:ascii="Times New Roman" w:hAnsi="Times New Roman"/>
          <w:b/>
          <w:snapToGrid w:val="0"/>
          <w:color w:val="000000"/>
          <w:sz w:val="24"/>
        </w:rPr>
        <w:t>&gt;</w:t>
      </w:r>
      <w:bookmarkEnd w:id="1613"/>
      <w:bookmarkEnd w:id="1614"/>
      <w:bookmarkEnd w:id="1615"/>
      <w:bookmarkEnd w:id="1616"/>
      <w:bookmarkEnd w:id="1617"/>
    </w:p>
    <w:p w14:paraId="1A78BDAA" w14:textId="77777777" w:rsidR="00832F98" w:rsidRPr="005107DF" w:rsidRDefault="00832F98" w:rsidP="009D08CF">
      <w:pPr>
        <w:rPr>
          <w:rFonts w:ascii="Times New Roman" w:hAnsi="Times New Roman" w:cs="Times New Roman"/>
          <w:color w:val="000000"/>
          <w:sz w:val="24"/>
          <w:szCs w:val="24"/>
        </w:rPr>
      </w:pPr>
      <w:r>
        <w:rPr>
          <w:rFonts w:ascii="Times New Roman" w:hAnsi="Times New Roman" w:cs="Times New Roman"/>
          <w:noProof/>
          <w:color w:val="000000"/>
          <w:sz w:val="24"/>
          <w:szCs w:val="24"/>
          <w:lang w:val="en-GB" w:eastAsia="en-GB" w:bidi="ar-SA"/>
        </w:rPr>
        <mc:AlternateContent>
          <mc:Choice Requires="wps">
            <w:drawing>
              <wp:anchor distT="0" distB="0" distL="114300" distR="114300" simplePos="0" relativeHeight="251672576" behindDoc="0" locked="0" layoutInCell="0" allowOverlap="1" wp14:anchorId="6472C3A6" wp14:editId="21C898F0">
                <wp:simplePos x="0" y="0"/>
                <wp:positionH relativeFrom="column">
                  <wp:posOffset>0</wp:posOffset>
                </wp:positionH>
                <wp:positionV relativeFrom="paragraph">
                  <wp:posOffset>152400</wp:posOffset>
                </wp:positionV>
                <wp:extent cx="5943600" cy="635"/>
                <wp:effectExtent l="13970" t="28575" r="14605" b="1841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FE76C" id="Straight Connector 1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" o:allowincell="f" strokecolor="#d4d4d4" strokeweight="1.75pt">
                <v:shadow on="t" origin=".5,-.5" offset="0,-1pt"/>
              </v:line>
            </w:pict>
          </mc:Fallback>
        </mc:AlternateContent>
      </w:r>
    </w:p>
    <w:p w14:paraId="2510E752" w14:textId="77777777" w:rsidR="00832F98" w:rsidRPr="005107DF" w:rsidRDefault="00832F98" w:rsidP="009D08CF">
      <w:pPr>
        <w:ind w:left="360"/>
        <w:jc w:val="center"/>
        <w:rPr>
          <w:rFonts w:ascii="Times New Roman" w:hAnsi="Times New Roman" w:cs="Times New Roman"/>
          <w:b/>
          <w:color w:val="000000"/>
          <w:sz w:val="24"/>
          <w:szCs w:val="24"/>
        </w:rPr>
      </w:pPr>
      <w:r>
        <w:rPr>
          <w:rFonts w:ascii="Times New Roman" w:hAnsi="Times New Roman"/>
          <w:b/>
          <w:color w:val="000000"/>
          <w:sz w:val="24"/>
        </w:rPr>
        <w:t>CRITÈRES DE SÉLECTION ET D’ATTRIBUTION</w:t>
      </w:r>
    </w:p>
    <w:p w14:paraId="1486EFFC" w14:textId="77777777" w:rsidR="00832F98" w:rsidRPr="005107DF" w:rsidRDefault="00832F98" w:rsidP="009D08CF">
      <w:pPr>
        <w:ind w:left="360" w:hanging="360"/>
        <w:outlineLvl w:val="0"/>
        <w:rPr>
          <w:rFonts w:ascii="Times New Roman" w:hAnsi="Times New Roman" w:cs="Times New Roman"/>
          <w:b/>
          <w:color w:val="000000"/>
          <w:sz w:val="24"/>
          <w:szCs w:val="24"/>
        </w:rPr>
      </w:pPr>
      <w:bookmarkStart w:id="1618" w:name="_Toc490062202"/>
      <w:bookmarkStart w:id="1619" w:name="_Toc513542229"/>
      <w:bookmarkStart w:id="1620" w:name="_Toc517271237"/>
      <w:bookmarkStart w:id="1621" w:name="_Toc517434496"/>
      <w:bookmarkStart w:id="1622" w:name="_Toc2861063"/>
      <w:r w:rsidRPr="00452C1A">
        <w:rPr>
          <w:rFonts w:ascii="Times New Roman" w:hAnsi="Times New Roman"/>
          <w:b/>
          <w:color w:val="000000"/>
          <w:sz w:val="24"/>
        </w:rPr>
        <w:t>7</w:t>
      </w:r>
      <w:r>
        <w:rPr>
          <w:rFonts w:ascii="Times New Roman" w:hAnsi="Times New Roman"/>
          <w:b/>
          <w:color w:val="000000"/>
          <w:sz w:val="24"/>
        </w:rPr>
        <w:t>.</w:t>
      </w:r>
      <w:r>
        <w:tab/>
      </w:r>
      <w:r>
        <w:rPr>
          <w:rFonts w:ascii="Times New Roman" w:hAnsi="Times New Roman"/>
          <w:b/>
          <w:color w:val="000000"/>
          <w:sz w:val="24"/>
        </w:rPr>
        <w:t>Critères de sélection et d’attribution</w:t>
      </w:r>
      <w:bookmarkEnd w:id="1618"/>
      <w:bookmarkEnd w:id="1619"/>
      <w:bookmarkEnd w:id="1620"/>
      <w:bookmarkEnd w:id="1621"/>
      <w:bookmarkEnd w:id="1622"/>
    </w:p>
    <w:p w14:paraId="17B15D0F" w14:textId="77777777" w:rsidR="00832F98" w:rsidRPr="005107DF" w:rsidRDefault="00832F98" w:rsidP="009D08CF">
      <w:pPr>
        <w:jc w:val="both"/>
        <w:rPr>
          <w:rFonts w:ascii="Times New Roman" w:eastAsia="Calibri" w:hAnsi="Times New Roman" w:cs="Times New Roman"/>
          <w:b/>
          <w:color w:val="000000"/>
          <w:sz w:val="24"/>
          <w:szCs w:val="24"/>
        </w:rPr>
      </w:pPr>
      <w:r>
        <w:rPr>
          <w:rFonts w:ascii="Times New Roman" w:hAnsi="Times New Roman"/>
          <w:color w:val="000000"/>
          <w:sz w:val="24"/>
        </w:rPr>
        <w:t>Les</w:t>
      </w:r>
      <w:r>
        <w:t xml:space="preserve"> </w:t>
      </w:r>
      <w:r>
        <w:rPr>
          <w:rFonts w:ascii="Times New Roman" w:hAnsi="Times New Roman"/>
          <w:b/>
          <w:color w:val="000000"/>
          <w:sz w:val="24"/>
        </w:rPr>
        <w:t xml:space="preserve">critères de sélection </w:t>
      </w:r>
      <w:r>
        <w:rPr>
          <w:rFonts w:ascii="Times New Roman" w:hAnsi="Times New Roman"/>
          <w:color w:val="000000"/>
          <w:sz w:val="24"/>
        </w:rPr>
        <w:t>servent à évaluer la</w:t>
      </w:r>
      <w:r>
        <w:rPr>
          <w:rFonts w:ascii="Times New Roman" w:hAnsi="Times New Roman"/>
          <w:b/>
          <w:color w:val="000000"/>
          <w:sz w:val="24"/>
        </w:rPr>
        <w:t xml:space="preserve"> capacité opérationnelle du chef de projet de l’État membre et des experts à court terme </w:t>
      </w:r>
      <w:r>
        <w:rPr>
          <w:rFonts w:ascii="Times New Roman" w:hAnsi="Times New Roman"/>
          <w:color w:val="000000"/>
          <w:sz w:val="24"/>
        </w:rPr>
        <w:t>mentionnés dans la proposition; l’appréciation est exprimée de manière positive ou négative (</w:t>
      </w:r>
      <w:r>
        <w:rPr>
          <w:rFonts w:ascii="Times New Roman" w:hAnsi="Times New Roman"/>
          <w:b/>
          <w:color w:val="000000"/>
          <w:sz w:val="24"/>
        </w:rPr>
        <w:t>oui/non</w:t>
      </w:r>
      <w:r>
        <w:rPr>
          <w:rFonts w:ascii="Times New Roman" w:hAnsi="Times New Roman"/>
          <w:color w:val="000000"/>
          <w:sz w:val="24"/>
        </w:rPr>
        <w:t>) et il suffit qu’un seul critère donne lieu à une évaluation négative pour exclure la proposition.</w:t>
      </w:r>
      <w:r>
        <w:rPr>
          <w:rFonts w:ascii="Times New Roman" w:hAnsi="Times New Roman"/>
          <w:b/>
          <w:color w:val="000000"/>
          <w:sz w:val="24"/>
        </w:rPr>
        <w:t xml:space="preserve"> </w:t>
      </w:r>
    </w:p>
    <w:p w14:paraId="0A4BB902" w14:textId="77777777" w:rsidR="00832F98" w:rsidRPr="005107DF" w:rsidRDefault="00832F98" w:rsidP="009D08CF">
      <w:pPr>
        <w:jc w:val="both"/>
        <w:rPr>
          <w:rFonts w:ascii="Times New Roman" w:eastAsia="Calibri" w:hAnsi="Times New Roman" w:cs="Times New Roman"/>
          <w:b/>
          <w:color w:val="000000"/>
          <w:sz w:val="24"/>
          <w:szCs w:val="24"/>
          <w:u w:val="single"/>
        </w:rPr>
      </w:pPr>
      <w:r>
        <w:rPr>
          <w:rFonts w:ascii="Times New Roman" w:hAnsi="Times New Roman"/>
          <w:color w:val="000000"/>
          <w:sz w:val="24"/>
        </w:rPr>
        <w:t>Les</w:t>
      </w:r>
      <w:r>
        <w:t xml:space="preserve"> </w:t>
      </w:r>
      <w:r>
        <w:rPr>
          <w:rFonts w:ascii="Times New Roman" w:hAnsi="Times New Roman"/>
          <w:b/>
          <w:color w:val="000000"/>
          <w:sz w:val="24"/>
        </w:rPr>
        <w:t>critères d’attribution</w:t>
      </w:r>
      <w:r>
        <w:t xml:space="preserve"> </w:t>
      </w:r>
      <w:r>
        <w:rPr>
          <w:rFonts w:ascii="Times New Roman" w:hAnsi="Times New Roman"/>
          <w:color w:val="000000"/>
          <w:sz w:val="24"/>
        </w:rPr>
        <w:t>portent sur</w:t>
      </w:r>
      <w:r>
        <w:t xml:space="preserve"> </w:t>
      </w:r>
      <w:r>
        <w:rPr>
          <w:rFonts w:ascii="Times New Roman" w:hAnsi="Times New Roman"/>
          <w:b/>
          <w:color w:val="000000"/>
          <w:sz w:val="24"/>
        </w:rPr>
        <w:t>l’intérêt des principaux aspects à prendre en considération</w:t>
      </w:r>
      <w:r>
        <w:t xml:space="preserve"> </w:t>
      </w:r>
      <w:r>
        <w:rPr>
          <w:rFonts w:ascii="Times New Roman" w:hAnsi="Times New Roman"/>
          <w:color w:val="000000"/>
          <w:sz w:val="24"/>
        </w:rPr>
        <w:t xml:space="preserve">dans la proposition et sont évalués en appliquant un </w:t>
      </w:r>
      <w:r>
        <w:rPr>
          <w:rFonts w:ascii="Times New Roman" w:hAnsi="Times New Roman"/>
          <w:b/>
          <w:color w:val="000000"/>
          <w:sz w:val="24"/>
        </w:rPr>
        <w:t xml:space="preserve">système de notation (de </w:t>
      </w:r>
      <w:r w:rsidRPr="00452C1A">
        <w:rPr>
          <w:rFonts w:ascii="Times New Roman" w:hAnsi="Times New Roman"/>
          <w:b/>
          <w:color w:val="000000"/>
          <w:sz w:val="24"/>
        </w:rPr>
        <w:t>1</w:t>
      </w:r>
      <w:r>
        <w:rPr>
          <w:rFonts w:ascii="Times New Roman" w:hAnsi="Times New Roman"/>
          <w:b/>
          <w:color w:val="000000"/>
          <w:sz w:val="24"/>
        </w:rPr>
        <w:t xml:space="preserve"> à </w:t>
      </w:r>
      <w:r w:rsidRPr="00452C1A">
        <w:rPr>
          <w:rFonts w:ascii="Times New Roman" w:hAnsi="Times New Roman"/>
          <w:b/>
          <w:color w:val="000000"/>
          <w:sz w:val="24"/>
        </w:rPr>
        <w:t>5</w:t>
      </w:r>
      <w:r>
        <w:rPr>
          <w:rFonts w:ascii="Times New Roman" w:hAnsi="Times New Roman"/>
          <w:b/>
          <w:color w:val="000000"/>
          <w:sz w:val="24"/>
        </w:rPr>
        <w:t>):</w:t>
      </w:r>
    </w:p>
    <w:p w14:paraId="160529D1" w14:textId="77777777" w:rsidR="00832F98" w:rsidRPr="005107DF" w:rsidRDefault="00832F98" w:rsidP="009D08CF">
      <w:pPr>
        <w:jc w:val="both"/>
        <w:rPr>
          <w:rFonts w:ascii="Times New Roman" w:hAnsi="Times New Roman" w:cs="Times New Roman"/>
          <w:snapToGrid w:val="0"/>
          <w:color w:val="000000"/>
          <w:sz w:val="24"/>
          <w:szCs w:val="24"/>
        </w:rPr>
      </w:pPr>
      <w:r>
        <w:rPr>
          <w:rFonts w:ascii="Times New Roman" w:hAnsi="Times New Roman"/>
          <w:snapToGrid w:val="0"/>
          <w:color w:val="000000"/>
          <w:sz w:val="24"/>
        </w:rPr>
        <w:t>La sélection d’un État membre et l’attribution d’un contrat de jumelage se fonderont sur l’évaluation de plusieurs aspects qualitatifs incluant, entre autres, la méthodologie proposée, l’expérience du chef de projet proposé, la structure institutionnelle et la capacité de l’administration et la présentation de l’État membre, etc.</w:t>
      </w:r>
    </w:p>
    <w:p w14:paraId="5F21F138" w14:textId="77777777" w:rsidR="00832F98" w:rsidRPr="005107DF" w:rsidRDefault="00832F98" w:rsidP="009D08CF">
      <w:pPr>
        <w:widowControl w:val="0"/>
        <w:spacing w:before="100" w:after="100"/>
        <w:ind w:right="360"/>
        <w:jc w:val="both"/>
        <w:rPr>
          <w:rFonts w:ascii="Times New Roman" w:hAnsi="Times New Roman" w:cs="Times New Roman"/>
          <w:snapToGrid w:val="0"/>
          <w:color w:val="000000"/>
          <w:sz w:val="24"/>
          <w:szCs w:val="24"/>
        </w:rPr>
      </w:pPr>
      <w:r>
        <w:rPr>
          <w:rFonts w:ascii="Times New Roman" w:hAnsi="Times New Roman"/>
          <w:snapToGrid w:val="0"/>
          <w:color w:val="000000"/>
          <w:sz w:val="24"/>
        </w:rPr>
        <w:t>Voir l’annexe C</w:t>
      </w:r>
      <w:r w:rsidRPr="00452C1A">
        <w:rPr>
          <w:rFonts w:ascii="Times New Roman" w:hAnsi="Times New Roman"/>
          <w:snapToGrid w:val="0"/>
          <w:color w:val="000000"/>
          <w:sz w:val="24"/>
        </w:rPr>
        <w:t>6</w:t>
      </w:r>
      <w:r>
        <w:rPr>
          <w:rFonts w:ascii="Times New Roman" w:hAnsi="Times New Roman"/>
          <w:snapToGrid w:val="0"/>
          <w:color w:val="000000"/>
          <w:sz w:val="24"/>
        </w:rPr>
        <w:t>bis du manuel de jumelage:  Grille de conformité administrative et d’éligibilité pour le jumelage léger et l’annexe C</w:t>
      </w:r>
      <w:r w:rsidRPr="00452C1A">
        <w:rPr>
          <w:rFonts w:ascii="Times New Roman" w:hAnsi="Times New Roman"/>
          <w:snapToGrid w:val="0"/>
          <w:color w:val="000000"/>
          <w:sz w:val="24"/>
        </w:rPr>
        <w:t>8</w:t>
      </w:r>
      <w:r>
        <w:rPr>
          <w:rFonts w:ascii="Times New Roman" w:hAnsi="Times New Roman"/>
          <w:snapToGrid w:val="0"/>
          <w:color w:val="000000"/>
          <w:sz w:val="24"/>
        </w:rPr>
        <w:t xml:space="preserve"> du manuel de jumelage: Fiche d’information pour la sélection des propositions de jumelage léger. </w:t>
      </w:r>
    </w:p>
    <w:p w14:paraId="342FD752" w14:textId="77777777" w:rsidR="00832F98" w:rsidRPr="005107DF" w:rsidRDefault="00832F98" w:rsidP="009D08CF">
      <w:pPr>
        <w:rPr>
          <w:rFonts w:ascii="Times New Roman" w:hAnsi="Times New Roman" w:cs="Times New Roman"/>
          <w:color w:val="000000"/>
          <w:sz w:val="24"/>
          <w:szCs w:val="24"/>
        </w:rPr>
      </w:pPr>
      <w:r>
        <w:rPr>
          <w:rFonts w:ascii="Times New Roman" w:hAnsi="Times New Roman" w:cs="Times New Roman"/>
          <w:noProof/>
          <w:color w:val="000000"/>
          <w:sz w:val="24"/>
          <w:szCs w:val="24"/>
          <w:lang w:val="en-GB" w:eastAsia="en-GB" w:bidi="ar-SA"/>
        </w:rPr>
        <mc:AlternateContent>
          <mc:Choice Requires="wps">
            <w:drawing>
              <wp:anchor distT="0" distB="0" distL="114300" distR="114300" simplePos="0" relativeHeight="251673600" behindDoc="0" locked="0" layoutInCell="0" allowOverlap="1" wp14:anchorId="279FFCAA" wp14:editId="3FACD88E">
                <wp:simplePos x="0" y="0"/>
                <wp:positionH relativeFrom="column">
                  <wp:posOffset>0</wp:posOffset>
                </wp:positionH>
                <wp:positionV relativeFrom="paragraph">
                  <wp:posOffset>152400</wp:posOffset>
                </wp:positionV>
                <wp:extent cx="5943600" cy="635"/>
                <wp:effectExtent l="13970" t="24130" r="14605" b="1333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CA31D" id="Straight Connector 2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" o:allowincell="f" strokecolor="#d4d4d4" strokeweight="1.75pt">
                <v:shadow on="t" origin=".5,-.5" offset="0,-1pt"/>
              </v:line>
            </w:pict>
          </mc:Fallback>
        </mc:AlternateContent>
      </w:r>
    </w:p>
    <w:p w14:paraId="2A6446CC" w14:textId="77777777" w:rsidR="00832F98" w:rsidRPr="005107DF" w:rsidRDefault="00832F98" w:rsidP="009D08CF">
      <w:pPr>
        <w:ind w:left="360"/>
        <w:jc w:val="center"/>
        <w:rPr>
          <w:rFonts w:ascii="Times New Roman" w:hAnsi="Times New Roman" w:cs="Times New Roman"/>
          <w:b/>
          <w:color w:val="000000"/>
          <w:sz w:val="24"/>
          <w:szCs w:val="24"/>
        </w:rPr>
      </w:pPr>
      <w:r>
        <w:rPr>
          <w:rFonts w:ascii="Times New Roman" w:hAnsi="Times New Roman"/>
          <w:b/>
          <w:color w:val="000000"/>
          <w:sz w:val="24"/>
        </w:rPr>
        <w:t>PRÉSENTATION D’UNE DEMANDE</w:t>
      </w:r>
    </w:p>
    <w:p w14:paraId="63FCCA10" w14:textId="77777777" w:rsidR="00832F98" w:rsidRPr="005107DF" w:rsidRDefault="00832F98" w:rsidP="009D08CF">
      <w:pPr>
        <w:ind w:left="540" w:hanging="540"/>
        <w:jc w:val="both"/>
        <w:outlineLvl w:val="0"/>
        <w:rPr>
          <w:rFonts w:ascii="Times New Roman" w:hAnsi="Times New Roman" w:cs="Times New Roman"/>
          <w:b/>
          <w:color w:val="000000"/>
          <w:sz w:val="24"/>
          <w:szCs w:val="24"/>
        </w:rPr>
      </w:pPr>
      <w:bookmarkStart w:id="1623" w:name="_Toc490062203"/>
      <w:bookmarkStart w:id="1624" w:name="_Toc513542230"/>
      <w:bookmarkStart w:id="1625" w:name="_Toc517271238"/>
      <w:bookmarkStart w:id="1626" w:name="_Toc517434497"/>
      <w:bookmarkStart w:id="1627" w:name="_Toc2861064"/>
      <w:r w:rsidRPr="00452C1A">
        <w:rPr>
          <w:rFonts w:ascii="Times New Roman" w:hAnsi="Times New Roman"/>
          <w:b/>
          <w:color w:val="000000"/>
          <w:sz w:val="24"/>
        </w:rPr>
        <w:t>8</w:t>
      </w:r>
      <w:r>
        <w:rPr>
          <w:rFonts w:ascii="Times New Roman" w:hAnsi="Times New Roman"/>
          <w:b/>
          <w:color w:val="000000"/>
          <w:sz w:val="24"/>
        </w:rPr>
        <w:t>.</w:t>
      </w:r>
      <w:r>
        <w:tab/>
      </w:r>
      <w:r>
        <w:rPr>
          <w:rFonts w:ascii="Times New Roman" w:hAnsi="Times New Roman"/>
          <w:b/>
          <w:color w:val="000000"/>
          <w:sz w:val="24"/>
        </w:rPr>
        <w:t>Proposition de jumelage et renseignements à fournir</w:t>
      </w:r>
      <w:bookmarkEnd w:id="1623"/>
      <w:bookmarkEnd w:id="1624"/>
      <w:bookmarkEnd w:id="1625"/>
      <w:bookmarkEnd w:id="1626"/>
      <w:bookmarkEnd w:id="1627"/>
    </w:p>
    <w:p w14:paraId="73E0AC5D" w14:textId="77777777" w:rsidR="00832F98" w:rsidRPr="005107DF" w:rsidRDefault="00832F98" w:rsidP="009D08CF">
      <w:pPr>
        <w:widowControl w:val="0"/>
        <w:spacing w:before="100" w:after="100"/>
        <w:ind w:left="540" w:right="360"/>
        <w:jc w:val="both"/>
        <w:rPr>
          <w:rFonts w:ascii="Times New Roman" w:hAnsi="Times New Roman" w:cs="Times New Roman"/>
          <w:snapToGrid w:val="0"/>
          <w:color w:val="000000"/>
          <w:sz w:val="24"/>
          <w:szCs w:val="24"/>
        </w:rPr>
      </w:pPr>
      <w:r>
        <w:rPr>
          <w:rFonts w:ascii="Times New Roman" w:hAnsi="Times New Roman"/>
          <w:snapToGrid w:val="0"/>
          <w:color w:val="000000"/>
          <w:sz w:val="24"/>
        </w:rPr>
        <w:t xml:space="preserve">Les propositions de jumelage doivent être présentées par l’administration de l’État membre aux </w:t>
      </w:r>
      <w:r>
        <w:rPr>
          <w:rFonts w:ascii="Times New Roman" w:hAnsi="Times New Roman"/>
          <w:b/>
          <w:snapToGrid w:val="0"/>
          <w:color w:val="000000"/>
          <w:sz w:val="24"/>
        </w:rPr>
        <w:t>points de contact nationaux pour les jumelages des États membres de l’UE</w:t>
      </w:r>
      <w:r>
        <w:rPr>
          <w:rFonts w:ascii="Times New Roman" w:hAnsi="Times New Roman"/>
          <w:snapToGrid w:val="0"/>
          <w:color w:val="000000"/>
          <w:sz w:val="24"/>
        </w:rPr>
        <w:t xml:space="preserve"> dans le strict respect des instructions du </w:t>
      </w:r>
      <w:r>
        <w:rPr>
          <w:rFonts w:ascii="Times New Roman" w:hAnsi="Times New Roman"/>
          <w:b/>
          <w:snapToGrid w:val="0"/>
          <w:color w:val="000000"/>
          <w:sz w:val="24"/>
        </w:rPr>
        <w:t>manuel de jumelage</w:t>
      </w:r>
      <w:r>
        <w:rPr>
          <w:rFonts w:ascii="Times New Roman" w:hAnsi="Times New Roman"/>
          <w:snapToGrid w:val="0"/>
          <w:color w:val="000000"/>
          <w:sz w:val="24"/>
        </w:rPr>
        <w:t xml:space="preserve"> (y compris l’utilisation du modèle).</w:t>
      </w:r>
    </w:p>
    <w:p w14:paraId="0D4162DA" w14:textId="77777777" w:rsidR="00832F98" w:rsidRPr="005107DF" w:rsidRDefault="00832F98" w:rsidP="009D08CF">
      <w:pPr>
        <w:widowControl w:val="0"/>
        <w:spacing w:before="100" w:after="100"/>
        <w:ind w:left="540" w:right="360"/>
        <w:jc w:val="both"/>
        <w:rPr>
          <w:rFonts w:ascii="Times New Roman" w:hAnsi="Times New Roman" w:cs="Times New Roman"/>
          <w:snapToGrid w:val="0"/>
          <w:color w:val="000000"/>
          <w:sz w:val="24"/>
          <w:szCs w:val="24"/>
        </w:rPr>
      </w:pPr>
      <w:r>
        <w:rPr>
          <w:rFonts w:ascii="Times New Roman" w:hAnsi="Times New Roman"/>
          <w:b/>
          <w:snapToGrid w:val="0"/>
          <w:color w:val="000000"/>
          <w:sz w:val="24"/>
        </w:rPr>
        <w:t>Les points de contact nationaux pour les jumelages des États membres</w:t>
      </w:r>
      <w:r>
        <w:rPr>
          <w:rFonts w:ascii="Times New Roman" w:hAnsi="Times New Roman"/>
          <w:snapToGrid w:val="0"/>
          <w:color w:val="000000"/>
          <w:sz w:val="24"/>
        </w:rPr>
        <w:t xml:space="preserve"> ne </w:t>
      </w:r>
      <w:r>
        <w:rPr>
          <w:rFonts w:ascii="Times New Roman" w:hAnsi="Times New Roman"/>
          <w:snapToGrid w:val="0"/>
          <w:color w:val="000000"/>
          <w:sz w:val="24"/>
        </w:rPr>
        <w:lastRenderedPageBreak/>
        <w:t xml:space="preserve">peuvent soumettre </w:t>
      </w:r>
      <w:r>
        <w:rPr>
          <w:rFonts w:ascii="Times New Roman" w:hAnsi="Times New Roman"/>
          <w:b/>
          <w:snapToGrid w:val="0"/>
          <w:color w:val="000000"/>
          <w:sz w:val="24"/>
        </w:rPr>
        <w:t>qu’une seule proposition de jumelage par État membre</w:t>
      </w:r>
      <w:r>
        <w:rPr>
          <w:rFonts w:ascii="Times New Roman" w:hAnsi="Times New Roman"/>
          <w:snapToGrid w:val="0"/>
          <w:color w:val="000000"/>
          <w:sz w:val="24"/>
        </w:rPr>
        <w:t xml:space="preserve"> à l’administration contractante dans le délai prévu pour la soumission des propositions. </w:t>
      </w:r>
    </w:p>
    <w:p w14:paraId="2079EA70" w14:textId="77777777" w:rsidR="00832F98" w:rsidRPr="005107DF" w:rsidRDefault="00832F98" w:rsidP="009D08CF">
      <w:pPr>
        <w:widowControl w:val="0"/>
        <w:spacing w:before="100" w:after="100"/>
        <w:ind w:left="540" w:right="360"/>
        <w:jc w:val="both"/>
        <w:rPr>
          <w:rFonts w:ascii="Times New Roman" w:hAnsi="Times New Roman" w:cs="Times New Roman"/>
          <w:snapToGrid w:val="0"/>
          <w:color w:val="000000"/>
          <w:sz w:val="24"/>
          <w:szCs w:val="24"/>
        </w:rPr>
      </w:pPr>
      <w:r>
        <w:rPr>
          <w:rFonts w:ascii="Times New Roman" w:hAnsi="Times New Roman"/>
          <w:snapToGrid w:val="0"/>
          <w:color w:val="000000"/>
          <w:sz w:val="24"/>
        </w:rPr>
        <w:t xml:space="preserve">L’État membre doit soumettre sa demande à l’administration contractante via l’adresse de courrier électronique de son </w:t>
      </w:r>
      <w:r>
        <w:rPr>
          <w:rFonts w:ascii="Times New Roman" w:hAnsi="Times New Roman"/>
          <w:b/>
          <w:snapToGrid w:val="0"/>
          <w:color w:val="000000"/>
          <w:sz w:val="24"/>
        </w:rPr>
        <w:t>point de contact national pour les jumelages</w:t>
      </w:r>
      <w:r>
        <w:rPr>
          <w:rFonts w:ascii="Times New Roman" w:hAnsi="Times New Roman"/>
          <w:snapToGrid w:val="0"/>
          <w:color w:val="000000"/>
          <w:sz w:val="24"/>
        </w:rPr>
        <w:t>.</w:t>
      </w:r>
    </w:p>
    <w:p w14:paraId="002388BB" w14:textId="77777777" w:rsidR="00832F98" w:rsidRPr="005107DF" w:rsidRDefault="00832F98" w:rsidP="009D08CF">
      <w:pPr>
        <w:ind w:left="540" w:hanging="540"/>
        <w:jc w:val="both"/>
        <w:outlineLvl w:val="0"/>
        <w:rPr>
          <w:rFonts w:ascii="Times New Roman" w:hAnsi="Times New Roman" w:cs="Times New Roman"/>
          <w:b/>
          <w:color w:val="000000"/>
          <w:sz w:val="24"/>
          <w:szCs w:val="24"/>
        </w:rPr>
      </w:pPr>
    </w:p>
    <w:p w14:paraId="6E4130B1" w14:textId="77777777" w:rsidR="00832F98" w:rsidRPr="005107DF" w:rsidRDefault="00832F98" w:rsidP="009D08CF">
      <w:pPr>
        <w:ind w:left="540" w:hanging="540"/>
        <w:jc w:val="both"/>
        <w:outlineLvl w:val="0"/>
        <w:rPr>
          <w:rFonts w:ascii="Times New Roman" w:hAnsi="Times New Roman" w:cs="Times New Roman"/>
          <w:b/>
          <w:color w:val="000000"/>
          <w:sz w:val="24"/>
          <w:szCs w:val="24"/>
        </w:rPr>
      </w:pPr>
      <w:bookmarkStart w:id="1628" w:name="_Toc490062204"/>
      <w:bookmarkStart w:id="1629" w:name="_Toc513542231"/>
      <w:bookmarkStart w:id="1630" w:name="_Toc517271239"/>
      <w:bookmarkStart w:id="1631" w:name="_Toc517434498"/>
      <w:bookmarkStart w:id="1632" w:name="_Toc2861065"/>
      <w:r w:rsidRPr="00452C1A">
        <w:rPr>
          <w:rFonts w:ascii="Times New Roman" w:hAnsi="Times New Roman"/>
          <w:b/>
          <w:color w:val="000000"/>
          <w:sz w:val="24"/>
        </w:rPr>
        <w:t>9</w:t>
      </w:r>
      <w:r>
        <w:rPr>
          <w:rFonts w:ascii="Times New Roman" w:hAnsi="Times New Roman"/>
          <w:b/>
          <w:color w:val="000000"/>
          <w:sz w:val="24"/>
        </w:rPr>
        <w:t>.</w:t>
      </w:r>
      <w:r>
        <w:tab/>
      </w:r>
      <w:r>
        <w:rPr>
          <w:rFonts w:ascii="Times New Roman" w:hAnsi="Times New Roman"/>
          <w:b/>
          <w:color w:val="000000"/>
          <w:sz w:val="24"/>
        </w:rPr>
        <w:t>Date limite d’introduction des demandes</w:t>
      </w:r>
      <w:bookmarkEnd w:id="1628"/>
      <w:bookmarkEnd w:id="1629"/>
      <w:bookmarkEnd w:id="1630"/>
      <w:bookmarkEnd w:id="1631"/>
      <w:bookmarkEnd w:id="1632"/>
    </w:p>
    <w:p w14:paraId="55F5F06F" w14:textId="77777777" w:rsidR="00832F98" w:rsidRPr="005107DF" w:rsidRDefault="00832F98" w:rsidP="009D08CF">
      <w:pPr>
        <w:widowControl w:val="0"/>
        <w:spacing w:before="100" w:after="100"/>
        <w:ind w:left="540" w:right="360"/>
        <w:jc w:val="both"/>
        <w:rPr>
          <w:rFonts w:ascii="Times New Roman" w:hAnsi="Times New Roman" w:cs="Times New Roman"/>
          <w:snapToGrid w:val="0"/>
          <w:color w:val="000000"/>
          <w:sz w:val="24"/>
          <w:szCs w:val="24"/>
        </w:rPr>
      </w:pPr>
      <w:r>
        <w:rPr>
          <w:rFonts w:ascii="Times New Roman" w:hAnsi="Times New Roman"/>
          <w:snapToGrid w:val="0"/>
          <w:color w:val="000000"/>
          <w:sz w:val="24"/>
        </w:rPr>
        <w:t xml:space="preserve">Date limite de présentation des propositions de jumelage à l’administration contractante par les points de contact nationaux des États membres:     &lt;Date et heure à préciser – </w:t>
      </w:r>
      <w:r w:rsidRPr="00452C1A">
        <w:rPr>
          <w:rFonts w:ascii="Times New Roman" w:hAnsi="Times New Roman"/>
          <w:i/>
          <w:snapToGrid w:val="0"/>
          <w:color w:val="000000"/>
          <w:sz w:val="24"/>
        </w:rPr>
        <w:t>8</w:t>
      </w:r>
      <w:r>
        <w:rPr>
          <w:rFonts w:ascii="Times New Roman" w:hAnsi="Times New Roman"/>
          <w:i/>
          <w:snapToGrid w:val="0"/>
          <w:color w:val="000000"/>
          <w:sz w:val="24"/>
        </w:rPr>
        <w:t xml:space="preserve"> semaines pour un jumelage léger, comme indiqué au point  </w:t>
      </w:r>
      <w:r w:rsidRPr="00452C1A">
        <w:rPr>
          <w:rFonts w:ascii="Times New Roman" w:hAnsi="Times New Roman"/>
          <w:i/>
          <w:snapToGrid w:val="0"/>
          <w:color w:val="000000"/>
          <w:sz w:val="24"/>
        </w:rPr>
        <w:t>8</w:t>
      </w:r>
      <w:r>
        <w:rPr>
          <w:rFonts w:ascii="Times New Roman" w:hAnsi="Times New Roman"/>
          <w:i/>
          <w:snapToGrid w:val="0"/>
          <w:color w:val="000000"/>
          <w:sz w:val="24"/>
        </w:rPr>
        <w:t>.</w:t>
      </w:r>
      <w:r w:rsidRPr="00452C1A">
        <w:rPr>
          <w:rFonts w:ascii="Times New Roman" w:hAnsi="Times New Roman"/>
          <w:i/>
          <w:snapToGrid w:val="0"/>
          <w:color w:val="000000"/>
          <w:sz w:val="24"/>
        </w:rPr>
        <w:t>3</w:t>
      </w:r>
      <w:r>
        <w:rPr>
          <w:rFonts w:ascii="Times New Roman" w:hAnsi="Times New Roman"/>
          <w:i/>
          <w:snapToGrid w:val="0"/>
          <w:color w:val="000000"/>
          <w:sz w:val="24"/>
        </w:rPr>
        <w:t>.</w:t>
      </w:r>
      <w:r w:rsidRPr="00452C1A">
        <w:rPr>
          <w:rFonts w:ascii="Times New Roman" w:hAnsi="Times New Roman"/>
          <w:i/>
          <w:snapToGrid w:val="0"/>
          <w:color w:val="000000"/>
          <w:sz w:val="24"/>
        </w:rPr>
        <w:t>1</w:t>
      </w:r>
      <w:r>
        <w:rPr>
          <w:rFonts w:ascii="Times New Roman" w:hAnsi="Times New Roman"/>
          <w:i/>
          <w:snapToGrid w:val="0"/>
          <w:color w:val="000000"/>
          <w:sz w:val="24"/>
        </w:rPr>
        <w:t xml:space="preserve"> du manuel de jumelage;</w:t>
      </w:r>
      <w:r>
        <w:rPr>
          <w:rFonts w:ascii="Times New Roman" w:hAnsi="Times New Roman"/>
          <w:snapToGrid w:val="0"/>
          <w:color w:val="000000"/>
          <w:sz w:val="24"/>
        </w:rPr>
        <w:t xml:space="preserve">&gt;     </w:t>
      </w:r>
    </w:p>
    <w:p w14:paraId="5715BD65" w14:textId="77777777" w:rsidR="00832F98" w:rsidRPr="005107DF" w:rsidRDefault="00832F98" w:rsidP="009D08CF">
      <w:pPr>
        <w:widowControl w:val="0"/>
        <w:spacing w:before="100" w:after="100"/>
        <w:ind w:left="540" w:right="360"/>
        <w:jc w:val="both"/>
        <w:rPr>
          <w:rFonts w:ascii="Times New Roman" w:hAnsi="Times New Roman" w:cs="Times New Roman"/>
          <w:b/>
          <w:snapToGrid w:val="0"/>
          <w:color w:val="000000"/>
          <w:sz w:val="24"/>
          <w:szCs w:val="24"/>
        </w:rPr>
      </w:pPr>
      <w:r>
        <w:rPr>
          <w:rFonts w:ascii="Times New Roman" w:hAnsi="Times New Roman"/>
          <w:snapToGrid w:val="0"/>
          <w:color w:val="000000"/>
          <w:sz w:val="24"/>
        </w:rPr>
        <w:t>La date limite de présentation des propositions de jumelage par les administrations publiques des États membres de l’UE au point de contact national correspondant est fixée par ce dernier.</w:t>
      </w:r>
    </w:p>
    <w:p w14:paraId="780FBB2E" w14:textId="77777777" w:rsidR="00832F98" w:rsidRPr="005107DF" w:rsidRDefault="00832F98" w:rsidP="009D08CF">
      <w:pPr>
        <w:widowControl w:val="0"/>
        <w:spacing w:before="100" w:after="100"/>
        <w:ind w:left="540" w:right="360"/>
        <w:rPr>
          <w:rFonts w:ascii="Times New Roman" w:hAnsi="Times New Roman" w:cs="Times New Roman"/>
          <w:snapToGrid w:val="0"/>
          <w:color w:val="000000"/>
          <w:sz w:val="24"/>
          <w:szCs w:val="24"/>
        </w:rPr>
      </w:pPr>
      <w:r>
        <w:rPr>
          <w:rFonts w:ascii="Times New Roman" w:hAnsi="Times New Roman"/>
          <w:snapToGrid w:val="0"/>
          <w:color w:val="000000"/>
          <w:sz w:val="24"/>
        </w:rPr>
        <w:t xml:space="preserve">Aucune demande </w:t>
      </w:r>
      <w:r>
        <w:rPr>
          <w:rFonts w:ascii="Times New Roman" w:hAnsi="Times New Roman"/>
          <w:snapToGrid w:val="0"/>
          <w:color w:val="000000"/>
          <w:sz w:val="24"/>
          <w:u w:val="single"/>
        </w:rPr>
        <w:t>reçue</w:t>
      </w:r>
      <w:r>
        <w:rPr>
          <w:rFonts w:ascii="Times New Roman" w:hAnsi="Times New Roman"/>
          <w:snapToGrid w:val="0"/>
          <w:color w:val="000000"/>
          <w:sz w:val="24"/>
        </w:rPr>
        <w:t xml:space="preserve"> par l’administration contractante après cette date ne sera prise en considération.</w:t>
      </w:r>
    </w:p>
    <w:p w14:paraId="0E8CDEB5" w14:textId="77777777" w:rsidR="00832F98" w:rsidRPr="005107DF" w:rsidRDefault="00832F98" w:rsidP="009D08CF">
      <w:pPr>
        <w:ind w:left="540" w:hanging="540"/>
        <w:outlineLvl w:val="0"/>
        <w:rPr>
          <w:rFonts w:ascii="Times New Roman" w:hAnsi="Times New Roman" w:cs="Times New Roman"/>
          <w:b/>
          <w:color w:val="000000"/>
          <w:sz w:val="24"/>
          <w:szCs w:val="24"/>
        </w:rPr>
      </w:pPr>
    </w:p>
    <w:p w14:paraId="4D487722" w14:textId="77777777" w:rsidR="00832F98" w:rsidRPr="005107DF" w:rsidRDefault="00832F98" w:rsidP="009D08CF">
      <w:pPr>
        <w:ind w:left="540" w:hanging="540"/>
        <w:outlineLvl w:val="0"/>
        <w:rPr>
          <w:rFonts w:ascii="Times New Roman" w:hAnsi="Times New Roman" w:cs="Times New Roman"/>
          <w:b/>
          <w:color w:val="000000"/>
          <w:sz w:val="24"/>
          <w:szCs w:val="24"/>
        </w:rPr>
      </w:pPr>
      <w:bookmarkStart w:id="1633" w:name="_Toc490062205"/>
      <w:bookmarkStart w:id="1634" w:name="_Toc513542232"/>
      <w:bookmarkStart w:id="1635" w:name="_Toc517271240"/>
      <w:bookmarkStart w:id="1636" w:name="_Toc517434499"/>
      <w:bookmarkStart w:id="1637" w:name="_Toc2861066"/>
      <w:r w:rsidRPr="00452C1A">
        <w:rPr>
          <w:rFonts w:ascii="Times New Roman" w:hAnsi="Times New Roman"/>
          <w:b/>
          <w:color w:val="000000"/>
          <w:sz w:val="24"/>
        </w:rPr>
        <w:t>10</w:t>
      </w:r>
      <w:r>
        <w:rPr>
          <w:rFonts w:ascii="Times New Roman" w:hAnsi="Times New Roman"/>
          <w:b/>
          <w:color w:val="000000"/>
          <w:sz w:val="24"/>
        </w:rPr>
        <w:t>.</w:t>
      </w:r>
      <w:r>
        <w:tab/>
      </w:r>
      <w:r>
        <w:rPr>
          <w:rFonts w:ascii="Times New Roman" w:hAnsi="Times New Roman"/>
          <w:b/>
          <w:color w:val="000000"/>
          <w:sz w:val="24"/>
        </w:rPr>
        <w:t>Informations détaillées</w:t>
      </w:r>
      <w:bookmarkEnd w:id="1633"/>
      <w:bookmarkEnd w:id="1634"/>
      <w:bookmarkEnd w:id="1635"/>
      <w:bookmarkEnd w:id="1636"/>
      <w:bookmarkEnd w:id="1637"/>
    </w:p>
    <w:p w14:paraId="700F21B9" w14:textId="77777777" w:rsidR="00832F98" w:rsidRPr="005107DF" w:rsidRDefault="00832F98" w:rsidP="009D08CF">
      <w:pPr>
        <w:widowControl w:val="0"/>
        <w:spacing w:before="100" w:after="100"/>
        <w:ind w:left="540" w:right="360"/>
        <w:rPr>
          <w:rFonts w:ascii="Times New Roman" w:hAnsi="Times New Roman" w:cs="Times New Roman"/>
          <w:snapToGrid w:val="0"/>
          <w:color w:val="000000"/>
          <w:sz w:val="24"/>
          <w:szCs w:val="24"/>
        </w:rPr>
      </w:pPr>
      <w:r>
        <w:rPr>
          <w:rFonts w:ascii="Times New Roman" w:hAnsi="Times New Roman"/>
          <w:snapToGrid w:val="0"/>
          <w:color w:val="000000"/>
          <w:sz w:val="24"/>
        </w:rPr>
        <w:t xml:space="preserve">Les informations détaillées relatives au présent appel à propositions figurent dans le manuel de jumelage et la fiche de projet de jumelage spécifique que vous pouvez vous procurer auprès des </w:t>
      </w:r>
      <w:r>
        <w:rPr>
          <w:rFonts w:ascii="Times New Roman" w:hAnsi="Times New Roman"/>
          <w:b/>
          <w:snapToGrid w:val="0"/>
          <w:color w:val="000000"/>
          <w:sz w:val="24"/>
        </w:rPr>
        <w:t>points de contact nationaux pour les jumelages</w:t>
      </w:r>
      <w:r>
        <w:rPr>
          <w:rFonts w:ascii="Times New Roman" w:hAnsi="Times New Roman"/>
          <w:snapToGrid w:val="0"/>
          <w:color w:val="000000"/>
          <w:sz w:val="24"/>
        </w:rPr>
        <w:t xml:space="preserve"> des États membres de l’Union européenne. </w:t>
      </w:r>
    </w:p>
    <w:p w14:paraId="0F8DB643" w14:textId="77777777" w:rsidR="00832F98" w:rsidRPr="005107DF" w:rsidRDefault="00832F98" w:rsidP="009D08CF">
      <w:pPr>
        <w:widowControl w:val="0"/>
        <w:spacing w:before="100" w:after="100"/>
        <w:ind w:left="540" w:right="360"/>
        <w:rPr>
          <w:rFonts w:ascii="Times New Roman" w:hAnsi="Times New Roman" w:cs="Times New Roman"/>
          <w:snapToGrid w:val="0"/>
          <w:color w:val="000000"/>
          <w:sz w:val="24"/>
          <w:szCs w:val="24"/>
        </w:rPr>
      </w:pPr>
      <w:r>
        <w:rPr>
          <w:rFonts w:ascii="Times New Roman" w:hAnsi="Times New Roman"/>
          <w:snapToGrid w:val="0"/>
          <w:color w:val="000000"/>
          <w:sz w:val="24"/>
        </w:rPr>
        <w:t xml:space="preserve">La date provisoire prévue pour le début des réunions du comité d’évaluation est la suivante: </w:t>
      </w:r>
      <w:r>
        <w:rPr>
          <w:rFonts w:ascii="Times New Roman" w:hAnsi="Times New Roman"/>
          <w:b/>
          <w:snapToGrid w:val="0"/>
          <w:color w:val="000000"/>
          <w:sz w:val="24"/>
        </w:rPr>
        <w:t xml:space="preserve">&lt;à préciser: </w:t>
      </w:r>
      <w:r>
        <w:rPr>
          <w:rFonts w:ascii="Times New Roman" w:hAnsi="Times New Roman"/>
          <w:i/>
          <w:snapToGrid w:val="0"/>
          <w:color w:val="000000"/>
          <w:sz w:val="24"/>
        </w:rPr>
        <w:t xml:space="preserve">idéalement, au plus tard deux semaines après la date limite de présentation  des propositions, comme indiqué au point </w:t>
      </w:r>
      <w:r w:rsidRPr="00452C1A">
        <w:rPr>
          <w:rFonts w:ascii="Times New Roman" w:hAnsi="Times New Roman"/>
          <w:i/>
          <w:snapToGrid w:val="0"/>
          <w:color w:val="000000"/>
          <w:sz w:val="24"/>
        </w:rPr>
        <w:t>8</w:t>
      </w:r>
      <w:r>
        <w:rPr>
          <w:rFonts w:ascii="Times New Roman" w:hAnsi="Times New Roman"/>
          <w:i/>
          <w:snapToGrid w:val="0"/>
          <w:color w:val="000000"/>
          <w:sz w:val="24"/>
        </w:rPr>
        <w:t>.</w:t>
      </w:r>
      <w:r w:rsidRPr="00452C1A">
        <w:rPr>
          <w:rFonts w:ascii="Times New Roman" w:hAnsi="Times New Roman"/>
          <w:i/>
          <w:snapToGrid w:val="0"/>
          <w:color w:val="000000"/>
          <w:sz w:val="24"/>
        </w:rPr>
        <w:t>3</w:t>
      </w:r>
      <w:r>
        <w:rPr>
          <w:rFonts w:ascii="Times New Roman" w:hAnsi="Times New Roman"/>
          <w:i/>
          <w:snapToGrid w:val="0"/>
          <w:color w:val="000000"/>
          <w:sz w:val="24"/>
        </w:rPr>
        <w:t>.</w:t>
      </w:r>
      <w:r w:rsidRPr="00452C1A">
        <w:rPr>
          <w:rFonts w:ascii="Times New Roman" w:hAnsi="Times New Roman"/>
          <w:i/>
          <w:snapToGrid w:val="0"/>
          <w:color w:val="000000"/>
          <w:sz w:val="24"/>
        </w:rPr>
        <w:t>2</w:t>
      </w:r>
      <w:r>
        <w:rPr>
          <w:rFonts w:ascii="Times New Roman" w:hAnsi="Times New Roman"/>
          <w:i/>
          <w:snapToGrid w:val="0"/>
          <w:color w:val="000000"/>
          <w:sz w:val="24"/>
        </w:rPr>
        <w:t xml:space="preserve"> du manuel de jumelage</w:t>
      </w:r>
      <w:r>
        <w:rPr>
          <w:rFonts w:ascii="Times New Roman" w:hAnsi="Times New Roman"/>
          <w:b/>
          <w:snapToGrid w:val="0"/>
          <w:color w:val="000000"/>
          <w:sz w:val="24"/>
        </w:rPr>
        <w:t>&gt;.</w:t>
      </w:r>
    </w:p>
    <w:p w14:paraId="4A95EC26" w14:textId="77777777" w:rsidR="00832F98" w:rsidRPr="005107DF" w:rsidRDefault="00832F98" w:rsidP="009D08CF">
      <w:pPr>
        <w:widowControl w:val="0"/>
        <w:spacing w:before="100" w:after="100"/>
        <w:ind w:left="540" w:right="360"/>
        <w:rPr>
          <w:rFonts w:ascii="Times New Roman" w:hAnsi="Times New Roman" w:cs="Times New Roman"/>
          <w:snapToGrid w:val="0"/>
          <w:color w:val="000000"/>
        </w:rPr>
      </w:pPr>
    </w:p>
    <w:p w14:paraId="74915667" w14:textId="77777777" w:rsidR="00832F98" w:rsidRPr="005107DF" w:rsidRDefault="00832F98" w:rsidP="009D08CF">
      <w:pPr>
        <w:rPr>
          <w:rFonts w:ascii="Times New Roman" w:eastAsia="Calibri" w:hAnsi="Times New Roman" w:cs="Times New Roman"/>
        </w:rPr>
      </w:pPr>
    </w:p>
    <w:p w14:paraId="06AC9D24" w14:textId="77777777" w:rsidR="00832F98" w:rsidRDefault="00832F98" w:rsidP="009D08CF">
      <w:pPr>
        <w:ind w:left="540"/>
        <w:jc w:val="both"/>
        <w:rPr>
          <w:rFonts w:ascii="Times New Roman" w:eastAsia="Times New Roman" w:hAnsi="Times New Roman" w:cs="Times New Roman"/>
          <w:snapToGrid w:val="0"/>
          <w:color w:val="000000"/>
          <w:sz w:val="24"/>
          <w:szCs w:val="24"/>
          <w:highlight w:val="yellow"/>
        </w:rPr>
      </w:pPr>
    </w:p>
    <w:p w14:paraId="4D8D3618" w14:textId="453BCE80" w:rsidR="00832F98" w:rsidRDefault="00434C10" w:rsidP="00434C10">
      <w:pPr>
        <w:rPr>
          <w:rFonts w:ascii="Times New Roman" w:eastAsia="Times New Roman" w:hAnsi="Times New Roman" w:cs="Times New Roman"/>
          <w:snapToGrid w:val="0"/>
          <w:color w:val="000000"/>
          <w:sz w:val="24"/>
          <w:szCs w:val="24"/>
          <w:highlight w:val="yellow"/>
        </w:rPr>
      </w:pPr>
      <w:r>
        <w:rPr>
          <w:rFonts w:ascii="Times New Roman" w:eastAsia="Times New Roman" w:hAnsi="Times New Roman" w:cs="Times New Roman"/>
          <w:snapToGrid w:val="0"/>
          <w:color w:val="000000"/>
          <w:sz w:val="24"/>
          <w:szCs w:val="24"/>
          <w:highlight w:val="yellow"/>
        </w:rPr>
        <w:br w:type="page"/>
      </w:r>
    </w:p>
    <w:p w14:paraId="6FB821A3" w14:textId="77777777" w:rsidR="00832F98" w:rsidRPr="005107DF" w:rsidRDefault="00832F98" w:rsidP="009D08CF">
      <w:pPr>
        <w:pStyle w:val="Heading2"/>
        <w:pBdr>
          <w:top w:val="single" w:sz="4" w:space="1" w:color="auto"/>
          <w:left w:val="single" w:sz="4" w:space="4" w:color="auto"/>
          <w:bottom w:val="single" w:sz="4" w:space="1" w:color="auto"/>
          <w:right w:val="single" w:sz="4" w:space="4" w:color="auto"/>
        </w:pBdr>
      </w:pPr>
      <w:bookmarkStart w:id="1638" w:name="_Toc490062206"/>
      <w:bookmarkStart w:id="1639" w:name="_Toc517434500"/>
      <w:bookmarkStart w:id="1640" w:name="_Toc2861067"/>
      <w:r>
        <w:rPr>
          <w:sz w:val="32"/>
        </w:rPr>
        <w:lastRenderedPageBreak/>
        <w:t>ANNEXE C</w:t>
      </w:r>
      <w:r w:rsidRPr="00452C1A">
        <w:rPr>
          <w:sz w:val="32"/>
        </w:rPr>
        <w:t>10</w:t>
      </w:r>
      <w:r>
        <w:rPr>
          <w:sz w:val="32"/>
        </w:rPr>
        <w:t>: Modèle de certificat de mission</w:t>
      </w:r>
      <w:bookmarkEnd w:id="1638"/>
      <w:bookmarkEnd w:id="1639"/>
      <w:bookmarkEnd w:id="1640"/>
    </w:p>
    <w:p w14:paraId="05EF54FE" w14:textId="77777777" w:rsidR="00832F98" w:rsidRPr="005107DF" w:rsidRDefault="00832F98" w:rsidP="007338F0">
      <w:pPr>
        <w:rPr>
          <w:rFonts w:ascii="Times New Roman" w:eastAsia="Times New Roman" w:hAnsi="Times New Roman" w:cs="Times New Roman"/>
          <w:b/>
          <w:color w:val="000000"/>
          <w:sz w:val="24"/>
          <w:szCs w:val="24"/>
        </w:rPr>
      </w:pPr>
      <w:r>
        <w:rPr>
          <w:rFonts w:ascii="Times New Roman" w:hAnsi="Times New Roman"/>
          <w:b/>
          <w:sz w:val="24"/>
        </w:rPr>
        <w:t>Numéro du contrat de subvention de jumelage...............</w:t>
      </w:r>
    </w:p>
    <w:p w14:paraId="499C419B" w14:textId="77777777" w:rsidR="00832F98" w:rsidRPr="005107DF" w:rsidRDefault="00832F98" w:rsidP="00C143C7">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NOM DE L’EXPERT …..</w:t>
      </w:r>
    </w:p>
    <w:p w14:paraId="0A8DAD08" w14:textId="77777777" w:rsidR="00832F98" w:rsidRPr="005107DF" w:rsidRDefault="00832F98" w:rsidP="00C143C7">
      <w:pPr>
        <w:spacing w:after="0" w:line="240" w:lineRule="auto"/>
        <w:rPr>
          <w:rFonts w:ascii="Times New Roman" w:eastAsia="Times New Roman" w:hAnsi="Times New Roman" w:cs="Times New Roman"/>
          <w:sz w:val="24"/>
          <w:szCs w:val="24"/>
        </w:rPr>
      </w:pPr>
    </w:p>
    <w:p w14:paraId="7833B796" w14:textId="77777777" w:rsidR="00832F98" w:rsidRPr="005107DF" w:rsidRDefault="00832F98" w:rsidP="00C143C7">
      <w:pPr>
        <w:spacing w:after="0" w:line="240" w:lineRule="auto"/>
        <w:rPr>
          <w:rFonts w:ascii="Times New Roman" w:eastAsia="Times New Roman" w:hAnsi="Times New Roman" w:cs="Times New Roman"/>
          <w:color w:val="000000"/>
          <w:sz w:val="24"/>
          <w:szCs w:val="24"/>
        </w:rPr>
      </w:pPr>
    </w:p>
    <w:p w14:paraId="7316F1B8" w14:textId="77777777" w:rsidR="00832F98" w:rsidRPr="005107DF" w:rsidRDefault="00832F98" w:rsidP="007338F0">
      <w:pPr>
        <w:pBdr>
          <w:top w:val="single" w:sz="6" w:space="0" w:color="auto"/>
          <w:left w:val="single" w:sz="6" w:space="3" w:color="auto"/>
          <w:bottom w:val="single" w:sz="6" w:space="0" w:color="auto"/>
          <w:right w:val="single" w:sz="6" w:space="4" w:color="auto"/>
        </w:pBdr>
        <w:spacing w:after="0" w:line="240" w:lineRule="auto"/>
        <w:rPr>
          <w:rFonts w:ascii="Times New Roman" w:hAnsi="Times New Roman" w:cs="Times New Roman"/>
          <w:b/>
          <w:u w:val="single"/>
        </w:rPr>
      </w:pPr>
      <w:r>
        <w:rPr>
          <w:rFonts w:ascii="Times New Roman" w:hAnsi="Times New Roman"/>
          <w:b/>
          <w:u w:val="single"/>
        </w:rPr>
        <w:t>INSTRUCTIONS</w:t>
      </w:r>
    </w:p>
    <w:p w14:paraId="52442657" w14:textId="77777777" w:rsidR="00832F98" w:rsidRPr="005107DF" w:rsidRDefault="00832F98" w:rsidP="007338F0">
      <w:p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sz w:val="16"/>
          <w:szCs w:val="16"/>
        </w:rPr>
      </w:pPr>
    </w:p>
    <w:p w14:paraId="1B7FB33F" w14:textId="77777777" w:rsidR="00832F98" w:rsidRPr="005107DF" w:rsidRDefault="00832F98"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Pour que l’administration ou l’organisme mandaté de votre État membre obtienne le remboursement de vos dépenses sur le budget du contrat de subvention de jumelage, vous devez remplir ce formulaire en fournissant les justificatifs des dates et de la durée de votre mission.</w:t>
      </w:r>
    </w:p>
    <w:p w14:paraId="0D0C30FC" w14:textId="77777777" w:rsidR="00832F98" w:rsidRPr="005107DF" w:rsidRDefault="00832F98"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 xml:space="preserve">Pour information, l’indemnité de voyage et les indemnités journalières octroyées à l’État membre seront basées sur un coût unitaire pour l’indemnité de voyage et un coût unitaire pour les indemnités journalières, fixés dans le contrat. </w:t>
      </w:r>
      <w:r>
        <w:rPr>
          <w:rFonts w:ascii="Times New Roman" w:hAnsi="Times New Roman"/>
          <w:b/>
          <w:color w:val="000000"/>
        </w:rPr>
        <w:t>D’autres éléments de compensation pouvant également s’appliquer</w:t>
      </w:r>
      <w:r>
        <w:rPr>
          <w:rFonts w:ascii="Times New Roman" w:hAnsi="Times New Roman"/>
          <w:color w:val="000000"/>
        </w:rPr>
        <w:t xml:space="preserve"> pour les jours passés à l’étranger par les experts, vous devrez préciser la date exacte d’arrivée dans le pays et de départ du pays. </w:t>
      </w:r>
    </w:p>
    <w:p w14:paraId="27BFF6C2" w14:textId="77777777" w:rsidR="00832F98" w:rsidRPr="005107DF" w:rsidRDefault="00832F98"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 xml:space="preserve">L’administration/l’organisme mandaté de l’État membre déterminera les documents qu’il est disposé à accepter comme justificatifs pour votre mission (au choix: titres de transport, cartes d’embarquement, factures d’hôtel, ordres du jour et rapports de mission). Vous devrez ensuite renvoyer les documents requis avec le présent formulaire. </w:t>
      </w:r>
    </w:p>
    <w:p w14:paraId="0A6A47B2" w14:textId="77777777" w:rsidR="00832F98" w:rsidRPr="005107DF" w:rsidRDefault="00832F98"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Pour que le formulaire soit valide, il doit avoir été signé par vous et par l’État membre signataire autorisé du contrat.</w:t>
      </w:r>
    </w:p>
    <w:p w14:paraId="2A4D3BA0" w14:textId="77777777" w:rsidR="00832F98" w:rsidRPr="005107DF" w:rsidRDefault="00832F98" w:rsidP="009D08CF">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 xml:space="preserve">Les frais de déplacement non précisés en tant que coût unitaire dans le contrat seront remboursés sur la base des coûts réels engagés et l’administration ou l’organisme mandaté de l’État membre devra fournir les documents originaux attestant le paiement réellement effectué afin d’être remboursé. . </w:t>
      </w:r>
      <w:bookmarkStart w:id="1641" w:name="_Hlk507963878"/>
      <w:r>
        <w:rPr>
          <w:rFonts w:ascii="Times New Roman" w:hAnsi="Times New Roman"/>
          <w:color w:val="000000"/>
        </w:rPr>
        <w:t>Pour les billets d’avion remboursés sur la base des coûts réellement encourus, une copie numérisée de la carte d’embarquement est suffisante.</w:t>
      </w:r>
    </w:p>
    <w:bookmarkEnd w:id="1641"/>
    <w:p w14:paraId="6FF5394C" w14:textId="77777777" w:rsidR="00832F98" w:rsidRPr="005107DF" w:rsidRDefault="00832F98" w:rsidP="0019382C">
      <w:pPr>
        <w:pBdr>
          <w:top w:val="single" w:sz="6" w:space="0" w:color="auto"/>
          <w:left w:val="single" w:sz="6" w:space="3" w:color="auto"/>
          <w:bottom w:val="single" w:sz="6" w:space="0" w:color="auto"/>
          <w:right w:val="single" w:sz="6" w:space="4" w:color="auto"/>
        </w:pBdr>
        <w:spacing w:after="0" w:line="240" w:lineRule="auto"/>
        <w:ind w:left="360"/>
        <w:rPr>
          <w:rFonts w:ascii="Times New Roman" w:eastAsia="Times New Roman" w:hAnsi="Times New Roman" w:cs="Times New Roman"/>
          <w:color w:val="000000"/>
        </w:rPr>
      </w:pPr>
    </w:p>
    <w:p w14:paraId="2DA40016"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rPr>
      </w:pPr>
      <w:r>
        <w:rPr>
          <w:rFonts w:ascii="Times New Roman" w:hAnsi="Times New Roman"/>
          <w:b/>
          <w:color w:val="000000"/>
          <w:u w:val="single"/>
        </w:rPr>
        <w:t>EXPERT</w:t>
      </w:r>
    </w:p>
    <w:p w14:paraId="07A41FFE"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sz w:val="18"/>
          <w:szCs w:val="18"/>
        </w:rPr>
      </w:pPr>
    </w:p>
    <w:p w14:paraId="3E6BF823"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rPr>
      </w:pPr>
      <w:r>
        <w:rPr>
          <w:rFonts w:ascii="Times New Roman" w:hAnsi="Times New Roman"/>
          <w:b/>
          <w:color w:val="000000"/>
        </w:rPr>
        <w:t>Nom:</w:t>
      </w:r>
      <w:r>
        <w:rPr>
          <w:rFonts w:ascii="Times New Roman" w:hAnsi="Times New Roman"/>
          <w:color w:val="000000"/>
        </w:rPr>
        <w:t>……………………………………………………………………………………………………</w:t>
      </w:r>
    </w:p>
    <w:p w14:paraId="4F1B3EA4"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Travaille pour (administration publique/organisme mandaté)</w:t>
      </w:r>
    </w:p>
    <w:p w14:paraId="633EF0F1"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w:t>
      </w:r>
    </w:p>
    <w:p w14:paraId="00AE45D1"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sz w:val="18"/>
          <w:szCs w:val="18"/>
        </w:rPr>
      </w:pPr>
    </w:p>
    <w:p w14:paraId="38B9047F"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rPr>
      </w:pPr>
      <w:bookmarkStart w:id="1642" w:name="_Toc442374608"/>
      <w:bookmarkStart w:id="1643" w:name="_Toc442375098"/>
      <w:bookmarkStart w:id="1644" w:name="_Toc443320419"/>
      <w:bookmarkStart w:id="1645" w:name="_Toc464460266"/>
      <w:bookmarkStart w:id="1646" w:name="_Toc476063613"/>
      <w:bookmarkStart w:id="1647" w:name="_Toc476068095"/>
      <w:r>
        <w:rPr>
          <w:rFonts w:ascii="Times New Roman" w:hAnsi="Times New Roman"/>
          <w:b/>
          <w:color w:val="000000"/>
          <w:u w:val="single"/>
        </w:rPr>
        <w:t>OBJET DE LA MISSION - DÉTAILS CONCERNANT LA/LES RÉUNION(S)</w:t>
      </w:r>
      <w:bookmarkEnd w:id="1642"/>
      <w:bookmarkEnd w:id="1643"/>
      <w:bookmarkEnd w:id="1644"/>
      <w:bookmarkEnd w:id="1645"/>
      <w:bookmarkEnd w:id="1646"/>
      <w:bookmarkEnd w:id="1647"/>
      <w:r>
        <w:rPr>
          <w:rFonts w:ascii="Times New Roman" w:hAnsi="Times New Roman"/>
          <w:b/>
          <w:color w:val="000000"/>
          <w:u w:val="single"/>
        </w:rPr>
        <w:t>*</w:t>
      </w:r>
    </w:p>
    <w:p w14:paraId="2CEE3E00"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sz w:val="18"/>
          <w:szCs w:val="18"/>
          <w:u w:val="single"/>
        </w:rPr>
      </w:pPr>
    </w:p>
    <w:p w14:paraId="4ACD5E57"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Lieu(x):</w:t>
      </w:r>
      <w:r>
        <w:rPr>
          <w:rFonts w:ascii="Times New Roman" w:hAnsi="Times New Roman"/>
          <w:color w:val="000000"/>
        </w:rPr>
        <w:t>.……………………………………………………………………………………………</w:t>
      </w:r>
    </w:p>
    <w:p w14:paraId="43A90F5D"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Date(s):</w:t>
      </w:r>
    </w:p>
    <w:p w14:paraId="47BF41DE"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w:t>
      </w:r>
    </w:p>
    <w:p w14:paraId="0F4ECEBF"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 Joindre un rapport de mission s’il y a lieu.</w:t>
      </w:r>
    </w:p>
    <w:p w14:paraId="5D5E3AD8"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sz w:val="18"/>
          <w:szCs w:val="18"/>
        </w:rPr>
      </w:pPr>
    </w:p>
    <w:p w14:paraId="030458EC"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u w:val="single"/>
        </w:rPr>
      </w:pPr>
      <w:r>
        <w:rPr>
          <w:rFonts w:ascii="Times New Roman" w:hAnsi="Times New Roman"/>
          <w:b/>
          <w:color w:val="000000"/>
          <w:u w:val="single"/>
        </w:rPr>
        <w:t>VOYAGE</w:t>
      </w:r>
    </w:p>
    <w:p w14:paraId="58D41127"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sz w:val="18"/>
          <w:szCs w:val="18"/>
        </w:rPr>
      </w:pPr>
    </w:p>
    <w:p w14:paraId="5AA2E095"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Arrivée dans le pays: date et heure exactes:</w:t>
      </w:r>
    </w:p>
    <w:p w14:paraId="358E95B0"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Départ du pays: date et heure exactes:</w:t>
      </w:r>
    </w:p>
    <w:p w14:paraId="3A114772"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sz w:val="18"/>
          <w:szCs w:val="20"/>
        </w:rPr>
      </w:pPr>
      <w:r>
        <w:rPr>
          <w:rFonts w:ascii="Times New Roman" w:hAnsi="Times New Roman"/>
          <w:color w:val="000000"/>
          <w:sz w:val="24"/>
        </w:rPr>
        <w:t xml:space="preserve">                                                                                                                                      </w:t>
      </w:r>
      <w:r>
        <w:tab/>
      </w:r>
    </w:p>
    <w:p w14:paraId="43EEB755" w14:textId="77777777" w:rsidR="00832F98" w:rsidRPr="005107DF" w:rsidRDefault="00832F98"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u w:val="single"/>
        </w:rPr>
        <w:t>SIGNATURE DE L’EXPERT</w:t>
      </w:r>
    </w:p>
    <w:p w14:paraId="37FC0654" w14:textId="77777777" w:rsidR="00832F98" w:rsidRPr="005107DF" w:rsidRDefault="00832F98"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5A8BA52C" w14:textId="77777777" w:rsidR="00832F98" w:rsidRPr="005107DF" w:rsidRDefault="00832F98"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Je déclare avoir reçu ......... [nombre]indemnités journalières.</w:t>
      </w:r>
    </w:p>
    <w:p w14:paraId="3A4C6EF6" w14:textId="77777777" w:rsidR="00832F98" w:rsidRPr="005107DF" w:rsidRDefault="00832F98"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 xml:space="preserve">Je certifie que les informations sont exactes et que je ne bénéficie d’aucun remboursement par une autre entité pour la même mission.  </w:t>
      </w:r>
    </w:p>
    <w:p w14:paraId="2149B560" w14:textId="77777777" w:rsidR="00832F98" w:rsidRPr="005107DF" w:rsidRDefault="00832F98"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23BFEDD5" w14:textId="77777777" w:rsidR="00832F98" w:rsidRPr="005107DF" w:rsidRDefault="00832F98"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1513C293" w14:textId="77777777" w:rsidR="00832F98" w:rsidRPr="005107DF" w:rsidRDefault="00832F98"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rPr>
      </w:pPr>
    </w:p>
    <w:p w14:paraId="321C2BBD" w14:textId="77777777" w:rsidR="00832F98" w:rsidRPr="005107DF" w:rsidRDefault="00832F98"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rPr>
      </w:pPr>
    </w:p>
    <w:p w14:paraId="7DC6BD2F" w14:textId="77777777" w:rsidR="00832F98" w:rsidRPr="005107DF" w:rsidRDefault="00832F98"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Lieu et date</w:t>
      </w:r>
      <w:r>
        <w:tab/>
      </w:r>
      <w:r>
        <w:tab/>
      </w:r>
      <w:r>
        <w:tab/>
      </w:r>
      <w:r>
        <w:tab/>
      </w:r>
      <w:r>
        <w:rPr>
          <w:rFonts w:ascii="Times New Roman" w:hAnsi="Times New Roman"/>
          <w:color w:val="000000"/>
        </w:rPr>
        <w:t>Signature de l’expert</w:t>
      </w:r>
    </w:p>
    <w:p w14:paraId="4C54B7DF" w14:textId="77777777" w:rsidR="00832F98" w:rsidRPr="005107DF" w:rsidRDefault="00832F98"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0"/>
          <w:szCs w:val="20"/>
        </w:rPr>
      </w:pPr>
    </w:p>
    <w:p w14:paraId="691ED354" w14:textId="77777777" w:rsidR="00832F98" w:rsidRPr="005107DF" w:rsidRDefault="00832F98" w:rsidP="00C143C7">
      <w:pPr>
        <w:pBdr>
          <w:top w:val="single" w:sz="6" w:space="0" w:color="auto"/>
          <w:left w:val="single" w:sz="6" w:space="4" w:color="auto"/>
          <w:bottom w:val="single" w:sz="6" w:space="1" w:color="auto"/>
          <w:right w:val="single" w:sz="6" w:space="4" w:color="auto"/>
        </w:pBdr>
        <w:spacing w:before="240" w:after="60" w:line="240" w:lineRule="auto"/>
        <w:jc w:val="both"/>
        <w:outlineLvl w:val="5"/>
        <w:rPr>
          <w:rFonts w:ascii="Times New Roman" w:eastAsia="Times New Roman" w:hAnsi="Times New Roman" w:cs="Times New Roman"/>
          <w:b/>
          <w:color w:val="000000"/>
        </w:rPr>
      </w:pPr>
      <w:r>
        <w:rPr>
          <w:rFonts w:ascii="Times New Roman" w:hAnsi="Times New Roman"/>
          <w:b/>
          <w:color w:val="000000"/>
        </w:rPr>
        <w:t>SIGNATAIRE AUTORISÉ DU CONTRAT</w:t>
      </w:r>
    </w:p>
    <w:p w14:paraId="5E9E3E3E" w14:textId="77777777" w:rsidR="00832F98" w:rsidRPr="005107DF" w:rsidRDefault="00832F98" w:rsidP="00C143C7">
      <w:pPr>
        <w:pBdr>
          <w:top w:val="single" w:sz="6" w:space="0" w:color="auto"/>
          <w:left w:val="single" w:sz="6" w:space="4" w:color="auto"/>
          <w:bottom w:val="single" w:sz="6" w:space="1" w:color="auto"/>
          <w:right w:val="single" w:sz="6" w:space="4" w:color="auto"/>
        </w:pBdr>
        <w:spacing w:before="240" w:after="60" w:line="240" w:lineRule="auto"/>
        <w:jc w:val="both"/>
        <w:outlineLvl w:val="5"/>
        <w:rPr>
          <w:rFonts w:ascii="Times New Roman" w:eastAsia="Times New Roman" w:hAnsi="Times New Roman" w:cs="Times New Roman"/>
          <w:color w:val="000000"/>
        </w:rPr>
      </w:pPr>
    </w:p>
    <w:p w14:paraId="77C6AC9B" w14:textId="77777777" w:rsidR="00832F98" w:rsidRPr="005107DF" w:rsidRDefault="00832F98"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rPr>
      </w:pPr>
      <w:r>
        <w:rPr>
          <w:rFonts w:ascii="Times New Roman" w:hAnsi="Times New Roman"/>
          <w:color w:val="000000"/>
        </w:rPr>
        <w:t>Par la présente, il est certifié que l’expert a participé à la mission susmentionnée, que les coûts ont été enregistrés sous le poste (indiquer les rubrique et sous-rubrique budgétaires) et que les justificatifs de la mission ont été reçus et sont conservés.</w:t>
      </w:r>
    </w:p>
    <w:p w14:paraId="1BD8BF94" w14:textId="77777777" w:rsidR="00832F98" w:rsidRPr="005107DF" w:rsidRDefault="00832F98"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p>
    <w:p w14:paraId="653A619C" w14:textId="77777777" w:rsidR="00832F98" w:rsidRPr="005107DF" w:rsidRDefault="00832F98"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b/>
          <w:color w:val="000000"/>
        </w:rPr>
        <w:t>Lieu et date</w:t>
      </w:r>
      <w:r>
        <w:rPr>
          <w:rFonts w:ascii="Times New Roman" w:hAnsi="Times New Roman"/>
          <w:color w:val="000000"/>
        </w:rPr>
        <w:t xml:space="preserve"> …………..………………Signature de l’État membre:.………………………………………  </w:t>
      </w:r>
    </w:p>
    <w:p w14:paraId="0BBF9D81" w14:textId="77777777" w:rsidR="00832F98" w:rsidRPr="005107DF" w:rsidRDefault="00832F98"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sz w:val="16"/>
          <w:szCs w:val="20"/>
        </w:rPr>
      </w:pPr>
    </w:p>
    <w:p w14:paraId="510A0CB1" w14:textId="77777777" w:rsidR="00832F98" w:rsidRPr="005107DF" w:rsidRDefault="00832F98"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sz w:val="16"/>
          <w:szCs w:val="20"/>
        </w:rPr>
      </w:pPr>
    </w:p>
    <w:p w14:paraId="0995D04D" w14:textId="77777777" w:rsidR="00832F98" w:rsidRPr="005107DF" w:rsidRDefault="00832F98">
      <w:pPr>
        <w:rPr>
          <w:rFonts w:ascii="Times New Roman" w:eastAsia="SimSun" w:hAnsi="Times New Roman" w:cs="Times New Roman"/>
          <w:color w:val="000000"/>
          <w:sz w:val="32"/>
          <w:szCs w:val="32"/>
        </w:rPr>
      </w:pPr>
      <w:r>
        <w:br w:type="page"/>
      </w:r>
    </w:p>
    <w:p w14:paraId="5364BFF6"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648" w:name="_Toc517434501"/>
      <w:bookmarkStart w:id="1649" w:name="_Toc2861068"/>
      <w:r>
        <w:rPr>
          <w:sz w:val="32"/>
        </w:rPr>
        <w:lastRenderedPageBreak/>
        <w:t>ANNEXE C</w:t>
      </w:r>
      <w:r w:rsidRPr="00452C1A">
        <w:rPr>
          <w:sz w:val="32"/>
        </w:rPr>
        <w:t>11</w:t>
      </w:r>
      <w:r>
        <w:rPr>
          <w:sz w:val="32"/>
        </w:rPr>
        <w:t>: Modèle pour les voyages d’étude et les indemnités journalières</w:t>
      </w:r>
      <w:bookmarkEnd w:id="1648"/>
      <w:bookmarkEnd w:id="1649"/>
    </w:p>
    <w:p w14:paraId="5B251DBA" w14:textId="77777777" w:rsidR="00832F98" w:rsidRPr="005107DF" w:rsidRDefault="00832F98" w:rsidP="007338F0">
      <w:pPr>
        <w:rPr>
          <w:rFonts w:ascii="Times New Roman" w:hAnsi="Times New Roman" w:cs="Times New Roman"/>
          <w:b/>
          <w:sz w:val="24"/>
          <w:szCs w:val="24"/>
        </w:rPr>
      </w:pPr>
      <w:r>
        <w:rPr>
          <w:rFonts w:ascii="Times New Roman" w:hAnsi="Times New Roman"/>
          <w:b/>
          <w:sz w:val="24"/>
        </w:rPr>
        <w:t>Numéro du contrat de subvention de jumelage...............</w:t>
      </w:r>
    </w:p>
    <w:p w14:paraId="39F24ED9"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p w14:paraId="1FC7B25A" w14:textId="77777777" w:rsidR="00832F98" w:rsidRPr="005107DF" w:rsidRDefault="00832F98" w:rsidP="00CA6D80">
      <w:pPr>
        <w:spacing w:after="0" w:line="240" w:lineRule="auto"/>
        <w:rPr>
          <w:rFonts w:ascii="Times New Roman" w:eastAsia="Times New Roman" w:hAnsi="Times New Roman" w:cs="Times New Roman"/>
          <w:sz w:val="24"/>
          <w:szCs w:val="24"/>
        </w:rPr>
      </w:pPr>
      <w:r>
        <w:rPr>
          <w:rFonts w:ascii="Times New Roman" w:hAnsi="Times New Roman"/>
          <w:b/>
          <w:color w:val="000000"/>
          <w:sz w:val="24"/>
        </w:rPr>
        <w:t>NOM DE L’EXPERT …..</w:t>
      </w:r>
    </w:p>
    <w:p w14:paraId="4B11E02A" w14:textId="77777777" w:rsidR="00832F98" w:rsidRPr="005107DF" w:rsidRDefault="00832F98" w:rsidP="00CA6D80">
      <w:pPr>
        <w:spacing w:after="0" w:line="240" w:lineRule="auto"/>
        <w:rPr>
          <w:rFonts w:ascii="Times New Roman" w:eastAsia="Times New Roman" w:hAnsi="Times New Roman" w:cs="Times New Roman"/>
          <w:sz w:val="24"/>
          <w:szCs w:val="24"/>
        </w:rPr>
      </w:pPr>
    </w:p>
    <w:p w14:paraId="07D19150" w14:textId="77777777" w:rsidR="00832F98" w:rsidRPr="005107DF" w:rsidRDefault="00832F98" w:rsidP="00CA6D80">
      <w:pPr>
        <w:spacing w:after="0" w:line="240" w:lineRule="auto"/>
        <w:rPr>
          <w:rFonts w:ascii="Times New Roman" w:eastAsia="Times New Roman" w:hAnsi="Times New Roman" w:cs="Times New Roman"/>
          <w:color w:val="000000"/>
          <w:sz w:val="8"/>
          <w:szCs w:val="24"/>
        </w:rPr>
      </w:pPr>
    </w:p>
    <w:p w14:paraId="0DC06CAD" w14:textId="77777777" w:rsidR="00832F98" w:rsidRPr="005107DF" w:rsidRDefault="00832F98" w:rsidP="007338F0">
      <w:pPr>
        <w:pBdr>
          <w:top w:val="single" w:sz="6" w:space="0" w:color="auto"/>
          <w:left w:val="single" w:sz="6" w:space="3" w:color="auto"/>
          <w:bottom w:val="single" w:sz="6" w:space="0" w:color="auto"/>
          <w:right w:val="single" w:sz="6" w:space="4" w:color="auto"/>
        </w:pBdr>
        <w:spacing w:after="0" w:line="240" w:lineRule="auto"/>
        <w:rPr>
          <w:rFonts w:ascii="Times New Roman" w:hAnsi="Times New Roman" w:cs="Times New Roman"/>
          <w:b/>
          <w:u w:val="single"/>
        </w:rPr>
      </w:pPr>
      <w:r>
        <w:rPr>
          <w:rFonts w:ascii="Times New Roman" w:hAnsi="Times New Roman"/>
          <w:b/>
          <w:u w:val="single"/>
        </w:rPr>
        <w:t>INSTRUCTIONS</w:t>
      </w:r>
    </w:p>
    <w:p w14:paraId="2A15EEAF" w14:textId="77777777" w:rsidR="00832F98" w:rsidRPr="005107DF" w:rsidRDefault="00832F98" w:rsidP="007338F0">
      <w:pPr>
        <w:pBdr>
          <w:top w:val="single" w:sz="6" w:space="0" w:color="auto"/>
          <w:left w:val="single" w:sz="6" w:space="3" w:color="auto"/>
          <w:bottom w:val="single" w:sz="6" w:space="0" w:color="auto"/>
          <w:right w:val="single" w:sz="6" w:space="4" w:color="auto"/>
        </w:pBdr>
        <w:spacing w:after="0" w:line="240" w:lineRule="auto"/>
        <w:rPr>
          <w:rFonts w:ascii="Times New Roman" w:hAnsi="Times New Roman" w:cs="Times New Roman"/>
          <w:b/>
          <w:u w:val="single"/>
        </w:rPr>
      </w:pPr>
    </w:p>
    <w:p w14:paraId="26726E24" w14:textId="77777777" w:rsidR="00832F98" w:rsidRPr="005107DF" w:rsidRDefault="00832F98"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rPr>
      </w:pPr>
      <w:r>
        <w:rPr>
          <w:rFonts w:ascii="Times New Roman" w:hAnsi="Times New Roman"/>
          <w:color w:val="000000"/>
        </w:rPr>
        <w:t>Pour que l’administration ou l’organisme mandaté de l’État membre obtienne le remboursement de vos dépenses sur le budget du contrat de subvention de jumelage, vous devez remplir ce formulaire en fournissant les justificatifs des dates et de la durée de votre voyage d’étude.</w:t>
      </w:r>
    </w:p>
    <w:p w14:paraId="0EF82842" w14:textId="77777777" w:rsidR="00832F98" w:rsidRPr="005107DF" w:rsidRDefault="00832F98"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rPr>
      </w:pPr>
      <w:r>
        <w:rPr>
          <w:rFonts w:ascii="Times New Roman" w:hAnsi="Times New Roman"/>
          <w:color w:val="000000"/>
        </w:rPr>
        <w:t xml:space="preserve">L’indemnité de voyage et les indemnités journalières seront basées sur un coût unitaire pour l’indemnité de voyage et un coût unitaire pour les indemnités journalières, fixés dans le contrat. Vous devrez indiquer la date exacte d’arrivée dans le ou les États membres visités ainsi que la date de votre départ de l’État membre (ou du dernier État membre). </w:t>
      </w:r>
    </w:p>
    <w:p w14:paraId="612D22E6" w14:textId="77777777" w:rsidR="00832F98" w:rsidRPr="005107DF" w:rsidRDefault="00832F98"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rPr>
      </w:pPr>
      <w:r>
        <w:rPr>
          <w:rFonts w:ascii="Times New Roman" w:hAnsi="Times New Roman"/>
          <w:color w:val="000000"/>
        </w:rPr>
        <w:t xml:space="preserve">L’administration contractante et l’administration de l’État membre détermineront les documents qu’elles sont disposées à accepter comme justificatifs de votre mission (au choix: titres de transport, cartes d’embarquement, factures d’hôtel, ordres du jour et rapports de mission). Vous devrez ensuite renvoyer les documents requis avec le présent formulaire. </w:t>
      </w:r>
    </w:p>
    <w:p w14:paraId="1BA0B0DE" w14:textId="77777777" w:rsidR="00832F98" w:rsidRPr="005107DF" w:rsidRDefault="00832F98"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rPr>
      </w:pPr>
      <w:r>
        <w:rPr>
          <w:rFonts w:ascii="Times New Roman" w:hAnsi="Times New Roman"/>
          <w:color w:val="000000"/>
        </w:rPr>
        <w:t>Pour que le formulaire soit valide, il doit avoir été signé par vous et par un État membre autorisé à attester votre visite.</w:t>
      </w:r>
    </w:p>
    <w:p w14:paraId="7EADE9EB" w14:textId="77777777" w:rsidR="00832F98" w:rsidRPr="005107DF" w:rsidRDefault="00832F98" w:rsidP="002B5C1B">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rPr>
      </w:pPr>
      <w:r>
        <w:rPr>
          <w:rFonts w:ascii="Times New Roman" w:hAnsi="Times New Roman"/>
          <w:color w:val="000000"/>
        </w:rPr>
        <w:t>Les frais de déplacement non précisés en tant que coût unitaire dans le contrat seront remboursés sur la base des coûts réels engagés et l’administration ou l’organisme mandaté de l’État membre devra fournir les documents originaux attestant le paiement réellement effectué afin d’être remboursé. Pour les billets d’avion remboursés sur la base des coûts réellement encourus, une copie numérisée de la carte d’embarquement papier ou électronique est suffisante.</w:t>
      </w:r>
    </w:p>
    <w:p w14:paraId="70F3E231"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rPr>
      </w:pPr>
      <w:r>
        <w:rPr>
          <w:rFonts w:ascii="Times New Roman" w:hAnsi="Times New Roman"/>
          <w:b/>
          <w:color w:val="000000"/>
          <w:u w:val="single"/>
        </w:rPr>
        <w:t>EXPERT</w:t>
      </w:r>
    </w:p>
    <w:p w14:paraId="57395B86"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rPr>
      </w:pPr>
    </w:p>
    <w:p w14:paraId="4E7908E8"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color w:val="000000"/>
        </w:rPr>
      </w:pPr>
      <w:r>
        <w:rPr>
          <w:rFonts w:ascii="Times New Roman" w:hAnsi="Times New Roman"/>
          <w:b/>
          <w:color w:val="000000"/>
        </w:rPr>
        <w:t>Nom:</w:t>
      </w:r>
      <w:r>
        <w:rPr>
          <w:rFonts w:ascii="Times New Roman" w:hAnsi="Times New Roman"/>
          <w:color w:val="000000"/>
        </w:rPr>
        <w:t>…………………………………………………………………………………………………………………….………</w:t>
      </w:r>
    </w:p>
    <w:p w14:paraId="14579555"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rPr>
      </w:pPr>
    </w:p>
    <w:p w14:paraId="7F08AAAD"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Travaille pour (administration bénéficiaire)</w:t>
      </w:r>
    </w:p>
    <w:p w14:paraId="0A88B606"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w:t>
      </w:r>
    </w:p>
    <w:p w14:paraId="39BBAB5E"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p>
    <w:p w14:paraId="6FAA0EE9" w14:textId="77777777" w:rsidR="00832F98" w:rsidRPr="005107DF" w:rsidRDefault="00832F98" w:rsidP="007338F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rPr>
      </w:pPr>
      <w:r>
        <w:rPr>
          <w:rFonts w:ascii="Times New Roman" w:hAnsi="Times New Roman"/>
          <w:b/>
          <w:color w:val="000000"/>
          <w:u w:val="single"/>
        </w:rPr>
        <w:t>OBJET DE LA MISSION - DÉTAILS CONCERNANT LES VOYAGES D’ÉTUDE ET LA/LES RÉUNION(S)*</w:t>
      </w:r>
    </w:p>
    <w:p w14:paraId="6A0AF1B6" w14:textId="77777777" w:rsidR="00832F98" w:rsidRPr="005107DF" w:rsidRDefault="00832F98" w:rsidP="007338F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rPr>
      </w:pPr>
    </w:p>
    <w:p w14:paraId="40E7B0B4"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Lieu(x):</w:t>
      </w:r>
      <w:r>
        <w:rPr>
          <w:rFonts w:ascii="Times New Roman" w:hAnsi="Times New Roman"/>
          <w:color w:val="000000"/>
        </w:rPr>
        <w:t>.………………………………………………………………………………………………………………..……</w:t>
      </w:r>
    </w:p>
    <w:p w14:paraId="1372BE36"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rPr>
      </w:pPr>
    </w:p>
    <w:p w14:paraId="33F7E8C5"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Date(s):</w:t>
      </w:r>
    </w:p>
    <w:p w14:paraId="48A9AE86"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w:t>
      </w:r>
    </w:p>
    <w:p w14:paraId="3099262B" w14:textId="77777777" w:rsidR="00832F98" w:rsidRPr="005107DF" w:rsidRDefault="00832F98" w:rsidP="007338F0">
      <w:pPr>
        <w:pBdr>
          <w:top w:val="single" w:sz="6" w:space="0" w:color="auto"/>
          <w:left w:val="single" w:sz="6" w:space="4" w:color="auto"/>
          <w:bottom w:val="single" w:sz="6" w:space="1" w:color="auto"/>
          <w:right w:val="single" w:sz="6" w:space="4" w:color="auto"/>
        </w:pBdr>
        <w:spacing w:after="0" w:line="240" w:lineRule="auto"/>
        <w:jc w:val="both"/>
        <w:rPr>
          <w:rFonts w:ascii="Times New Roman" w:eastAsia="Times New Roman" w:hAnsi="Times New Roman" w:cs="Times New Roman"/>
          <w:color w:val="000000"/>
        </w:rPr>
      </w:pPr>
      <w:r>
        <w:rPr>
          <w:rFonts w:ascii="Times New Roman" w:hAnsi="Times New Roman"/>
          <w:color w:val="000000"/>
        </w:rPr>
        <w:t>* Un programme de voyage d’étude et une fiche d’évaluation peuvent être demandés par l’État membre et l’administration contractante.</w:t>
      </w:r>
    </w:p>
    <w:p w14:paraId="7E5A1124"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p>
    <w:p w14:paraId="605083E4"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u w:val="single"/>
        </w:rPr>
      </w:pPr>
      <w:r>
        <w:rPr>
          <w:rFonts w:ascii="Times New Roman" w:hAnsi="Times New Roman"/>
          <w:b/>
          <w:color w:val="000000"/>
          <w:u w:val="single"/>
        </w:rPr>
        <w:t>VOYAGE</w:t>
      </w:r>
    </w:p>
    <w:p w14:paraId="0BE0BEBD"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rPr>
      </w:pPr>
    </w:p>
    <w:p w14:paraId="48020445"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Le voyage est-il remboursé au titre du contrat?         OUI _____.      NON ______</w:t>
      </w:r>
    </w:p>
    <w:p w14:paraId="106A99F8"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p>
    <w:p w14:paraId="64A17CD5"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Arrivée dans le pays: date et heure exactes:</w:t>
      </w:r>
    </w:p>
    <w:p w14:paraId="7903743A" w14:textId="399D5DF7" w:rsidR="00832F98" w:rsidRPr="00434C10" w:rsidRDefault="00832F98" w:rsidP="00434C1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Départ du pays: date et heure exactes:</w:t>
      </w:r>
      <w:r>
        <w:br w:type="page"/>
      </w:r>
    </w:p>
    <w:p w14:paraId="148ED773"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u w:val="single"/>
        </w:rPr>
        <w:lastRenderedPageBreak/>
        <w:t>SIGNATURE DU PARTICIPANT AU VOYAGE D’ÉTUDE</w:t>
      </w:r>
    </w:p>
    <w:p w14:paraId="46EC0C5A"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68A2ADA9" w14:textId="77777777" w:rsidR="00832F98" w:rsidRPr="005107DF" w:rsidRDefault="00832F98" w:rsidP="002E281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Je déclare avoir reçu ......... [nombre]indemnités journalières.</w:t>
      </w:r>
    </w:p>
    <w:p w14:paraId="43ED2BD9" w14:textId="77777777" w:rsidR="00832F98" w:rsidRPr="005107DF" w:rsidRDefault="00832F98" w:rsidP="002E281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 xml:space="preserve">Je certifie que les informations sont exactes et que je ne bénéficie d’aucun remboursement par une autre entité pour la même mission.  </w:t>
      </w:r>
    </w:p>
    <w:p w14:paraId="7CB7FC8B"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 xml:space="preserve">  </w:t>
      </w:r>
    </w:p>
    <w:p w14:paraId="39606319"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41C680A3"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7741BCC9"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rPr>
      </w:pPr>
    </w:p>
    <w:p w14:paraId="2FF4677A"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rPr>
      </w:pPr>
    </w:p>
    <w:p w14:paraId="4E3281EB"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Lieu et date</w:t>
      </w:r>
      <w:r>
        <w:tab/>
      </w:r>
      <w:r>
        <w:tab/>
      </w:r>
      <w:r>
        <w:tab/>
      </w:r>
      <w:r>
        <w:tab/>
      </w:r>
      <w:r>
        <w:rPr>
          <w:rFonts w:ascii="Times New Roman" w:hAnsi="Times New Roman"/>
          <w:color w:val="000000"/>
        </w:rPr>
        <w:t>Signature de l’expert</w:t>
      </w:r>
    </w:p>
    <w:p w14:paraId="02AF02F8"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0F119B78" w14:textId="77777777" w:rsidR="00832F98" w:rsidRPr="005107DF" w:rsidRDefault="00832F98" w:rsidP="007338F0">
      <w:pPr>
        <w:pBdr>
          <w:top w:val="single" w:sz="6" w:space="0" w:color="auto"/>
          <w:left w:val="single" w:sz="6" w:space="4" w:color="auto"/>
          <w:bottom w:val="single" w:sz="6" w:space="0" w:color="auto"/>
          <w:right w:val="single" w:sz="6" w:space="4" w:color="auto"/>
        </w:pBdr>
        <w:spacing w:before="240" w:after="60" w:line="240" w:lineRule="auto"/>
        <w:jc w:val="both"/>
        <w:outlineLvl w:val="5"/>
        <w:rPr>
          <w:rFonts w:ascii="Times New Roman" w:eastAsia="Times New Roman" w:hAnsi="Times New Roman" w:cs="Times New Roman"/>
          <w:b/>
          <w:color w:val="000000"/>
        </w:rPr>
      </w:pPr>
      <w:r>
        <w:rPr>
          <w:rFonts w:ascii="Times New Roman" w:hAnsi="Times New Roman"/>
          <w:b/>
          <w:color w:val="000000"/>
        </w:rPr>
        <w:t>SIGNATAIRE AUTORISÉ DE L’ÉTAT MEMBRE</w:t>
      </w:r>
    </w:p>
    <w:p w14:paraId="318606FD" w14:textId="77777777" w:rsidR="00832F98" w:rsidRPr="005107DF" w:rsidRDefault="00832F98" w:rsidP="007338F0">
      <w:pPr>
        <w:pBdr>
          <w:top w:val="single" w:sz="6" w:space="0" w:color="auto"/>
          <w:left w:val="single" w:sz="6" w:space="4" w:color="auto"/>
          <w:bottom w:val="single" w:sz="6" w:space="0" w:color="auto"/>
          <w:right w:val="single" w:sz="6" w:space="4" w:color="auto"/>
        </w:pBdr>
        <w:spacing w:before="240" w:after="60" w:line="240" w:lineRule="auto"/>
        <w:jc w:val="both"/>
        <w:outlineLvl w:val="5"/>
        <w:rPr>
          <w:rFonts w:ascii="Times New Roman" w:eastAsia="Times New Roman" w:hAnsi="Times New Roman" w:cs="Times New Roman"/>
          <w:b/>
          <w:color w:val="000000"/>
        </w:rPr>
      </w:pPr>
      <w:r>
        <w:rPr>
          <w:rFonts w:ascii="Times New Roman" w:hAnsi="Times New Roman"/>
          <w:color w:val="000000"/>
        </w:rPr>
        <w:t>Par la présente, il est certifié que le représentant de l’administration bénéficiaire a participé au voyage d’étude susmentionné, que les coûts ont été enregistrés sous le poste (indiquer les rubrique et sous-rubrique budgétaires) et que les justificatifs des coûts du voyage d’étude ont été reçus et sont conservés.</w:t>
      </w:r>
    </w:p>
    <w:p w14:paraId="7DC6F1D2" w14:textId="77777777" w:rsidR="00832F98" w:rsidRPr="005107DF" w:rsidRDefault="00832F98" w:rsidP="007338F0">
      <w:pPr>
        <w:pBdr>
          <w:top w:val="single" w:sz="6" w:space="0" w:color="auto"/>
          <w:left w:val="single" w:sz="6" w:space="4" w:color="auto"/>
          <w:bottom w:val="single" w:sz="6" w:space="0" w:color="auto"/>
          <w:right w:val="single" w:sz="6" w:space="4" w:color="auto"/>
        </w:pBdr>
        <w:spacing w:after="0" w:line="240" w:lineRule="auto"/>
        <w:rPr>
          <w:rFonts w:ascii="Times New Roman" w:eastAsia="Times New Roman" w:hAnsi="Times New Roman" w:cs="Times New Roman"/>
          <w:color w:val="000000"/>
        </w:rPr>
      </w:pPr>
    </w:p>
    <w:p w14:paraId="5438044B" w14:textId="77777777" w:rsidR="00832F98" w:rsidRPr="005107DF" w:rsidRDefault="00832F98" w:rsidP="007338F0">
      <w:pPr>
        <w:pBdr>
          <w:top w:val="single" w:sz="6" w:space="0" w:color="auto"/>
          <w:left w:val="single" w:sz="6" w:space="4" w:color="auto"/>
          <w:bottom w:val="single" w:sz="6" w:space="0"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b/>
          <w:color w:val="000000"/>
        </w:rPr>
        <w:t>Lieu et date</w:t>
      </w:r>
      <w:r>
        <w:rPr>
          <w:rFonts w:ascii="Times New Roman" w:hAnsi="Times New Roman"/>
          <w:color w:val="000000"/>
        </w:rPr>
        <w:t xml:space="preserve"> …………..………………Signature de l’État membre:.……………………………………… </w:t>
      </w:r>
    </w:p>
    <w:p w14:paraId="04098698" w14:textId="77777777" w:rsidR="00832F98" w:rsidRPr="005107DF" w:rsidRDefault="00832F98" w:rsidP="00CA6D80">
      <w:pPr>
        <w:spacing w:after="0" w:line="240" w:lineRule="auto"/>
        <w:rPr>
          <w:rFonts w:ascii="Times New Roman" w:eastAsia="Times New Roman" w:hAnsi="Times New Roman" w:cs="Times New Roman"/>
          <w:b/>
          <w:sz w:val="24"/>
          <w:szCs w:val="24"/>
        </w:rPr>
      </w:pPr>
    </w:p>
    <w:p w14:paraId="7C7D246C" w14:textId="77777777" w:rsidR="00832F98" w:rsidRPr="005107DF" w:rsidRDefault="00832F98">
      <w:pPr>
        <w:rPr>
          <w:rFonts w:ascii="Times New Roman" w:eastAsia="SimSun" w:hAnsi="Times New Roman" w:cs="Times New Roman"/>
          <w:color w:val="000000"/>
          <w:sz w:val="32"/>
          <w:szCs w:val="32"/>
        </w:rPr>
      </w:pPr>
      <w:r>
        <w:br w:type="page"/>
      </w:r>
    </w:p>
    <w:p w14:paraId="67EB2DB5"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650" w:name="_Toc517434502"/>
      <w:bookmarkStart w:id="1651" w:name="_Toc2861069"/>
      <w:r>
        <w:rPr>
          <w:sz w:val="32"/>
        </w:rPr>
        <w:lastRenderedPageBreak/>
        <w:t>ANNEXE C</w:t>
      </w:r>
      <w:r w:rsidRPr="00452C1A">
        <w:rPr>
          <w:sz w:val="32"/>
        </w:rPr>
        <w:t>12</w:t>
      </w:r>
      <w:r>
        <w:rPr>
          <w:sz w:val="32"/>
        </w:rPr>
        <w:t>: Modèle pour les avenants</w:t>
      </w:r>
      <w:bookmarkEnd w:id="1650"/>
      <w:bookmarkEnd w:id="1651"/>
    </w:p>
    <w:p w14:paraId="444556F0" w14:textId="77777777" w:rsidR="00832F98" w:rsidRPr="005107DF" w:rsidRDefault="00832F98" w:rsidP="00CA6D80">
      <w:pPr>
        <w:spacing w:after="0" w:line="240" w:lineRule="auto"/>
        <w:rPr>
          <w:rFonts w:ascii="Times New Roman" w:eastAsia="Times New Roman" w:hAnsi="Times New Roman" w:cs="Times New Roman"/>
          <w:b/>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832F98" w:rsidRPr="005107DF" w14:paraId="1CAC344D" w14:textId="77777777" w:rsidTr="007338F0">
        <w:trPr>
          <w:trHeight w:val="1260"/>
        </w:trPr>
        <w:tc>
          <w:tcPr>
            <w:tcW w:w="9214" w:type="dxa"/>
            <w:shd w:val="clear" w:color="auto" w:fill="CCCCCC"/>
          </w:tcPr>
          <w:p w14:paraId="33251B64"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p>
          <w:p w14:paraId="31989BE1"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r>
              <w:rPr>
                <w:rFonts w:ascii="Times New Roman" w:hAnsi="Times New Roman"/>
                <w:b/>
                <w:sz w:val="24"/>
              </w:rPr>
              <w:t>AVENANT N° _________</w:t>
            </w:r>
          </w:p>
          <w:p w14:paraId="46A0C454"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r>
              <w:rPr>
                <w:rFonts w:ascii="Times New Roman" w:hAnsi="Times New Roman"/>
                <w:b/>
                <w:sz w:val="24"/>
              </w:rPr>
              <w:t>AU CONTRAT DE SUBVENTION DE JUMELAGE _________________________</w:t>
            </w:r>
          </w:p>
          <w:p w14:paraId="2098B032"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p>
        </w:tc>
      </w:tr>
      <w:tr w:rsidR="00832F98" w:rsidRPr="005107DF" w14:paraId="23A3C17C" w14:textId="77777777" w:rsidTr="007338F0">
        <w:trPr>
          <w:trHeight w:val="1142"/>
        </w:trPr>
        <w:tc>
          <w:tcPr>
            <w:tcW w:w="9214" w:type="dxa"/>
          </w:tcPr>
          <w:p w14:paraId="155F220D"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7DAA0969" w14:textId="77777777" w:rsidR="00832F98" w:rsidRPr="005107DF" w:rsidRDefault="00832F98" w:rsidP="00CA6D80">
            <w:pPr>
              <w:numPr>
                <w:ilvl w:val="0"/>
                <w:numId w:val="163"/>
              </w:num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 xml:space="preserve">Réaffectation entre rubriques budgétaires dépassant </w:t>
            </w:r>
            <w:r w:rsidRPr="00452C1A">
              <w:rPr>
                <w:rFonts w:ascii="Times New Roman" w:hAnsi="Times New Roman"/>
                <w:spacing w:val="20"/>
                <w:sz w:val="24"/>
              </w:rPr>
              <w:t>25</w:t>
            </w:r>
            <w:r>
              <w:rPr>
                <w:rFonts w:ascii="Times New Roman" w:hAnsi="Times New Roman"/>
                <w:spacing w:val="20"/>
                <w:sz w:val="24"/>
              </w:rPr>
              <w:t> % du budget (dans sa structure initiale ou après modification par un avenant)</w:t>
            </w:r>
          </w:p>
          <w:p w14:paraId="7F38064A" w14:textId="77777777" w:rsidR="00832F98" w:rsidRPr="005107DF" w:rsidRDefault="00832F98" w:rsidP="00CA6D80">
            <w:pPr>
              <w:numPr>
                <w:ilvl w:val="0"/>
                <w:numId w:val="163"/>
              </w:numPr>
              <w:spacing w:after="0" w:line="240" w:lineRule="auto"/>
              <w:jc w:val="both"/>
              <w:rPr>
                <w:rFonts w:ascii="Times New Roman" w:eastAsia="Times New Roman" w:hAnsi="Times New Roman" w:cs="Times New Roman"/>
                <w:b/>
                <w:bCs/>
                <w:sz w:val="24"/>
                <w:szCs w:val="24"/>
              </w:rPr>
            </w:pPr>
            <w:r>
              <w:rPr>
                <w:rFonts w:ascii="Times New Roman" w:hAnsi="Times New Roman"/>
                <w:spacing w:val="20"/>
                <w:sz w:val="24"/>
              </w:rPr>
              <w:t xml:space="preserve">Modification d’un volet et/ou des </w:t>
            </w:r>
            <w:r>
              <w:rPr>
                <w:rFonts w:ascii="Times New Roman" w:hAnsi="Times New Roman"/>
                <w:b/>
                <w:color w:val="000000"/>
                <w:sz w:val="24"/>
              </w:rPr>
              <w:t>résultats obligatoires/produits</w:t>
            </w:r>
            <w:r>
              <w:rPr>
                <w:rFonts w:ascii="Times New Roman" w:hAnsi="Times New Roman"/>
                <w:spacing w:val="20"/>
                <w:sz w:val="24"/>
              </w:rPr>
              <w:t xml:space="preserve"> s’y rapportant</w:t>
            </w:r>
          </w:p>
          <w:p w14:paraId="23563C8C" w14:textId="77777777" w:rsidR="00832F98" w:rsidRPr="005107DF" w:rsidRDefault="00832F98" w:rsidP="00CA6D80">
            <w:pPr>
              <w:numPr>
                <w:ilvl w:val="0"/>
                <w:numId w:val="163"/>
              </w:numPr>
              <w:spacing w:after="0" w:line="240" w:lineRule="auto"/>
              <w:jc w:val="both"/>
              <w:rPr>
                <w:rFonts w:ascii="Times New Roman" w:eastAsia="Times New Roman" w:hAnsi="Times New Roman" w:cs="Times New Roman"/>
                <w:b/>
                <w:bCs/>
                <w:sz w:val="24"/>
                <w:szCs w:val="24"/>
              </w:rPr>
            </w:pPr>
            <w:r>
              <w:rPr>
                <w:rFonts w:ascii="Times New Roman" w:hAnsi="Times New Roman"/>
                <w:spacing w:val="20"/>
                <w:sz w:val="24"/>
              </w:rPr>
              <w:t>Changement de CRJ ou de chef de projet de l’État membre</w:t>
            </w:r>
          </w:p>
          <w:p w14:paraId="3E5D7D7C" w14:textId="77777777" w:rsidR="00832F98" w:rsidRPr="005107DF" w:rsidRDefault="00832F98" w:rsidP="00CA6D80">
            <w:pPr>
              <w:spacing w:after="0" w:line="240" w:lineRule="auto"/>
              <w:ind w:left="360"/>
              <w:jc w:val="both"/>
              <w:rPr>
                <w:rFonts w:ascii="Times New Roman" w:eastAsia="Times New Roman" w:hAnsi="Times New Roman" w:cs="Times New Roman"/>
                <w:b/>
                <w:bCs/>
                <w:sz w:val="24"/>
                <w:szCs w:val="24"/>
              </w:rPr>
            </w:pPr>
          </w:p>
        </w:tc>
      </w:tr>
    </w:tbl>
    <w:p w14:paraId="5C4277CE" w14:textId="77777777" w:rsidR="00832F98" w:rsidRPr="005107DF" w:rsidRDefault="00832F98" w:rsidP="00CA6D80">
      <w:pPr>
        <w:spacing w:after="0" w:line="240" w:lineRule="auto"/>
        <w:jc w:val="both"/>
        <w:rPr>
          <w:rFonts w:ascii="Times New Roman" w:eastAsia="Times New Roman" w:hAnsi="Times New Roman" w:cs="Times New Roman"/>
          <w:bCs/>
          <w:sz w:val="24"/>
          <w:szCs w:val="24"/>
        </w:rPr>
      </w:pPr>
    </w:p>
    <w:p w14:paraId="7CFAF7CB" w14:textId="77777777" w:rsidR="00832F98" w:rsidRPr="005107DF" w:rsidRDefault="00832F98" w:rsidP="00CA6D80">
      <w:pPr>
        <w:spacing w:after="0" w:line="240" w:lineRule="auto"/>
        <w:jc w:val="both"/>
        <w:rPr>
          <w:rFonts w:ascii="Times New Roman" w:eastAsia="Times New Roman" w:hAnsi="Times New Roman" w:cs="Times New Roman"/>
          <w:bCs/>
          <w:iCs/>
          <w:sz w:val="24"/>
          <w:szCs w:val="24"/>
        </w:rPr>
      </w:pPr>
      <w:r>
        <w:rPr>
          <w:rFonts w:ascii="Times New Roman" w:hAnsi="Times New Roman"/>
          <w:i/>
          <w:sz w:val="24"/>
        </w:rPr>
        <w:t xml:space="preserve">L’administration contractante (ci-après dénommée AC) </w:t>
      </w:r>
      <w:r>
        <w:rPr>
          <w:rFonts w:ascii="Times New Roman" w:hAnsi="Times New Roman"/>
          <w:sz w:val="24"/>
        </w:rPr>
        <w:t xml:space="preserve">[nom et adresse, le cas échéant] </w:t>
      </w:r>
    </w:p>
    <w:p w14:paraId="43011E68" w14:textId="77777777" w:rsidR="00832F98" w:rsidRPr="005107DF" w:rsidRDefault="00832F98" w:rsidP="00CA6D80">
      <w:pPr>
        <w:spacing w:after="0" w:line="240" w:lineRule="auto"/>
        <w:jc w:val="both"/>
        <w:rPr>
          <w:rFonts w:ascii="Times New Roman" w:eastAsia="Times New Roman" w:hAnsi="Times New Roman" w:cs="Times New Roman"/>
          <w:bCs/>
          <w:sz w:val="24"/>
          <w:szCs w:val="24"/>
        </w:rPr>
      </w:pPr>
    </w:p>
    <w:p w14:paraId="1CF858C5" w14:textId="04AE3324" w:rsidR="00832F98" w:rsidRPr="005107DF" w:rsidRDefault="00832F98" w:rsidP="00CA6D80">
      <w:pPr>
        <w:spacing w:after="0" w:line="240" w:lineRule="auto"/>
        <w:jc w:val="both"/>
        <w:rPr>
          <w:rFonts w:ascii="Times New Roman" w:eastAsia="Times New Roman" w:hAnsi="Times New Roman" w:cs="Times New Roman"/>
          <w:bCs/>
          <w:sz w:val="24"/>
          <w:szCs w:val="24"/>
        </w:rPr>
      </w:pPr>
      <w:r>
        <w:rPr>
          <w:rFonts w:ascii="Times New Roman" w:hAnsi="Times New Roman"/>
          <w:sz w:val="24"/>
        </w:rPr>
        <w:t>                                                                                               </w:t>
      </w:r>
      <w:r w:rsidR="00434C10">
        <w:tab/>
        <w:t xml:space="preserve">     </w:t>
      </w:r>
      <w:r>
        <w:rPr>
          <w:rFonts w:ascii="Times New Roman" w:hAnsi="Times New Roman"/>
          <w:sz w:val="24"/>
        </w:rPr>
        <w:t>d’autre part,</w:t>
      </w:r>
    </w:p>
    <w:p w14:paraId="7E724100" w14:textId="77777777" w:rsidR="00832F98" w:rsidRPr="005107DF" w:rsidRDefault="00832F98" w:rsidP="00CA6D80">
      <w:pPr>
        <w:spacing w:after="0" w:line="240" w:lineRule="auto"/>
        <w:jc w:val="both"/>
        <w:rPr>
          <w:rFonts w:ascii="Times New Roman" w:eastAsia="Times New Roman" w:hAnsi="Times New Roman" w:cs="Times New Roman"/>
          <w:bCs/>
          <w:sz w:val="24"/>
          <w:szCs w:val="24"/>
        </w:rPr>
      </w:pPr>
      <w:r>
        <w:rPr>
          <w:rFonts w:ascii="Times New Roman" w:hAnsi="Times New Roman"/>
          <w:sz w:val="24"/>
        </w:rPr>
        <w:t xml:space="preserve">  </w:t>
      </w:r>
      <w:r>
        <w:rPr>
          <w:rFonts w:ascii="Times New Roman" w:eastAsia="Times New Roman" w:hAnsi="Times New Roman" w:cs="Times New Roman"/>
          <w:bCs/>
          <w:sz w:val="24"/>
          <w:szCs w:val="24"/>
        </w:rPr>
        <w:br/>
      </w:r>
      <w:r>
        <w:rPr>
          <w:rFonts w:ascii="Times New Roman" w:hAnsi="Times New Roman"/>
          <w:sz w:val="24"/>
        </w:rPr>
        <w:t xml:space="preserve">et </w:t>
      </w:r>
      <w:r>
        <w:rPr>
          <w:rFonts w:ascii="Times New Roman" w:eastAsia="Times New Roman" w:hAnsi="Times New Roman" w:cs="Times New Roman"/>
          <w:bCs/>
          <w:sz w:val="24"/>
          <w:szCs w:val="24"/>
        </w:rPr>
        <w:br/>
      </w:r>
      <w:r>
        <w:rPr>
          <w:rFonts w:ascii="Times New Roman" w:hAnsi="Times New Roman"/>
          <w:sz w:val="24"/>
        </w:rPr>
        <w:t xml:space="preserve">  </w:t>
      </w:r>
    </w:p>
    <w:p w14:paraId="00348920" w14:textId="77777777" w:rsidR="00832F98" w:rsidRPr="005107DF" w:rsidRDefault="00832F98" w:rsidP="00CA6D80">
      <w:pPr>
        <w:spacing w:after="0" w:line="240" w:lineRule="auto"/>
        <w:jc w:val="both"/>
        <w:rPr>
          <w:rFonts w:ascii="Times New Roman" w:eastAsia="Times New Roman" w:hAnsi="Times New Roman" w:cs="Times New Roman"/>
          <w:bCs/>
          <w:sz w:val="24"/>
          <w:szCs w:val="24"/>
        </w:rPr>
      </w:pPr>
      <w:r>
        <w:rPr>
          <w:rFonts w:ascii="Times New Roman" w:hAnsi="Times New Roman"/>
          <w:sz w:val="24"/>
        </w:rPr>
        <w:t>[Dénomination complète de l’État membre ou acronyme s’il y a lieu] ayant son siège à [adresse du siège principal pour les organismes publics][, numéro de TVA ou numéro d’enregistrement officiel équivalent, le cas échéant], représenté par [nom de la personne habilitée à signer le contrat; autrement dit le même intitulé que pour le contrat initial] («l’État membre partenaire» - EMP),</w:t>
      </w:r>
    </w:p>
    <w:p w14:paraId="7A7D484B"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r>
        <w:rPr>
          <w:rFonts w:ascii="Times New Roman" w:hAnsi="Times New Roman"/>
          <w:b/>
          <w:sz w:val="24"/>
        </w:rPr>
        <w:t xml:space="preserve">  </w:t>
      </w:r>
    </w:p>
    <w:p w14:paraId="334B63E1" w14:textId="77777777" w:rsidR="00832F98" w:rsidRPr="005107DF" w:rsidRDefault="00832F98" w:rsidP="00CA6D80">
      <w:pPr>
        <w:spacing w:after="0" w:line="240" w:lineRule="auto"/>
        <w:ind w:left="6372"/>
        <w:jc w:val="both"/>
        <w:rPr>
          <w:rFonts w:ascii="Times New Roman" w:eastAsia="Times New Roman" w:hAnsi="Times New Roman" w:cs="Times New Roman"/>
          <w:bCs/>
          <w:sz w:val="24"/>
          <w:szCs w:val="24"/>
        </w:rPr>
      </w:pPr>
      <w:r>
        <w:rPr>
          <w:rFonts w:ascii="Times New Roman" w:hAnsi="Times New Roman"/>
          <w:sz w:val="24"/>
        </w:rPr>
        <w:t>d’autre part,</w:t>
      </w:r>
    </w:p>
    <w:p w14:paraId="6E436F8C"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r>
        <w:rPr>
          <w:rFonts w:ascii="Times New Roman" w:hAnsi="Times New Roman"/>
          <w:b/>
          <w:sz w:val="24"/>
        </w:rPr>
        <w:t xml:space="preserve">  </w:t>
      </w:r>
    </w:p>
    <w:p w14:paraId="2C1B52A2" w14:textId="77777777" w:rsidR="00832F98" w:rsidRPr="005107DF" w:rsidRDefault="00832F98" w:rsidP="00CA6D80">
      <w:pPr>
        <w:spacing w:after="0" w:line="240" w:lineRule="auto"/>
        <w:jc w:val="both"/>
        <w:rPr>
          <w:rFonts w:ascii="Times New Roman" w:eastAsia="Times New Roman" w:hAnsi="Times New Roman" w:cs="Times New Roman"/>
          <w:bCs/>
          <w:sz w:val="24"/>
          <w:szCs w:val="24"/>
        </w:rPr>
      </w:pPr>
      <w:r>
        <w:rPr>
          <w:rFonts w:ascii="Times New Roman" w:hAnsi="Times New Roman"/>
          <w:sz w:val="24"/>
        </w:rPr>
        <w:t>sont convenues de ce qui suit:</w:t>
      </w:r>
    </w:p>
    <w:p w14:paraId="2F3DE599" w14:textId="77777777" w:rsidR="00832F98" w:rsidRPr="005107DF" w:rsidRDefault="00832F98" w:rsidP="00CA6D80">
      <w:pPr>
        <w:spacing w:after="0" w:line="240" w:lineRule="auto"/>
        <w:jc w:val="both"/>
        <w:rPr>
          <w:rFonts w:ascii="Times New Roman" w:eastAsia="Times New Roman" w:hAnsi="Times New Roman" w:cs="Times New Roman"/>
          <w:bCs/>
          <w:sz w:val="24"/>
          <w:szCs w:val="24"/>
        </w:rPr>
      </w:pPr>
    </w:p>
    <w:p w14:paraId="749DE2C4"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1</w:t>
      </w:r>
      <w:r>
        <w:rPr>
          <w:rFonts w:ascii="Times New Roman" w:hAnsi="Times New Roman"/>
          <w:b/>
          <w:sz w:val="24"/>
          <w:vertAlign w:val="superscript"/>
        </w:rPr>
        <w:t>er</w:t>
      </w:r>
      <w:r>
        <w:rPr>
          <w:rFonts w:ascii="Times New Roman" w:hAnsi="Times New Roman"/>
          <w:b/>
          <w:sz w:val="24"/>
        </w:rPr>
        <w:t>: Objectif</w:t>
      </w:r>
    </w:p>
    <w:p w14:paraId="68115E47"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7D5ACB57"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Le présent avenant au contrat de subvention de jumelage a pour objet de </w:t>
      </w:r>
    </w:p>
    <w:p w14:paraId="1F37CAFC" w14:textId="77777777" w:rsidR="00832F98" w:rsidRPr="005107DF" w:rsidRDefault="00832F98" w:rsidP="00CA6D80">
      <w:pPr>
        <w:spacing w:after="0" w:line="240" w:lineRule="auto"/>
        <w:jc w:val="both"/>
        <w:rPr>
          <w:rFonts w:ascii="Times New Roman" w:eastAsia="Times New Roman" w:hAnsi="Times New Roman" w:cs="Times New Roman"/>
          <w:i/>
          <w:sz w:val="24"/>
          <w:szCs w:val="24"/>
        </w:rPr>
      </w:pPr>
      <w:r>
        <w:rPr>
          <w:rFonts w:ascii="Times New Roman" w:hAnsi="Times New Roman"/>
          <w:i/>
          <w:sz w:val="24"/>
        </w:rPr>
        <w:t>[décrivez la modification – CE QUI VA CHANGER]</w:t>
      </w:r>
    </w:p>
    <w:p w14:paraId="3A72DB1F"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634D093B"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Cette modification est nécessaire en raison de: </w:t>
      </w:r>
    </w:p>
    <w:p w14:paraId="1D67F587" w14:textId="77777777" w:rsidR="00832F98" w:rsidRPr="005107DF" w:rsidRDefault="00832F98" w:rsidP="00CA6D80">
      <w:pPr>
        <w:spacing w:after="0" w:line="240" w:lineRule="auto"/>
        <w:jc w:val="both"/>
        <w:rPr>
          <w:rFonts w:ascii="Times New Roman" w:eastAsia="Times New Roman" w:hAnsi="Times New Roman" w:cs="Times New Roman"/>
          <w:i/>
          <w:sz w:val="24"/>
          <w:szCs w:val="24"/>
        </w:rPr>
      </w:pPr>
      <w:r>
        <w:rPr>
          <w:rFonts w:ascii="Times New Roman" w:hAnsi="Times New Roman"/>
          <w:i/>
          <w:sz w:val="24"/>
        </w:rPr>
        <w:t xml:space="preserve">[donnez une justification – POURQUOI CELA VA CHANGER] </w:t>
      </w:r>
    </w:p>
    <w:p w14:paraId="3842EE65"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7AC074ED"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2</w:t>
      </w:r>
      <w:r>
        <w:rPr>
          <w:rFonts w:ascii="Times New Roman" w:hAnsi="Times New Roman"/>
          <w:b/>
          <w:sz w:val="24"/>
        </w:rPr>
        <w:t>: Modification</w:t>
      </w:r>
    </w:p>
    <w:p w14:paraId="445298F1"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p>
    <w:p w14:paraId="2FC21E4F"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L’annexe A</w:t>
      </w:r>
      <w:r w:rsidRPr="00452C1A">
        <w:rPr>
          <w:rFonts w:ascii="Times New Roman" w:hAnsi="Times New Roman"/>
          <w:sz w:val="24"/>
        </w:rPr>
        <w:t>3</w:t>
      </w:r>
      <w:r>
        <w:rPr>
          <w:rFonts w:ascii="Times New Roman" w:hAnsi="Times New Roman"/>
          <w:sz w:val="24"/>
        </w:rPr>
        <w:t xml:space="preserve"> – Budget de l’action – du contrat initial est modifiée comme décrit à l’annexe </w:t>
      </w:r>
      <w:r w:rsidRPr="00452C1A">
        <w:rPr>
          <w:rFonts w:ascii="Times New Roman" w:hAnsi="Times New Roman"/>
          <w:sz w:val="24"/>
        </w:rPr>
        <w:t>1</w:t>
      </w:r>
      <w:r>
        <w:rPr>
          <w:rFonts w:ascii="Times New Roman" w:hAnsi="Times New Roman"/>
          <w:sz w:val="24"/>
        </w:rPr>
        <w:t>.</w:t>
      </w:r>
    </w:p>
    <w:p w14:paraId="45117E7C"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4B2E4751"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Les articles </w:t>
      </w:r>
      <w:r>
        <w:rPr>
          <w:rFonts w:ascii="Times New Roman" w:hAnsi="Times New Roman"/>
          <w:i/>
          <w:sz w:val="24"/>
        </w:rPr>
        <w:t>[précisez les numéros et intitulés]</w:t>
      </w:r>
      <w:r>
        <w:rPr>
          <w:rFonts w:ascii="Times New Roman" w:hAnsi="Times New Roman"/>
          <w:sz w:val="24"/>
        </w:rPr>
        <w:t xml:space="preserve"> du contrat initial sont modifiés comme décrit à l’annexe </w:t>
      </w:r>
      <w:r w:rsidRPr="00452C1A">
        <w:rPr>
          <w:rFonts w:ascii="Times New Roman" w:hAnsi="Times New Roman"/>
          <w:sz w:val="24"/>
        </w:rPr>
        <w:t>2</w:t>
      </w:r>
      <w:r>
        <w:rPr>
          <w:rFonts w:ascii="Times New Roman" w:hAnsi="Times New Roman"/>
          <w:sz w:val="24"/>
        </w:rPr>
        <w:t>.</w:t>
      </w:r>
    </w:p>
    <w:p w14:paraId="4972DA53"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562E6B35" w14:textId="77777777" w:rsidR="00832F98"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&lt;Utiliser l’annexe A</w:t>
      </w:r>
      <w:r w:rsidRPr="00452C1A">
        <w:rPr>
          <w:rFonts w:ascii="Times New Roman" w:hAnsi="Times New Roman"/>
          <w:b/>
          <w:color w:val="000000"/>
          <w:sz w:val="24"/>
        </w:rPr>
        <w:t>3</w:t>
      </w:r>
      <w:r>
        <w:rPr>
          <w:rFonts w:ascii="Times New Roman" w:hAnsi="Times New Roman"/>
          <w:b/>
          <w:color w:val="000000"/>
          <w:sz w:val="24"/>
        </w:rPr>
        <w:t xml:space="preserve"> du contrat comme base et ajouter une colonne présentant la ventilation exacte du budget avant et après la modification&gt;</w:t>
      </w:r>
    </w:p>
    <w:p w14:paraId="4DD3ADEA" w14:textId="77777777" w:rsidR="00832F98" w:rsidRPr="005107DF" w:rsidRDefault="00832F98" w:rsidP="00CA6D80">
      <w:pPr>
        <w:spacing w:after="0" w:line="240" w:lineRule="auto"/>
        <w:rPr>
          <w:rFonts w:ascii="Times New Roman" w:eastAsia="Times New Roman" w:hAnsi="Times New Roman" w:cs="Times New Roman"/>
          <w:b/>
          <w:i/>
          <w:color w:val="000000"/>
          <w:sz w:val="24"/>
          <w:szCs w:val="24"/>
        </w:rPr>
      </w:pPr>
    </w:p>
    <w:p w14:paraId="4CC3C5CB"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0D87EA25"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lastRenderedPageBreak/>
        <w:t>ARTICLE </w:t>
      </w:r>
      <w:r w:rsidRPr="00452C1A">
        <w:rPr>
          <w:rFonts w:ascii="Times New Roman" w:hAnsi="Times New Roman"/>
          <w:b/>
          <w:sz w:val="24"/>
        </w:rPr>
        <w:t>3</w:t>
      </w:r>
      <w:r>
        <w:rPr>
          <w:rFonts w:ascii="Times New Roman" w:hAnsi="Times New Roman"/>
          <w:b/>
          <w:sz w:val="24"/>
        </w:rPr>
        <w:t>: Montant cumulé des modifications notifiées</w:t>
      </w:r>
    </w:p>
    <w:p w14:paraId="322E4869" w14:textId="77777777" w:rsidR="00832F98" w:rsidRPr="005107DF" w:rsidRDefault="00832F98" w:rsidP="00CA6D80">
      <w:pPr>
        <w:spacing w:after="0" w:line="240" w:lineRule="auto"/>
        <w:jc w:val="both"/>
        <w:rPr>
          <w:rFonts w:ascii="Times New Roman" w:eastAsia="Times New Roman" w:hAnsi="Times New Roman" w:cs="Times New Roman"/>
          <w:b/>
          <w:bCs/>
          <w:spacing w:val="20"/>
          <w:sz w:val="24"/>
          <w:szCs w:val="24"/>
        </w:rPr>
      </w:pPr>
    </w:p>
    <w:p w14:paraId="349CBC1D" w14:textId="77777777" w:rsidR="00832F98" w:rsidRPr="005107DF" w:rsidRDefault="00832F98" w:rsidP="00CA6D80">
      <w:pPr>
        <w:spacing w:after="0" w:line="240" w:lineRule="auto"/>
        <w:jc w:val="both"/>
        <w:rPr>
          <w:rFonts w:ascii="Times New Roman" w:eastAsia="Times New Roman" w:hAnsi="Times New Roman" w:cs="Times New Roman"/>
          <w:bCs/>
          <w:iCs/>
          <w:sz w:val="24"/>
          <w:szCs w:val="24"/>
        </w:rPr>
      </w:pPr>
      <w:r>
        <w:rPr>
          <w:rFonts w:ascii="Times New Roman" w:hAnsi="Times New Roman"/>
          <w:sz w:val="24"/>
        </w:rPr>
        <w:t>Le montant total des modifications notifiées, en application de la règle de flexibilité, est à ce jour de _____ EUR, ce qui représente ___ % du budget total.</w:t>
      </w:r>
    </w:p>
    <w:p w14:paraId="7BE96173"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434C6C77"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4</w:t>
      </w:r>
      <w:r>
        <w:rPr>
          <w:rFonts w:ascii="Times New Roman" w:hAnsi="Times New Roman"/>
          <w:b/>
          <w:sz w:val="24"/>
        </w:rPr>
        <w:t>: Confirmation de validité</w:t>
      </w:r>
    </w:p>
    <w:p w14:paraId="65E9FC73" w14:textId="77777777" w:rsidR="00832F98" w:rsidRPr="005107DF" w:rsidRDefault="00832F98" w:rsidP="00CA6D80">
      <w:pPr>
        <w:spacing w:after="0" w:line="240" w:lineRule="auto"/>
        <w:jc w:val="both"/>
        <w:rPr>
          <w:rFonts w:ascii="Times New Roman" w:eastAsia="Times New Roman" w:hAnsi="Times New Roman" w:cs="Times New Roman"/>
          <w:b/>
          <w:spacing w:val="20"/>
          <w:sz w:val="24"/>
          <w:szCs w:val="24"/>
        </w:rPr>
      </w:pPr>
    </w:p>
    <w:p w14:paraId="5C86C535" w14:textId="77777777" w:rsidR="00832F98" w:rsidRPr="005107DF" w:rsidRDefault="00832F98" w:rsidP="00CA6D80">
      <w:pPr>
        <w:spacing w:after="0" w:line="240" w:lineRule="auto"/>
        <w:jc w:val="both"/>
        <w:rPr>
          <w:rFonts w:ascii="Times New Roman" w:eastAsia="Times New Roman" w:hAnsi="Times New Roman" w:cs="Times New Roman"/>
          <w:bCs/>
          <w:iCs/>
          <w:sz w:val="24"/>
          <w:szCs w:val="24"/>
        </w:rPr>
      </w:pPr>
      <w:r>
        <w:rPr>
          <w:rFonts w:ascii="Times New Roman" w:hAnsi="Times New Roman"/>
          <w:sz w:val="24"/>
        </w:rPr>
        <w:t>Toutes les parties et dispositions du contrat initial, ainsi que les lettres d’accompagnement/plans de travail ou les avenants, qui ne sont pas modifiés ici restent valides.</w:t>
      </w:r>
    </w:p>
    <w:p w14:paraId="39485EA4" w14:textId="77777777" w:rsidR="00832F98" w:rsidRPr="005107DF" w:rsidRDefault="00832F98" w:rsidP="00CA6D80">
      <w:pPr>
        <w:spacing w:after="0" w:line="240" w:lineRule="auto"/>
        <w:jc w:val="both"/>
        <w:rPr>
          <w:rFonts w:ascii="Times New Roman" w:eastAsia="Times New Roman" w:hAnsi="Times New Roman" w:cs="Times New Roman"/>
          <w:bCs/>
          <w:iCs/>
          <w:sz w:val="24"/>
          <w:szCs w:val="24"/>
        </w:rPr>
      </w:pPr>
    </w:p>
    <w:p w14:paraId="286391FF" w14:textId="77777777" w:rsidR="00832F98" w:rsidRPr="005107DF" w:rsidRDefault="00832F98" w:rsidP="00CA6D80">
      <w:pPr>
        <w:spacing w:after="0" w:line="240" w:lineRule="auto"/>
        <w:jc w:val="both"/>
        <w:rPr>
          <w:rFonts w:ascii="Times New Roman" w:eastAsia="Times New Roman" w:hAnsi="Times New Roman" w:cs="Times New Roman"/>
          <w:bCs/>
          <w:iCs/>
          <w:sz w:val="24"/>
          <w:szCs w:val="24"/>
        </w:rPr>
      </w:pPr>
      <w:r>
        <w:rPr>
          <w:rFonts w:ascii="Times New Roman" w:hAnsi="Times New Roman"/>
          <w:sz w:val="24"/>
        </w:rPr>
        <w:t>Le présent avenant prendra effet à compter de la notification, par l’administration contractante, de son approbation par toutes les parties au contrat, comme indiqué ci-dessous, et du paraphe, par les parties, des modifications apportées aux annexes </w:t>
      </w:r>
      <w:r w:rsidRPr="00452C1A">
        <w:rPr>
          <w:rFonts w:ascii="Times New Roman" w:hAnsi="Times New Roman"/>
          <w:sz w:val="24"/>
        </w:rPr>
        <w:t>1</w:t>
      </w:r>
      <w:r>
        <w:rPr>
          <w:rFonts w:ascii="Times New Roman" w:hAnsi="Times New Roman"/>
          <w:sz w:val="24"/>
        </w:rPr>
        <w:t xml:space="preserve"> et </w:t>
      </w:r>
      <w:r w:rsidRPr="00452C1A">
        <w:rPr>
          <w:rFonts w:ascii="Times New Roman" w:hAnsi="Times New Roman"/>
          <w:sz w:val="24"/>
        </w:rPr>
        <w:t>3</w:t>
      </w:r>
      <w:r>
        <w:rPr>
          <w:rFonts w:ascii="Times New Roman" w:hAnsi="Times New Roman"/>
          <w:sz w:val="24"/>
        </w:rPr>
        <w:t xml:space="preserve">, qui ont été convenues dans le cadre des modalités de mise en œuvre du projet. </w:t>
      </w:r>
    </w:p>
    <w:p w14:paraId="0EE4A401" w14:textId="77777777" w:rsidR="00832F98" w:rsidRPr="005107DF" w:rsidRDefault="00832F98" w:rsidP="00CA6D80">
      <w:pPr>
        <w:spacing w:after="0" w:line="240" w:lineRule="auto"/>
        <w:jc w:val="both"/>
        <w:rPr>
          <w:rFonts w:ascii="Times New Roman" w:eastAsia="Times New Roman" w:hAnsi="Times New Roman" w:cs="Times New Roman"/>
          <w:bCs/>
          <w:iCs/>
          <w:sz w:val="24"/>
          <w:szCs w:val="24"/>
        </w:rPr>
      </w:pPr>
    </w:p>
    <w:p w14:paraId="74746EF6"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r>
        <w:rPr>
          <w:rFonts w:ascii="Times New Roman" w:hAnsi="Times New Roman"/>
          <w:b/>
          <w:sz w:val="24"/>
        </w:rPr>
        <w:t>ARTICLE </w:t>
      </w:r>
      <w:r w:rsidRPr="00452C1A">
        <w:rPr>
          <w:rFonts w:ascii="Times New Roman" w:hAnsi="Times New Roman"/>
          <w:b/>
          <w:sz w:val="24"/>
        </w:rPr>
        <w:t>5</w:t>
      </w:r>
      <w:r>
        <w:rPr>
          <w:rFonts w:ascii="Times New Roman" w:hAnsi="Times New Roman"/>
          <w:b/>
          <w:sz w:val="24"/>
        </w:rPr>
        <w:t>: Annexes</w:t>
      </w:r>
    </w:p>
    <w:p w14:paraId="31D1C0D7"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p>
    <w:p w14:paraId="56DFBA1E"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r>
        <w:rPr>
          <w:rFonts w:ascii="Times New Roman" w:hAnsi="Times New Roman"/>
          <w:b/>
          <w:sz w:val="24"/>
        </w:rPr>
        <w:t xml:space="preserve">Annexe </w:t>
      </w:r>
      <w:r w:rsidRPr="00452C1A">
        <w:rPr>
          <w:rFonts w:ascii="Times New Roman" w:hAnsi="Times New Roman"/>
          <w:b/>
          <w:sz w:val="24"/>
        </w:rPr>
        <w:t>1</w:t>
      </w:r>
      <w:r>
        <w:rPr>
          <w:rFonts w:ascii="Times New Roman" w:hAnsi="Times New Roman"/>
          <w:b/>
          <w:sz w:val="24"/>
        </w:rPr>
        <w:t xml:space="preserve">: </w:t>
      </w:r>
    </w:p>
    <w:p w14:paraId="5FF3EBB6"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r>
        <w:rPr>
          <w:rFonts w:ascii="Times New Roman" w:hAnsi="Times New Roman"/>
          <w:sz w:val="24"/>
        </w:rPr>
        <w:t>Tableau comparatif des sections du budget concernées, avant et après modification</w:t>
      </w:r>
    </w:p>
    <w:p w14:paraId="2BA684A7"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p>
    <w:p w14:paraId="2E3BC4D9"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b/>
          <w:sz w:val="24"/>
        </w:rPr>
        <w:t xml:space="preserve">Annexe </w:t>
      </w:r>
      <w:r w:rsidRPr="00452C1A">
        <w:rPr>
          <w:rFonts w:ascii="Times New Roman" w:hAnsi="Times New Roman"/>
          <w:b/>
          <w:sz w:val="24"/>
        </w:rPr>
        <w:t>2</w:t>
      </w:r>
      <w:r>
        <w:rPr>
          <w:rFonts w:ascii="Times New Roman" w:hAnsi="Times New Roman"/>
          <w:b/>
          <w:sz w:val="24"/>
        </w:rPr>
        <w:t>:</w:t>
      </w:r>
      <w:r>
        <w:rPr>
          <w:rFonts w:ascii="Times New Roman" w:hAnsi="Times New Roman"/>
          <w:sz w:val="24"/>
        </w:rPr>
        <w:t xml:space="preserve"> </w:t>
      </w:r>
    </w:p>
    <w:p w14:paraId="45FB8BED" w14:textId="77777777" w:rsidR="00832F98" w:rsidRPr="005107DF" w:rsidRDefault="00832F98" w:rsidP="00CA6D80">
      <w:pPr>
        <w:spacing w:after="0" w:line="240" w:lineRule="auto"/>
        <w:jc w:val="both"/>
        <w:rPr>
          <w:rFonts w:ascii="Times New Roman" w:eastAsia="Times New Roman" w:hAnsi="Times New Roman" w:cs="Times New Roman"/>
          <w:bCs/>
          <w:iCs/>
          <w:sz w:val="24"/>
          <w:szCs w:val="24"/>
        </w:rPr>
      </w:pPr>
      <w:r>
        <w:rPr>
          <w:rFonts w:ascii="Times New Roman" w:hAnsi="Times New Roman"/>
          <w:sz w:val="24"/>
        </w:rPr>
        <w:t>Libellé initial et nouveau libellé du texte modifié</w:t>
      </w:r>
    </w:p>
    <w:p w14:paraId="5E33EDCB" w14:textId="77777777" w:rsidR="00832F98" w:rsidRPr="005107DF" w:rsidRDefault="00832F98" w:rsidP="00CA6D80">
      <w:pPr>
        <w:spacing w:after="0" w:line="240" w:lineRule="auto"/>
        <w:rPr>
          <w:rFonts w:ascii="Times New Roman" w:eastAsia="Times New Roman" w:hAnsi="Times New Roman" w:cs="Times New Roman"/>
          <w:bCs/>
          <w:spacing w:val="20"/>
          <w:sz w:val="24"/>
          <w:szCs w:val="24"/>
        </w:rPr>
      </w:pPr>
    </w:p>
    <w:p w14:paraId="093677C4" w14:textId="77777777" w:rsidR="00832F98" w:rsidRPr="005107DF" w:rsidRDefault="00832F98" w:rsidP="00CA6D80">
      <w:pPr>
        <w:spacing w:after="0" w:line="240" w:lineRule="auto"/>
        <w:rPr>
          <w:rFonts w:ascii="Times New Roman" w:eastAsia="Times New Roman" w:hAnsi="Times New Roman" w:cs="Times New Roman"/>
          <w:sz w:val="24"/>
          <w:szCs w:val="24"/>
        </w:rPr>
      </w:pPr>
      <w:r>
        <w:rPr>
          <w:rFonts w:ascii="Times New Roman" w:hAnsi="Times New Roman"/>
          <w:spacing w:val="20"/>
          <w:sz w:val="24"/>
        </w:rPr>
        <w:t xml:space="preserve"> </w:t>
      </w:r>
    </w:p>
    <w:tbl>
      <w:tblPr>
        <w:tblW w:w="0" w:type="auto"/>
        <w:tblLayout w:type="fixed"/>
        <w:tblLook w:val="0000" w:firstRow="0" w:lastRow="0" w:firstColumn="0" w:lastColumn="0" w:noHBand="0" w:noVBand="0"/>
      </w:tblPr>
      <w:tblGrid>
        <w:gridCol w:w="4428"/>
        <w:gridCol w:w="4327"/>
      </w:tblGrid>
      <w:tr w:rsidR="00832F98" w:rsidRPr="005107DF" w14:paraId="4FED88A9" w14:textId="77777777" w:rsidTr="00CA6D80">
        <w:tc>
          <w:tcPr>
            <w:tcW w:w="4428" w:type="dxa"/>
          </w:tcPr>
          <w:p w14:paraId="099D46B7" w14:textId="77777777" w:rsidR="00832F98" w:rsidRPr="005107DF" w:rsidRDefault="00832F98" w:rsidP="00434C10">
            <w:p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Pour l’État membre</w:t>
            </w:r>
          </w:p>
        </w:tc>
        <w:tc>
          <w:tcPr>
            <w:tcW w:w="4327" w:type="dxa"/>
          </w:tcPr>
          <w:p w14:paraId="71AE89E8" w14:textId="77777777" w:rsidR="00832F98" w:rsidRPr="005107DF" w:rsidRDefault="00832F98" w:rsidP="00434C10">
            <w:pPr>
              <w:spacing w:after="0" w:line="240" w:lineRule="auto"/>
              <w:rPr>
                <w:rFonts w:ascii="Times New Roman" w:eastAsia="Times New Roman" w:hAnsi="Times New Roman" w:cs="Times New Roman"/>
                <w:spacing w:val="20"/>
                <w:sz w:val="24"/>
                <w:szCs w:val="24"/>
              </w:rPr>
            </w:pPr>
            <w:r>
              <w:rPr>
                <w:rFonts w:ascii="Times New Roman" w:hAnsi="Times New Roman"/>
                <w:spacing w:val="20"/>
                <w:sz w:val="24"/>
              </w:rPr>
              <w:t>Pour le bénéficiaire final de l’action</w:t>
            </w:r>
          </w:p>
        </w:tc>
      </w:tr>
      <w:tr w:rsidR="00832F98" w:rsidRPr="005107DF" w14:paraId="762658CA" w14:textId="77777777" w:rsidTr="00CA6D80">
        <w:tc>
          <w:tcPr>
            <w:tcW w:w="4428" w:type="dxa"/>
          </w:tcPr>
          <w:p w14:paraId="66A08D24" w14:textId="77777777" w:rsidR="00832F98" w:rsidRPr="005107DF" w:rsidRDefault="00832F98" w:rsidP="00434C10">
            <w:p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Nom:</w:t>
            </w:r>
          </w:p>
        </w:tc>
        <w:tc>
          <w:tcPr>
            <w:tcW w:w="4327" w:type="dxa"/>
          </w:tcPr>
          <w:p w14:paraId="38537E70" w14:textId="77777777" w:rsidR="00832F98" w:rsidRPr="005107DF" w:rsidRDefault="00832F98" w:rsidP="00434C10">
            <w:pPr>
              <w:spacing w:after="0" w:line="240" w:lineRule="auto"/>
              <w:rPr>
                <w:rFonts w:ascii="Times New Roman" w:eastAsia="Times New Roman" w:hAnsi="Times New Roman" w:cs="Times New Roman"/>
                <w:spacing w:val="20"/>
                <w:sz w:val="24"/>
                <w:szCs w:val="24"/>
              </w:rPr>
            </w:pPr>
            <w:r>
              <w:rPr>
                <w:rFonts w:ascii="Times New Roman" w:hAnsi="Times New Roman"/>
                <w:spacing w:val="20"/>
                <w:sz w:val="24"/>
              </w:rPr>
              <w:t>Nom:</w:t>
            </w:r>
          </w:p>
        </w:tc>
      </w:tr>
      <w:tr w:rsidR="00832F98" w:rsidRPr="005107DF" w14:paraId="5B6B37FC" w14:textId="77777777" w:rsidTr="00CA6D80">
        <w:tc>
          <w:tcPr>
            <w:tcW w:w="4428" w:type="dxa"/>
          </w:tcPr>
          <w:p w14:paraId="38292FE0"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p w14:paraId="1F1E6CD5"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p w14:paraId="6D41F3A7"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r>
              <w:rPr>
                <w:rFonts w:ascii="Times New Roman" w:hAnsi="Times New Roman"/>
                <w:i/>
                <w:spacing w:val="20"/>
                <w:sz w:val="24"/>
              </w:rPr>
              <w:t>(signature du signataire initial du contrat ou du chef de projet en cas de délégations de pouvoir)</w:t>
            </w:r>
          </w:p>
          <w:p w14:paraId="162D4A6D"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tc>
        <w:tc>
          <w:tcPr>
            <w:tcW w:w="4327" w:type="dxa"/>
          </w:tcPr>
          <w:p w14:paraId="628CFBB5"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p w14:paraId="55A12CDD"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p w14:paraId="2342F985"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r>
              <w:rPr>
                <w:rFonts w:ascii="Times New Roman" w:hAnsi="Times New Roman"/>
                <w:i/>
                <w:spacing w:val="20"/>
                <w:sz w:val="24"/>
              </w:rPr>
              <w:t>(signature du chef de projet du bénéficiaire)</w:t>
            </w:r>
          </w:p>
        </w:tc>
      </w:tr>
      <w:tr w:rsidR="00832F98" w:rsidRPr="005107DF" w14:paraId="4B730F64" w14:textId="77777777" w:rsidTr="00CA6D80">
        <w:tc>
          <w:tcPr>
            <w:tcW w:w="4428" w:type="dxa"/>
          </w:tcPr>
          <w:p w14:paraId="3B4FA221"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Date:</w:t>
            </w:r>
          </w:p>
        </w:tc>
        <w:tc>
          <w:tcPr>
            <w:tcW w:w="4327" w:type="dxa"/>
          </w:tcPr>
          <w:p w14:paraId="790B8ED2"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Date:</w:t>
            </w:r>
          </w:p>
        </w:tc>
      </w:tr>
    </w:tbl>
    <w:p w14:paraId="182247F9"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762FCA5C"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tbl>
      <w:tblPr>
        <w:tblW w:w="0" w:type="auto"/>
        <w:tblLayout w:type="fixed"/>
        <w:tblLook w:val="0000" w:firstRow="0" w:lastRow="0" w:firstColumn="0" w:lastColumn="0" w:noHBand="0" w:noVBand="0"/>
      </w:tblPr>
      <w:tblGrid>
        <w:gridCol w:w="4428"/>
        <w:gridCol w:w="4327"/>
      </w:tblGrid>
      <w:tr w:rsidR="00832F98" w:rsidRPr="005107DF" w14:paraId="7897C1C4" w14:textId="77777777" w:rsidTr="00CA6D80">
        <w:tc>
          <w:tcPr>
            <w:tcW w:w="4428" w:type="dxa"/>
          </w:tcPr>
          <w:p w14:paraId="22732063"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Pour l’administration contractante</w:t>
            </w:r>
          </w:p>
        </w:tc>
        <w:tc>
          <w:tcPr>
            <w:tcW w:w="4327" w:type="dxa"/>
          </w:tcPr>
          <w:p w14:paraId="35AE3E46"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 xml:space="preserve">Approuvé </w:t>
            </w:r>
          </w:p>
        </w:tc>
      </w:tr>
      <w:tr w:rsidR="00832F98" w:rsidRPr="005107DF" w14:paraId="377D5B7B" w14:textId="77777777" w:rsidTr="00CA6D80">
        <w:tc>
          <w:tcPr>
            <w:tcW w:w="4428" w:type="dxa"/>
          </w:tcPr>
          <w:p w14:paraId="70F18133"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Nom:</w:t>
            </w:r>
          </w:p>
        </w:tc>
        <w:tc>
          <w:tcPr>
            <w:tcW w:w="4327" w:type="dxa"/>
          </w:tcPr>
          <w:p w14:paraId="7BF66B3F"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Nom:</w:t>
            </w:r>
          </w:p>
        </w:tc>
      </w:tr>
      <w:tr w:rsidR="00832F98" w:rsidRPr="005107DF" w14:paraId="59D25BC0" w14:textId="77777777" w:rsidTr="00CA6D80">
        <w:tc>
          <w:tcPr>
            <w:tcW w:w="4428" w:type="dxa"/>
          </w:tcPr>
          <w:p w14:paraId="5F2B4071"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p w14:paraId="19542930"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r>
              <w:rPr>
                <w:rFonts w:ascii="Times New Roman" w:hAnsi="Times New Roman"/>
                <w:i/>
                <w:spacing w:val="20"/>
                <w:sz w:val="24"/>
              </w:rPr>
              <w:t>(Signature)</w:t>
            </w:r>
          </w:p>
          <w:p w14:paraId="4CBCCCC3"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tc>
        <w:tc>
          <w:tcPr>
            <w:tcW w:w="4327" w:type="dxa"/>
          </w:tcPr>
          <w:p w14:paraId="020822C5"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p w14:paraId="0D2A8F73"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r>
              <w:rPr>
                <w:rFonts w:ascii="Times New Roman" w:hAnsi="Times New Roman"/>
                <w:i/>
                <w:spacing w:val="20"/>
                <w:sz w:val="24"/>
              </w:rPr>
              <w:t>(Signature)</w:t>
            </w:r>
          </w:p>
          <w:p w14:paraId="34CDE4E1"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tc>
      </w:tr>
      <w:tr w:rsidR="00832F98" w:rsidRPr="005107DF" w14:paraId="2CF1A035" w14:textId="77777777" w:rsidTr="00CA6D80">
        <w:tc>
          <w:tcPr>
            <w:tcW w:w="4428" w:type="dxa"/>
          </w:tcPr>
          <w:p w14:paraId="7616C567"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Date:</w:t>
            </w:r>
          </w:p>
        </w:tc>
        <w:tc>
          <w:tcPr>
            <w:tcW w:w="4327" w:type="dxa"/>
          </w:tcPr>
          <w:p w14:paraId="629FF11C"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Date:</w:t>
            </w:r>
          </w:p>
        </w:tc>
      </w:tr>
    </w:tbl>
    <w:p w14:paraId="4C9BCD59"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10219CBC"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p>
    <w:p w14:paraId="7486A41F"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b/>
          <w:sz w:val="24"/>
        </w:rPr>
        <w:t xml:space="preserve">Remarques: </w:t>
      </w:r>
      <w:r>
        <w:rPr>
          <w:rFonts w:ascii="Times New Roman" w:hAnsi="Times New Roman"/>
          <w:sz w:val="24"/>
        </w:rPr>
        <w:t xml:space="preserve">les signataires doivent être les mêmes que ceux de contrat initial, à moins que des pièces justificatives ne soient fournies. </w:t>
      </w:r>
    </w:p>
    <w:p w14:paraId="6C533291" w14:textId="77777777" w:rsidR="00832F98" w:rsidRPr="005107DF" w:rsidRDefault="00832F98" w:rsidP="00A92DE1">
      <w:pPr>
        <w:pStyle w:val="BodyText"/>
        <w:rPr>
          <w:rFonts w:ascii="Times New Roman" w:hAnsi="Times New Roman"/>
        </w:rPr>
      </w:pPr>
    </w:p>
    <w:p w14:paraId="4EC7E7E0" w14:textId="77777777" w:rsidR="00832F98" w:rsidRPr="005107DF" w:rsidRDefault="00832F98">
      <w:pPr>
        <w:rPr>
          <w:rFonts w:ascii="Times New Roman" w:eastAsia="Times New Roman" w:hAnsi="Times New Roman" w:cs="Times New Roman"/>
          <w:szCs w:val="20"/>
        </w:rPr>
      </w:pPr>
      <w:r>
        <w:br w:type="page"/>
      </w:r>
    </w:p>
    <w:p w14:paraId="6617584F"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652" w:name="_Toc517434503"/>
      <w:bookmarkStart w:id="1653" w:name="_Toc2861070"/>
      <w:r>
        <w:rPr>
          <w:sz w:val="32"/>
        </w:rPr>
        <w:lastRenderedPageBreak/>
        <w:t>ANNEXE C</w:t>
      </w:r>
      <w:r w:rsidRPr="00452C1A">
        <w:rPr>
          <w:sz w:val="32"/>
        </w:rPr>
        <w:t>13</w:t>
      </w:r>
      <w:r>
        <w:rPr>
          <w:sz w:val="32"/>
        </w:rPr>
        <w:t>: Modèle pour les lettres d’accompagnement</w:t>
      </w:r>
      <w:bookmarkEnd w:id="1652"/>
      <w:bookmarkEnd w:id="1653"/>
    </w:p>
    <w:p w14:paraId="28A3CA08" w14:textId="77777777" w:rsidR="00832F98" w:rsidRPr="005107DF" w:rsidRDefault="00832F98" w:rsidP="007338F0">
      <w:pPr>
        <w:spacing w:before="60" w:after="60" w:line="240" w:lineRule="auto"/>
        <w:rPr>
          <w:rFonts w:ascii="Times New Roman" w:eastAsia="Calibri" w:hAnsi="Times New Roman" w:cs="Times New Roman"/>
          <w:b/>
          <w:i/>
          <w:sz w:val="20"/>
          <w:szCs w:val="20"/>
          <w:u w:val="single"/>
        </w:rPr>
      </w:pPr>
      <w:r>
        <w:rPr>
          <w:rFonts w:ascii="Times New Roman" w:hAnsi="Times New Roman"/>
          <w:b/>
          <w:i/>
          <w:sz w:val="20"/>
          <w:u w:val="single"/>
        </w:rPr>
        <w:t>À n’utiliser qu’en cas de notification urgente de modifications non confirmées par le comité de pilotage.</w:t>
      </w:r>
    </w:p>
    <w:p w14:paraId="2E8A6DFF" w14:textId="77777777" w:rsidR="00832F98" w:rsidRPr="005107DF" w:rsidRDefault="00832F98" w:rsidP="005C5C46">
      <w:pPr>
        <w:spacing w:after="0" w:line="240" w:lineRule="auto"/>
        <w:jc w:val="both"/>
        <w:rPr>
          <w:rFonts w:ascii="Times New Roman" w:eastAsia="Calibri" w:hAnsi="Times New Roman" w:cs="Times New Roman"/>
          <w:b/>
          <w:i/>
          <w:sz w:val="20"/>
          <w:szCs w:val="20"/>
          <w:u w:val="single"/>
        </w:rPr>
      </w:pPr>
      <w:r>
        <w:rPr>
          <w:rFonts w:ascii="Times New Roman" w:hAnsi="Times New Roman"/>
          <w:b/>
          <w:i/>
          <w:sz w:val="20"/>
          <w:u w:val="single"/>
        </w:rPr>
        <w:t>En cas de remplacement impromptu d’un expert, le CV de l’expert arrivant doit être joint.</w:t>
      </w:r>
    </w:p>
    <w:p w14:paraId="0FAAA85B" w14:textId="77777777" w:rsidR="00832F98" w:rsidRPr="005107DF" w:rsidRDefault="00832F98" w:rsidP="005C5C46">
      <w:pPr>
        <w:spacing w:after="0" w:line="240" w:lineRule="auto"/>
        <w:jc w:val="both"/>
        <w:rPr>
          <w:rFonts w:ascii="Times New Roman" w:eastAsia="Times New Roman" w:hAnsi="Times New Roman" w:cs="Times New Roman"/>
          <w:i/>
          <w:sz w:val="24"/>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832F98" w:rsidRPr="005107DF" w14:paraId="0DAC22D8" w14:textId="77777777" w:rsidTr="007338F0">
        <w:trPr>
          <w:trHeight w:val="1260"/>
        </w:trPr>
        <w:tc>
          <w:tcPr>
            <w:tcW w:w="9214" w:type="dxa"/>
            <w:shd w:val="clear" w:color="auto" w:fill="CCCCCC"/>
          </w:tcPr>
          <w:p w14:paraId="210960EF"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p>
          <w:p w14:paraId="7FD87B4D"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r>
              <w:rPr>
                <w:rFonts w:ascii="Times New Roman" w:hAnsi="Times New Roman"/>
                <w:b/>
                <w:sz w:val="24"/>
              </w:rPr>
              <w:t>LETTRE D’ACCOMPAGNEMENT</w:t>
            </w:r>
            <w:r>
              <w:rPr>
                <w:rFonts w:ascii="Times New Roman" w:hAnsi="Times New Roman"/>
                <w:color w:val="000000"/>
                <w:sz w:val="24"/>
              </w:rPr>
              <w:t xml:space="preserve"> </w:t>
            </w:r>
            <w:r>
              <w:rPr>
                <w:rFonts w:ascii="Times New Roman" w:hAnsi="Times New Roman"/>
                <w:b/>
                <w:sz w:val="24"/>
              </w:rPr>
              <w:t xml:space="preserve">N° </w:t>
            </w:r>
            <w:r>
              <w:t>_________</w:t>
            </w:r>
          </w:p>
          <w:p w14:paraId="2EFF27F1"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r>
              <w:rPr>
                <w:rFonts w:ascii="Times New Roman" w:hAnsi="Times New Roman"/>
                <w:b/>
                <w:sz w:val="24"/>
              </w:rPr>
              <w:t>AU CONTRAT DE SUBVENTION DE JUMELAGE _________________________</w:t>
            </w:r>
          </w:p>
        </w:tc>
      </w:tr>
    </w:tbl>
    <w:p w14:paraId="1FC1673A" w14:textId="77777777" w:rsidR="00832F98" w:rsidRPr="005107DF" w:rsidRDefault="00832F98" w:rsidP="00CA6D80">
      <w:pPr>
        <w:spacing w:after="60" w:line="240" w:lineRule="auto"/>
        <w:jc w:val="both"/>
        <w:rPr>
          <w:rFonts w:ascii="Times New Roman" w:eastAsia="Times New Roman" w:hAnsi="Times New Roman" w:cs="Times New Roman"/>
          <w:spacing w:val="20"/>
          <w:sz w:val="24"/>
          <w:szCs w:val="24"/>
        </w:rPr>
      </w:pPr>
      <w:r>
        <w:tab/>
      </w:r>
      <w:r>
        <w:tab/>
      </w:r>
      <w:r>
        <w:tab/>
      </w:r>
      <w:r>
        <w:tab/>
      </w:r>
      <w:r>
        <w:tab/>
      </w:r>
      <w:r>
        <w:tab/>
      </w:r>
      <w:r>
        <w:tab/>
      </w:r>
      <w:r>
        <w:tab/>
      </w:r>
    </w:p>
    <w:p w14:paraId="59A1DCBB" w14:textId="77777777" w:rsidR="00832F98" w:rsidRPr="005107DF" w:rsidRDefault="00832F98" w:rsidP="00CA6D80">
      <w:pPr>
        <w:spacing w:after="60" w:line="240" w:lineRule="auto"/>
        <w:jc w:val="both"/>
        <w:rPr>
          <w:rFonts w:ascii="Times New Roman" w:eastAsia="Times New Roman" w:hAnsi="Times New Roman" w:cs="Times New Roman"/>
          <w:spacing w:val="20"/>
          <w:sz w:val="24"/>
          <w:szCs w:val="24"/>
        </w:rPr>
      </w:pPr>
      <w:r>
        <w:tab/>
      </w:r>
      <w:r>
        <w:tab/>
      </w:r>
      <w:r>
        <w:tab/>
      </w:r>
      <w:r>
        <w:tab/>
      </w:r>
      <w:r>
        <w:tab/>
      </w:r>
      <w:r>
        <w:tab/>
      </w:r>
      <w:r>
        <w:tab/>
      </w:r>
      <w:r>
        <w:rPr>
          <w:rFonts w:ascii="Times New Roman" w:hAnsi="Times New Roman"/>
          <w:spacing w:val="20"/>
          <w:sz w:val="24"/>
        </w:rPr>
        <w:t xml:space="preserve">Administration contractante </w:t>
      </w:r>
    </w:p>
    <w:p w14:paraId="319DE8C5" w14:textId="77777777" w:rsidR="00832F98" w:rsidRPr="005107DF" w:rsidRDefault="00832F98" w:rsidP="00CA6D80">
      <w:pPr>
        <w:spacing w:after="60" w:line="240" w:lineRule="auto"/>
        <w:jc w:val="both"/>
        <w:rPr>
          <w:rFonts w:ascii="Times New Roman" w:eastAsia="Times New Roman" w:hAnsi="Times New Roman" w:cs="Times New Roman"/>
          <w:i/>
          <w:spacing w:val="20"/>
          <w:sz w:val="24"/>
          <w:szCs w:val="24"/>
        </w:rPr>
      </w:pPr>
      <w:r>
        <w:tab/>
      </w:r>
      <w:r>
        <w:tab/>
      </w:r>
      <w:r>
        <w:tab/>
      </w:r>
      <w:r>
        <w:tab/>
      </w:r>
      <w:r>
        <w:tab/>
      </w:r>
      <w:r>
        <w:tab/>
      </w:r>
      <w:r>
        <w:tab/>
      </w:r>
      <w:r>
        <w:tab/>
      </w:r>
      <w:r>
        <w:tab/>
      </w:r>
      <w:r>
        <w:rPr>
          <w:rFonts w:ascii="Times New Roman" w:hAnsi="Times New Roman"/>
          <w:i/>
          <w:spacing w:val="20"/>
          <w:sz w:val="24"/>
        </w:rPr>
        <w:t>[Nom]</w:t>
      </w:r>
    </w:p>
    <w:p w14:paraId="11F7AA8E" w14:textId="77777777" w:rsidR="00832F98" w:rsidRPr="005107DF" w:rsidRDefault="00832F98" w:rsidP="00CA6D80">
      <w:pPr>
        <w:spacing w:after="60" w:line="240" w:lineRule="auto"/>
        <w:jc w:val="both"/>
        <w:rPr>
          <w:rFonts w:ascii="Times New Roman" w:eastAsia="Times New Roman" w:hAnsi="Times New Roman" w:cs="Times New Roman"/>
          <w:i/>
          <w:spacing w:val="20"/>
          <w:sz w:val="24"/>
          <w:szCs w:val="24"/>
        </w:rPr>
      </w:pPr>
    </w:p>
    <w:p w14:paraId="6556CD05"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1</w:t>
      </w:r>
      <w:r>
        <w:rPr>
          <w:rFonts w:ascii="Times New Roman" w:hAnsi="Times New Roman"/>
          <w:b/>
          <w:sz w:val="24"/>
          <w:vertAlign w:val="superscript"/>
        </w:rPr>
        <w:t>er</w:t>
      </w:r>
      <w:r>
        <w:rPr>
          <w:rFonts w:ascii="Times New Roman" w:hAnsi="Times New Roman"/>
          <w:b/>
          <w:sz w:val="24"/>
        </w:rPr>
        <w:t>: Objectif</w:t>
      </w:r>
    </w:p>
    <w:p w14:paraId="4E0424F0"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1009E927"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Les chefs de projet de l’État membre et du bénéficiaire notifient à l’administration contractante une modification urgente du plan de travail et de l’activité relatifs au contrat susmentionné et confirment que la modification ne nécessitera pas d’avenant pour être appliquée. </w:t>
      </w:r>
    </w:p>
    <w:p w14:paraId="6742281A"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70094A5B"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La présente notification a pour objet: (CE QUI VA CHANGER)</w:t>
      </w:r>
    </w:p>
    <w:p w14:paraId="2F7667E4"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et la notification est nécessaire car: (POURQUOI LA MODIFICATION DOIT ÊTRE APPORTÉE) </w:t>
      </w:r>
    </w:p>
    <w:p w14:paraId="6C7C5FC8"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7A736035"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2</w:t>
      </w:r>
      <w:r>
        <w:rPr>
          <w:rFonts w:ascii="Times New Roman" w:hAnsi="Times New Roman"/>
          <w:b/>
          <w:sz w:val="24"/>
        </w:rPr>
        <w:t>: Notification, plan de travail et activité</w:t>
      </w:r>
    </w:p>
    <w:p w14:paraId="373EC877"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p>
    <w:p w14:paraId="7E9D56C4"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Plan de travail: La modification influence les éléments suivants du plan de travail:</w:t>
      </w:r>
    </w:p>
    <w:p w14:paraId="75169FBA"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activité influencée à la rubrique:</w:t>
      </w:r>
    </w:p>
    <w:p w14:paraId="7FFA8C97" w14:textId="77777777" w:rsidR="00832F98" w:rsidRPr="005107DF" w:rsidRDefault="00832F98" w:rsidP="00CA6D80">
      <w:pPr>
        <w:spacing w:after="0" w:line="240" w:lineRule="auto"/>
        <w:jc w:val="both"/>
        <w:rPr>
          <w:rFonts w:ascii="Times New Roman" w:eastAsia="Times New Roman" w:hAnsi="Times New Roman" w:cs="Times New Roman"/>
          <w:iCs/>
          <w:sz w:val="24"/>
          <w:szCs w:val="24"/>
        </w:rPr>
      </w:pPr>
    </w:p>
    <w:p w14:paraId="49F07DF5"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3</w:t>
      </w:r>
      <w:r>
        <w:rPr>
          <w:rFonts w:ascii="Times New Roman" w:hAnsi="Times New Roman"/>
          <w:b/>
          <w:sz w:val="24"/>
        </w:rPr>
        <w:t>: Confirmation de validité</w:t>
      </w:r>
    </w:p>
    <w:p w14:paraId="2A1CF8A5" w14:textId="77777777" w:rsidR="00832F98" w:rsidRPr="005107DF" w:rsidRDefault="00832F98" w:rsidP="00CA6D80">
      <w:pPr>
        <w:spacing w:after="0" w:line="240" w:lineRule="auto"/>
        <w:jc w:val="both"/>
        <w:rPr>
          <w:rFonts w:ascii="Times New Roman" w:eastAsia="Times New Roman" w:hAnsi="Times New Roman" w:cs="Times New Roman"/>
          <w:b/>
          <w:spacing w:val="20"/>
          <w:sz w:val="24"/>
          <w:szCs w:val="24"/>
        </w:rPr>
      </w:pPr>
    </w:p>
    <w:p w14:paraId="347BA736"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Toutes les autres parties et dispositions du contrat initial, ainsi que les plans de travail ou autres modifications, qui ne sont pas modifiés ici restent valides.</w:t>
      </w:r>
    </w:p>
    <w:p w14:paraId="06CA9139"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2431D994"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La présente modification prendra effet deux jours après la date de réception par l’administration contractante de la présente lettre d’accompagnement, à moins qu’une de ses parties n’aille à l’encontre des règles de jumelage. </w:t>
      </w:r>
    </w:p>
    <w:p w14:paraId="2774BA24"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4415B378"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4</w:t>
      </w:r>
      <w:r>
        <w:rPr>
          <w:rFonts w:ascii="Times New Roman" w:hAnsi="Times New Roman"/>
          <w:b/>
          <w:sz w:val="24"/>
        </w:rPr>
        <w:t>: Annexes (le cas échéant)</w:t>
      </w:r>
    </w:p>
    <w:p w14:paraId="0F92EBDF"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tbl>
      <w:tblPr>
        <w:tblW w:w="8755" w:type="dxa"/>
        <w:tblLayout w:type="fixed"/>
        <w:tblLook w:val="0000" w:firstRow="0" w:lastRow="0" w:firstColumn="0" w:lastColumn="0" w:noHBand="0" w:noVBand="0"/>
      </w:tblPr>
      <w:tblGrid>
        <w:gridCol w:w="4377"/>
        <w:gridCol w:w="4378"/>
      </w:tblGrid>
      <w:tr w:rsidR="00832F98" w:rsidRPr="005107DF" w14:paraId="6B27CB89" w14:textId="77777777" w:rsidTr="00CA6D80">
        <w:tc>
          <w:tcPr>
            <w:tcW w:w="4377" w:type="dxa"/>
          </w:tcPr>
          <w:p w14:paraId="126F855C" w14:textId="77777777" w:rsidR="00832F98" w:rsidRPr="005107DF" w:rsidRDefault="00832F98" w:rsidP="00CA6D80">
            <w:pPr>
              <w:spacing w:after="0" w:line="240" w:lineRule="auto"/>
              <w:jc w:val="both"/>
              <w:rPr>
                <w:rFonts w:ascii="Times New Roman" w:eastAsia="Times New Roman" w:hAnsi="Times New Roman" w:cs="Times New Roman"/>
                <w:b/>
                <w:spacing w:val="20"/>
                <w:sz w:val="24"/>
                <w:szCs w:val="24"/>
              </w:rPr>
            </w:pPr>
            <w:r>
              <w:rPr>
                <w:rFonts w:ascii="Times New Roman" w:hAnsi="Times New Roman"/>
                <w:b/>
                <w:spacing w:val="20"/>
                <w:sz w:val="24"/>
              </w:rPr>
              <w:t>Nom:</w:t>
            </w:r>
          </w:p>
        </w:tc>
        <w:tc>
          <w:tcPr>
            <w:tcW w:w="4378" w:type="dxa"/>
          </w:tcPr>
          <w:p w14:paraId="5B5BC880" w14:textId="77777777" w:rsidR="00832F98" w:rsidRPr="005107DF" w:rsidRDefault="00832F98" w:rsidP="00CA6D80">
            <w:pPr>
              <w:spacing w:after="0" w:line="240" w:lineRule="auto"/>
              <w:jc w:val="both"/>
              <w:rPr>
                <w:rFonts w:ascii="Times New Roman" w:eastAsia="Times New Roman" w:hAnsi="Times New Roman" w:cs="Times New Roman"/>
                <w:b/>
                <w:spacing w:val="20"/>
                <w:sz w:val="24"/>
                <w:szCs w:val="24"/>
              </w:rPr>
            </w:pPr>
            <w:r>
              <w:rPr>
                <w:rFonts w:ascii="Times New Roman" w:hAnsi="Times New Roman"/>
                <w:b/>
                <w:spacing w:val="20"/>
                <w:sz w:val="24"/>
              </w:rPr>
              <w:t>Nom:</w:t>
            </w:r>
          </w:p>
        </w:tc>
      </w:tr>
      <w:tr w:rsidR="00832F98" w:rsidRPr="005107DF" w14:paraId="434FB2AE" w14:textId="77777777" w:rsidTr="00CA6D80">
        <w:tc>
          <w:tcPr>
            <w:tcW w:w="4377" w:type="dxa"/>
          </w:tcPr>
          <w:p w14:paraId="70B83C54" w14:textId="77777777" w:rsidR="00832F98" w:rsidRPr="005107DF" w:rsidRDefault="00832F98" w:rsidP="00CA6D80">
            <w:pPr>
              <w:spacing w:after="0" w:line="240" w:lineRule="auto"/>
              <w:jc w:val="both"/>
              <w:rPr>
                <w:rFonts w:ascii="Times New Roman" w:eastAsia="Times New Roman" w:hAnsi="Times New Roman" w:cs="Times New Roman"/>
                <w:b/>
                <w:spacing w:val="20"/>
                <w:sz w:val="24"/>
                <w:szCs w:val="24"/>
              </w:rPr>
            </w:pPr>
          </w:p>
          <w:p w14:paraId="66EF6291" w14:textId="77777777" w:rsidR="00832F98" w:rsidRPr="005107DF" w:rsidRDefault="00832F98" w:rsidP="00CA6D80">
            <w:pPr>
              <w:spacing w:after="0" w:line="240" w:lineRule="auto"/>
              <w:jc w:val="both"/>
              <w:rPr>
                <w:rFonts w:ascii="Times New Roman" w:eastAsia="Times New Roman" w:hAnsi="Times New Roman" w:cs="Times New Roman"/>
                <w:b/>
                <w:spacing w:val="20"/>
                <w:sz w:val="24"/>
                <w:szCs w:val="24"/>
              </w:rPr>
            </w:pPr>
            <w:r>
              <w:rPr>
                <w:rFonts w:ascii="Times New Roman" w:hAnsi="Times New Roman"/>
                <w:b/>
                <w:spacing w:val="20"/>
                <w:sz w:val="24"/>
              </w:rPr>
              <w:t>Chef de projet de l’État membre</w:t>
            </w:r>
          </w:p>
        </w:tc>
        <w:tc>
          <w:tcPr>
            <w:tcW w:w="4378" w:type="dxa"/>
          </w:tcPr>
          <w:p w14:paraId="08A53EDA" w14:textId="77777777" w:rsidR="00832F98" w:rsidRPr="005107DF" w:rsidRDefault="00832F98" w:rsidP="00CA6D80">
            <w:pPr>
              <w:spacing w:after="0" w:line="240" w:lineRule="auto"/>
              <w:jc w:val="both"/>
              <w:rPr>
                <w:rFonts w:ascii="Times New Roman" w:eastAsia="Times New Roman" w:hAnsi="Times New Roman" w:cs="Times New Roman"/>
                <w:b/>
                <w:spacing w:val="20"/>
                <w:sz w:val="24"/>
                <w:szCs w:val="24"/>
              </w:rPr>
            </w:pPr>
          </w:p>
          <w:p w14:paraId="4668F36F" w14:textId="77777777" w:rsidR="00832F98" w:rsidRPr="005107DF" w:rsidRDefault="00832F98" w:rsidP="00CA6D80">
            <w:pPr>
              <w:spacing w:after="0" w:line="240" w:lineRule="auto"/>
              <w:jc w:val="both"/>
              <w:rPr>
                <w:rFonts w:ascii="Times New Roman" w:eastAsia="Times New Roman" w:hAnsi="Times New Roman" w:cs="Times New Roman"/>
                <w:b/>
                <w:spacing w:val="20"/>
                <w:sz w:val="24"/>
                <w:szCs w:val="24"/>
              </w:rPr>
            </w:pPr>
            <w:r>
              <w:rPr>
                <w:rFonts w:ascii="Times New Roman" w:hAnsi="Times New Roman"/>
                <w:b/>
                <w:spacing w:val="20"/>
                <w:sz w:val="24"/>
              </w:rPr>
              <w:t>Chef de projet du bénéficiaire</w:t>
            </w:r>
          </w:p>
        </w:tc>
      </w:tr>
      <w:tr w:rsidR="00832F98" w:rsidRPr="005107DF" w14:paraId="3882F4A9" w14:textId="77777777" w:rsidTr="00CA6D80">
        <w:tc>
          <w:tcPr>
            <w:tcW w:w="4377" w:type="dxa"/>
          </w:tcPr>
          <w:p w14:paraId="63869061"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p w14:paraId="3C5DCAE8"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r>
              <w:rPr>
                <w:rFonts w:ascii="Times New Roman" w:hAnsi="Times New Roman"/>
                <w:i/>
                <w:spacing w:val="20"/>
                <w:sz w:val="24"/>
              </w:rPr>
              <w:t>(Signature)</w:t>
            </w:r>
          </w:p>
          <w:p w14:paraId="753DEECF"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tc>
        <w:tc>
          <w:tcPr>
            <w:tcW w:w="4378" w:type="dxa"/>
          </w:tcPr>
          <w:p w14:paraId="63FF74CE"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p w14:paraId="5A30FB8B"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r>
              <w:rPr>
                <w:rFonts w:ascii="Times New Roman" w:hAnsi="Times New Roman"/>
                <w:i/>
                <w:spacing w:val="20"/>
                <w:sz w:val="24"/>
              </w:rPr>
              <w:t>(Signature)</w:t>
            </w:r>
          </w:p>
          <w:p w14:paraId="242EF53D"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tc>
      </w:tr>
      <w:tr w:rsidR="00832F98" w:rsidRPr="005107DF" w14:paraId="2DD0FA9F" w14:textId="77777777" w:rsidTr="00CA6D80">
        <w:tc>
          <w:tcPr>
            <w:tcW w:w="4377" w:type="dxa"/>
          </w:tcPr>
          <w:p w14:paraId="12F0C686" w14:textId="77777777" w:rsidR="00832F98" w:rsidRPr="005107DF" w:rsidRDefault="00832F98" w:rsidP="00CA6D80">
            <w:pPr>
              <w:spacing w:after="0" w:line="240" w:lineRule="auto"/>
              <w:jc w:val="both"/>
              <w:rPr>
                <w:rFonts w:ascii="Times New Roman" w:eastAsia="Times New Roman" w:hAnsi="Times New Roman" w:cs="Times New Roman"/>
                <w:b/>
                <w:spacing w:val="20"/>
                <w:sz w:val="24"/>
                <w:szCs w:val="24"/>
              </w:rPr>
            </w:pPr>
            <w:r>
              <w:rPr>
                <w:rFonts w:ascii="Times New Roman" w:hAnsi="Times New Roman"/>
                <w:b/>
                <w:spacing w:val="20"/>
                <w:sz w:val="24"/>
              </w:rPr>
              <w:t>Date:</w:t>
            </w:r>
          </w:p>
        </w:tc>
        <w:tc>
          <w:tcPr>
            <w:tcW w:w="4378" w:type="dxa"/>
          </w:tcPr>
          <w:p w14:paraId="39FCAEF7" w14:textId="77777777" w:rsidR="00832F98" w:rsidRPr="005107DF" w:rsidRDefault="00832F98" w:rsidP="00CA6D80">
            <w:pPr>
              <w:spacing w:after="0" w:line="240" w:lineRule="auto"/>
              <w:jc w:val="both"/>
              <w:rPr>
                <w:rFonts w:ascii="Times New Roman" w:eastAsia="Times New Roman" w:hAnsi="Times New Roman" w:cs="Times New Roman"/>
                <w:b/>
                <w:spacing w:val="20"/>
                <w:sz w:val="24"/>
                <w:szCs w:val="24"/>
              </w:rPr>
            </w:pPr>
            <w:r>
              <w:rPr>
                <w:rFonts w:ascii="Times New Roman" w:hAnsi="Times New Roman"/>
                <w:b/>
                <w:spacing w:val="20"/>
                <w:sz w:val="24"/>
              </w:rPr>
              <w:t>Date:</w:t>
            </w:r>
          </w:p>
        </w:tc>
      </w:tr>
    </w:tbl>
    <w:p w14:paraId="452B64C7" w14:textId="77777777" w:rsidR="00832F98" w:rsidRPr="005107DF" w:rsidRDefault="00832F98">
      <w:pPr>
        <w:rPr>
          <w:rFonts w:ascii="Times New Roman" w:hAnsi="Times New Roman" w:cs="Times New Roman"/>
        </w:rPr>
      </w:pPr>
    </w:p>
    <w:p w14:paraId="419E59EE" w14:textId="15C2D581" w:rsidR="00832F98" w:rsidRPr="00434C10" w:rsidRDefault="00832F98" w:rsidP="00434C10">
      <w:pPr>
        <w:pStyle w:val="Heading2"/>
        <w:pBdr>
          <w:top w:val="single" w:sz="4" w:space="1" w:color="auto"/>
          <w:left w:val="single" w:sz="4" w:space="4" w:color="auto"/>
          <w:bottom w:val="single" w:sz="4" w:space="1" w:color="auto"/>
          <w:right w:val="single" w:sz="4" w:space="4" w:color="auto"/>
        </w:pBdr>
        <w:rPr>
          <w:sz w:val="32"/>
          <w:szCs w:val="32"/>
        </w:rPr>
      </w:pPr>
      <w:bookmarkStart w:id="1654" w:name="_Toc517434504"/>
      <w:bookmarkStart w:id="1655" w:name="_Toc2861071"/>
      <w:r>
        <w:rPr>
          <w:sz w:val="32"/>
        </w:rPr>
        <w:lastRenderedPageBreak/>
        <w:t>ANNEXE C</w:t>
      </w:r>
      <w:r w:rsidRPr="00452C1A">
        <w:rPr>
          <w:sz w:val="32"/>
        </w:rPr>
        <w:t>14</w:t>
      </w:r>
      <w:r>
        <w:rPr>
          <w:sz w:val="32"/>
        </w:rPr>
        <w:t>: Instructions pour la préparation des avenants, des modifications du plan de travail et des lettres d’accompagnement</w:t>
      </w:r>
      <w:bookmarkEnd w:id="1654"/>
      <w:bookmarkEnd w:id="1655"/>
    </w:p>
    <w:p w14:paraId="72ECE104" w14:textId="77777777" w:rsidR="00832F98" w:rsidRPr="005107DF" w:rsidRDefault="00832F98" w:rsidP="00CA6D80">
      <w:pPr>
        <w:spacing w:after="0" w:line="240" w:lineRule="auto"/>
        <w:jc w:val="both"/>
        <w:rPr>
          <w:rFonts w:ascii="Times New Roman" w:eastAsia="Times New Roman" w:hAnsi="Times New Roman" w:cs="Times New Roman"/>
          <w:bCs/>
          <w:sz w:val="24"/>
          <w:szCs w:val="24"/>
        </w:rPr>
      </w:pPr>
      <w:r>
        <w:rPr>
          <w:rFonts w:ascii="Times New Roman" w:hAnsi="Times New Roman"/>
          <w:sz w:val="24"/>
        </w:rPr>
        <w:t>Les modifications ne seront applicables que pour la suite de la mise en œuvre et ne peuvent s’appliquer rétroactivement.</w:t>
      </w:r>
    </w:p>
    <w:p w14:paraId="04814354" w14:textId="77777777" w:rsidR="00832F98" w:rsidRPr="005107DF" w:rsidRDefault="00832F98" w:rsidP="00CA6D80">
      <w:pPr>
        <w:spacing w:after="0" w:line="240" w:lineRule="auto"/>
        <w:rPr>
          <w:rFonts w:ascii="Times New Roman" w:eastAsia="Times New Roman" w:hAnsi="Times New Roman" w:cs="Times New Roman"/>
          <w:b/>
          <w:sz w:val="24"/>
          <w:szCs w:val="24"/>
        </w:rPr>
      </w:pPr>
    </w:p>
    <w:p w14:paraId="6E009E24" w14:textId="77777777" w:rsidR="00832F98" w:rsidRPr="005107DF" w:rsidRDefault="00832F98" w:rsidP="00CA6D80">
      <w:pPr>
        <w:spacing w:after="0" w:line="240" w:lineRule="auto"/>
        <w:jc w:val="both"/>
        <w:rPr>
          <w:rFonts w:ascii="Times New Roman" w:eastAsia="Times New Roman" w:hAnsi="Times New Roman" w:cs="Times New Roman"/>
          <w:b/>
          <w:sz w:val="24"/>
          <w:szCs w:val="24"/>
          <w:u w:val="single"/>
        </w:rPr>
      </w:pPr>
      <w:r>
        <w:rPr>
          <w:rFonts w:ascii="Times New Roman" w:hAnsi="Times New Roman"/>
          <w:b/>
          <w:sz w:val="24"/>
          <w:u w:val="single"/>
        </w:rPr>
        <w:t xml:space="preserve">Avenants: </w:t>
      </w:r>
    </w:p>
    <w:p w14:paraId="28BFC6DD" w14:textId="77777777" w:rsidR="00832F98" w:rsidRPr="005107DF" w:rsidRDefault="00832F98" w:rsidP="00CA6D80">
      <w:pPr>
        <w:spacing w:after="0" w:line="240" w:lineRule="auto"/>
        <w:jc w:val="both"/>
        <w:rPr>
          <w:rFonts w:ascii="Times New Roman" w:eastAsia="Times New Roman" w:hAnsi="Times New Roman" w:cs="Times New Roman"/>
          <w:sz w:val="24"/>
          <w:szCs w:val="24"/>
          <w:u w:val="single"/>
        </w:rPr>
      </w:pPr>
    </w:p>
    <w:p w14:paraId="603CC275"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 xml:space="preserve">Les modifications portant sur les éléments suivants requièrent un avenant: </w:t>
      </w:r>
    </w:p>
    <w:p w14:paraId="15FCE8DC"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p>
    <w:p w14:paraId="227DF80C"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le domaine de coopération avec l’UE et l’acquis de l’Union en rapport avec le projet;</w:t>
      </w:r>
    </w:p>
    <w:p w14:paraId="55A199B5"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l’administration de l’État membre associée au projet de jumelage telle qu’elle est mentionnée à l’article </w:t>
      </w:r>
      <w:r w:rsidRPr="00452C1A">
        <w:rPr>
          <w:rFonts w:ascii="Times New Roman" w:hAnsi="Times New Roman"/>
          <w:sz w:val="24"/>
        </w:rPr>
        <w:t>5</w:t>
      </w:r>
      <w:r>
        <w:rPr>
          <w:rFonts w:ascii="Times New Roman" w:hAnsi="Times New Roman"/>
          <w:sz w:val="24"/>
        </w:rPr>
        <w:t xml:space="preserve"> du contrat de subvention de jumelage;</w:t>
      </w:r>
    </w:p>
    <w:p w14:paraId="33929B2F"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la période d’exécution du contrat et la période de mise en œuvre de l’action (article </w:t>
      </w:r>
      <w:r w:rsidRPr="00452C1A">
        <w:rPr>
          <w:rFonts w:ascii="Times New Roman" w:hAnsi="Times New Roman"/>
          <w:sz w:val="24"/>
        </w:rPr>
        <w:t>2</w:t>
      </w:r>
      <w:r>
        <w:rPr>
          <w:rFonts w:ascii="Times New Roman" w:hAnsi="Times New Roman"/>
          <w:sz w:val="24"/>
        </w:rPr>
        <w:t xml:space="preserve"> du contrat de subvention de jumelage);</w:t>
      </w:r>
    </w:p>
    <w:p w14:paraId="1A58192B"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les résultats/produits obligatoires et les objectifs à atteindre; </w:t>
      </w:r>
    </w:p>
    <w:p w14:paraId="40CA37D9"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l’identité des chefs de projet de l’État membre et du bénéficiaire et du CRJ; </w:t>
      </w:r>
    </w:p>
    <w:p w14:paraId="28CD66A3"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les réaffectations entre rubriques budgétaires pour un montant dépassant </w:t>
      </w:r>
      <w:r w:rsidRPr="00452C1A">
        <w:rPr>
          <w:rFonts w:ascii="Times New Roman" w:hAnsi="Times New Roman"/>
          <w:sz w:val="24"/>
        </w:rPr>
        <w:t>25</w:t>
      </w:r>
      <w:r>
        <w:rPr>
          <w:rFonts w:ascii="Times New Roman" w:hAnsi="Times New Roman"/>
          <w:sz w:val="24"/>
        </w:rPr>
        <w:t> % du budget au titre du contrat de subvention de jumelage (annexe A</w:t>
      </w:r>
      <w:r w:rsidRPr="00452C1A">
        <w:rPr>
          <w:rFonts w:ascii="Times New Roman" w:hAnsi="Times New Roman"/>
          <w:sz w:val="24"/>
        </w:rPr>
        <w:t>3</w:t>
      </w:r>
      <w:r>
        <w:rPr>
          <w:rFonts w:ascii="Times New Roman" w:hAnsi="Times New Roman"/>
          <w:sz w:val="24"/>
        </w:rPr>
        <w:t>).</w:t>
      </w:r>
    </w:p>
    <w:p w14:paraId="6AE736C8" w14:textId="77777777" w:rsidR="00832F98" w:rsidRPr="005107DF" w:rsidRDefault="00832F98" w:rsidP="00CA6D80">
      <w:pPr>
        <w:spacing w:after="0" w:line="240" w:lineRule="auto"/>
        <w:jc w:val="both"/>
        <w:rPr>
          <w:rFonts w:ascii="Times New Roman" w:eastAsia="Times New Roman" w:hAnsi="Times New Roman" w:cs="Times New Roman"/>
          <w:sz w:val="24"/>
          <w:szCs w:val="24"/>
          <w:u w:val="single"/>
        </w:rPr>
      </w:pPr>
    </w:p>
    <w:p w14:paraId="432D8001"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 xml:space="preserve">Aspects pratiques: </w:t>
      </w:r>
    </w:p>
    <w:p w14:paraId="43948F30"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Toutes les modifications qui sont destinées à être introduites au moyen d’un avenant doivent faire l’objet d’une discussion et être approuvées par les parties contractantes lors de la réunion du comité de pilotage du </w:t>
      </w:r>
      <w:r>
        <w:rPr>
          <w:rFonts w:ascii="Times New Roman" w:hAnsi="Times New Roman"/>
          <w:color w:val="000000"/>
          <w:sz w:val="24"/>
        </w:rPr>
        <w:t>projet</w:t>
      </w:r>
      <w:r>
        <w:rPr>
          <w:rFonts w:ascii="Times New Roman" w:hAnsi="Times New Roman"/>
          <w:sz w:val="24"/>
        </w:rPr>
        <w:t xml:space="preserve"> précédant leur soumission.</w:t>
      </w:r>
    </w:p>
    <w:p w14:paraId="354602B3"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Les avenants doivent être transmis à l’administration contractante au moins un mois (de préférence deux) avant la date à laquelle la ou les modifications sont censées entrer en vigueur.</w:t>
      </w:r>
    </w:p>
    <w:p w14:paraId="59E253D5"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Les parties du contrat concernées par la modification doivent être annexées à l’avenant; par exemple, en cas de modification de la période d’exécution (durée légale), les parties suivantes du contrat doivent être jointes en annexe:</w:t>
      </w:r>
    </w:p>
    <w:p w14:paraId="5AB7052B" w14:textId="77777777" w:rsidR="00832F98" w:rsidRPr="005107DF" w:rsidRDefault="00832F98" w:rsidP="00CA6D80">
      <w:pPr>
        <w:numPr>
          <w:ilvl w:val="1"/>
          <w:numId w:val="164"/>
        </w:numPr>
        <w:spacing w:after="0" w:line="240" w:lineRule="auto"/>
        <w:jc w:val="both"/>
        <w:rPr>
          <w:rFonts w:ascii="Times New Roman" w:eastAsia="Times New Roman" w:hAnsi="Times New Roman" w:cs="Times New Roman"/>
          <w:sz w:val="24"/>
          <w:szCs w:val="24"/>
        </w:rPr>
      </w:pPr>
      <w:r>
        <w:rPr>
          <w:rFonts w:ascii="Times New Roman" w:hAnsi="Times New Roman"/>
          <w:sz w:val="24"/>
        </w:rPr>
        <w:t>les libellés initial et modifié de l’article </w:t>
      </w:r>
      <w:r w:rsidRPr="00452C1A">
        <w:rPr>
          <w:rFonts w:ascii="Times New Roman" w:hAnsi="Times New Roman"/>
          <w:sz w:val="24"/>
        </w:rPr>
        <w:t>2</w:t>
      </w:r>
      <w:r>
        <w:rPr>
          <w:rFonts w:ascii="Times New Roman" w:hAnsi="Times New Roman"/>
          <w:sz w:val="24"/>
        </w:rPr>
        <w:t xml:space="preserve"> des conditions particulières; </w:t>
      </w:r>
    </w:p>
    <w:p w14:paraId="3A4E26F3" w14:textId="77777777" w:rsidR="00832F98" w:rsidRPr="005107DF" w:rsidRDefault="00832F98" w:rsidP="00CA6D80">
      <w:pPr>
        <w:numPr>
          <w:ilvl w:val="1"/>
          <w:numId w:val="164"/>
        </w:numPr>
        <w:spacing w:after="0" w:line="240" w:lineRule="auto"/>
        <w:jc w:val="both"/>
        <w:rPr>
          <w:rFonts w:ascii="Times New Roman" w:eastAsia="Times New Roman" w:hAnsi="Times New Roman" w:cs="Times New Roman"/>
          <w:sz w:val="24"/>
          <w:szCs w:val="24"/>
        </w:rPr>
      </w:pPr>
      <w:r>
        <w:rPr>
          <w:rFonts w:ascii="Times New Roman" w:hAnsi="Times New Roman"/>
          <w:sz w:val="24"/>
        </w:rPr>
        <w:t>le nouveau budget, étant donné que la prolongation implique des modifications budgétaires (veuillez noter que le nouveau budget doit comprendre une colonne avec le budget initial, une colonne avec le budget après la dernière lettre d’accompagnement/le dernier plan de travail (indiquant le nombre de lettres d’accompagnement/de plans de travail qui ont conduit à la modification), une colonne avec le budget après l’avenant et des colonnes indiquant les montants économisés/réaffectations);</w:t>
      </w:r>
    </w:p>
    <w:p w14:paraId="63391A6E" w14:textId="77777777" w:rsidR="00832F98" w:rsidRPr="005107DF" w:rsidRDefault="00832F98" w:rsidP="00CA6D80">
      <w:pPr>
        <w:numPr>
          <w:ilvl w:val="1"/>
          <w:numId w:val="164"/>
        </w:numPr>
        <w:spacing w:after="0" w:line="240" w:lineRule="auto"/>
        <w:jc w:val="both"/>
        <w:rPr>
          <w:rFonts w:ascii="Times New Roman" w:eastAsia="Times New Roman" w:hAnsi="Times New Roman" w:cs="Times New Roman"/>
          <w:sz w:val="24"/>
          <w:szCs w:val="24"/>
        </w:rPr>
      </w:pPr>
      <w:r>
        <w:rPr>
          <w:rFonts w:ascii="Times New Roman" w:hAnsi="Times New Roman"/>
          <w:sz w:val="24"/>
        </w:rPr>
        <w:t>les activités du plan de travail concernées par cette modification, y compris l’article </w:t>
      </w:r>
      <w:r w:rsidRPr="00452C1A">
        <w:rPr>
          <w:rFonts w:ascii="Times New Roman" w:hAnsi="Times New Roman"/>
          <w:sz w:val="24"/>
        </w:rPr>
        <w:t>5</w:t>
      </w:r>
      <w:r>
        <w:rPr>
          <w:rFonts w:ascii="Times New Roman" w:hAnsi="Times New Roman"/>
          <w:sz w:val="24"/>
        </w:rPr>
        <w:t xml:space="preserve"> des conditions particulières. </w:t>
      </w:r>
    </w:p>
    <w:p w14:paraId="20B7EC38"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Les signataires de l’avenant doivent être les mêmes que les signataires du contrat initial plus le chef de projet du bénéficiaire; si le signataire du contrat au nom de l’État membre n’est pas le chef de projet de l’État membre, il peut déléguer ce pouvoir au chef de projet de l’État membre (sauf dans le cas où l’avenant a pour objet le remplacement du chef de projet de l’État membre). </w:t>
      </w:r>
    </w:p>
    <w:p w14:paraId="4AEDD64B"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Toutes les pages doivent être paraphées par l’administration contractante et toutes les annexes numérotées avant signatures; si les parties modifiées du plan de travail et/ou du budget sont annexées à l’avenant, ces annexes doivent être paraphées par les chefs de projet (comme dans le contrat initial).</w:t>
      </w:r>
    </w:p>
    <w:p w14:paraId="2142CCB2"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lastRenderedPageBreak/>
        <w:t xml:space="preserve">Les avenants entrent en vigueur à la date de leur notification par l’administration contractante; toute modification décrite dans l’avenant qui est mise en œuvre avant cette date n’est pas admissible au financement, si elle entraîne des transferts entre rubriques budgétaires pour un montant supérieur à </w:t>
      </w:r>
      <w:r w:rsidRPr="00452C1A">
        <w:rPr>
          <w:rFonts w:ascii="Times New Roman" w:hAnsi="Times New Roman"/>
          <w:sz w:val="24"/>
        </w:rPr>
        <w:t>25</w:t>
      </w:r>
      <w:r>
        <w:rPr>
          <w:rFonts w:ascii="Times New Roman" w:hAnsi="Times New Roman"/>
          <w:sz w:val="24"/>
        </w:rPr>
        <w:t> % du budget.</w:t>
      </w:r>
    </w:p>
    <w:p w14:paraId="1AB38D27"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La justification fournie dans la partie narrative de l’avenant doit être convaincante, pertinente et précise. </w:t>
      </w:r>
    </w:p>
    <w:p w14:paraId="753AC564" w14:textId="77777777" w:rsidR="00832F98" w:rsidRPr="005107DF" w:rsidRDefault="00832F98" w:rsidP="00CA6D80">
      <w:pPr>
        <w:autoSpaceDE w:val="0"/>
        <w:autoSpaceDN w:val="0"/>
        <w:adjustRightInd w:val="0"/>
        <w:spacing w:after="0" w:line="240" w:lineRule="auto"/>
        <w:ind w:left="360"/>
        <w:jc w:val="both"/>
        <w:rPr>
          <w:rFonts w:ascii="Times New Roman" w:eastAsia="Times New Roman" w:hAnsi="Times New Roman" w:cs="Times New Roman"/>
          <w:sz w:val="24"/>
          <w:szCs w:val="24"/>
        </w:rPr>
      </w:pPr>
    </w:p>
    <w:p w14:paraId="6AB37E51" w14:textId="77777777" w:rsidR="00832F98" w:rsidRPr="005107DF" w:rsidRDefault="00832F98" w:rsidP="00CA6D80">
      <w:pPr>
        <w:spacing w:after="0" w:line="240" w:lineRule="auto"/>
        <w:jc w:val="both"/>
        <w:rPr>
          <w:rFonts w:ascii="Times New Roman" w:eastAsia="Times New Roman" w:hAnsi="Times New Roman" w:cs="Times New Roman"/>
          <w:b/>
          <w:sz w:val="24"/>
          <w:szCs w:val="20"/>
        </w:rPr>
      </w:pPr>
      <w:r>
        <w:rPr>
          <w:rFonts w:ascii="Times New Roman" w:hAnsi="Times New Roman"/>
          <w:b/>
          <w:sz w:val="24"/>
        </w:rPr>
        <w:t>Instructions pour remplir les parties pertinentes de l’avenant:</w:t>
      </w:r>
    </w:p>
    <w:p w14:paraId="0301E656" w14:textId="77777777" w:rsidR="00832F98" w:rsidRPr="005107DF" w:rsidRDefault="00832F98" w:rsidP="00CA6D80">
      <w:pPr>
        <w:spacing w:after="0" w:line="240" w:lineRule="auto"/>
        <w:jc w:val="both"/>
        <w:rPr>
          <w:rFonts w:ascii="Times New Roman" w:eastAsia="Times New Roman" w:hAnsi="Times New Roman" w:cs="Times New Roman"/>
          <w:sz w:val="24"/>
          <w:szCs w:val="20"/>
        </w:rPr>
      </w:pPr>
    </w:p>
    <w:p w14:paraId="7AEE1CD9" w14:textId="77777777" w:rsidR="00832F98" w:rsidRPr="005107DF" w:rsidRDefault="00832F98" w:rsidP="00CA6D80">
      <w:pPr>
        <w:spacing w:after="0" w:line="240" w:lineRule="auto"/>
        <w:jc w:val="both"/>
        <w:rPr>
          <w:rFonts w:ascii="Times New Roman" w:eastAsia="Times New Roman" w:hAnsi="Times New Roman" w:cs="Times New Roman"/>
          <w:sz w:val="24"/>
          <w:szCs w:val="20"/>
        </w:rPr>
      </w:pPr>
      <w:r>
        <w:rPr>
          <w:rFonts w:ascii="Times New Roman" w:hAnsi="Times New Roman"/>
          <w:b/>
          <w:sz w:val="24"/>
        </w:rPr>
        <w:t>ARTICLE </w:t>
      </w:r>
      <w:r w:rsidRPr="00452C1A">
        <w:rPr>
          <w:rFonts w:ascii="Times New Roman" w:hAnsi="Times New Roman"/>
          <w:b/>
          <w:sz w:val="24"/>
        </w:rPr>
        <w:t>1</w:t>
      </w:r>
      <w:r>
        <w:rPr>
          <w:rFonts w:ascii="Times New Roman" w:hAnsi="Times New Roman"/>
          <w:b/>
          <w:sz w:val="24"/>
          <w:vertAlign w:val="superscript"/>
        </w:rPr>
        <w:t>er</w:t>
      </w:r>
      <w:r>
        <w:rPr>
          <w:rFonts w:ascii="Times New Roman" w:hAnsi="Times New Roman"/>
          <w:b/>
          <w:sz w:val="24"/>
        </w:rPr>
        <w:t xml:space="preserve">: Objectif; </w:t>
      </w:r>
      <w:r>
        <w:rPr>
          <w:rFonts w:ascii="Times New Roman" w:hAnsi="Times New Roman"/>
          <w:sz w:val="24"/>
        </w:rPr>
        <w:t xml:space="preserve">doit fournir des informations relatives à la modification (description) et indiquer l’objet de cette (ces) modification(s); en outre, cet article doit fournir une justification pour chaque modification destinée à être introduite. </w:t>
      </w:r>
    </w:p>
    <w:p w14:paraId="1BD5A61A" w14:textId="77777777" w:rsidR="00832F98" w:rsidRPr="005107DF" w:rsidRDefault="00832F98" w:rsidP="00CA6D80">
      <w:pPr>
        <w:spacing w:after="0" w:line="240" w:lineRule="auto"/>
        <w:jc w:val="both"/>
        <w:rPr>
          <w:rFonts w:ascii="Times New Roman" w:eastAsia="Times New Roman" w:hAnsi="Times New Roman" w:cs="Times New Roman"/>
          <w:sz w:val="24"/>
          <w:szCs w:val="20"/>
        </w:rPr>
      </w:pPr>
    </w:p>
    <w:p w14:paraId="6E51E1D3" w14:textId="77777777" w:rsidR="00832F98" w:rsidRPr="005107DF" w:rsidRDefault="00832F98" w:rsidP="00CA6D80">
      <w:pPr>
        <w:spacing w:after="0" w:line="240" w:lineRule="auto"/>
        <w:jc w:val="both"/>
        <w:rPr>
          <w:rFonts w:ascii="Times New Roman" w:eastAsia="Times New Roman" w:hAnsi="Times New Roman" w:cs="Times New Roman"/>
          <w:sz w:val="24"/>
          <w:szCs w:val="20"/>
        </w:rPr>
      </w:pPr>
      <w:r>
        <w:rPr>
          <w:rFonts w:ascii="Times New Roman" w:hAnsi="Times New Roman"/>
          <w:b/>
          <w:sz w:val="24"/>
        </w:rPr>
        <w:t>ARTICLE </w:t>
      </w:r>
      <w:r w:rsidRPr="00452C1A">
        <w:rPr>
          <w:rFonts w:ascii="Times New Roman" w:hAnsi="Times New Roman"/>
          <w:b/>
          <w:sz w:val="24"/>
        </w:rPr>
        <w:t>2</w:t>
      </w:r>
      <w:r>
        <w:rPr>
          <w:rFonts w:ascii="Times New Roman" w:hAnsi="Times New Roman"/>
          <w:b/>
          <w:sz w:val="24"/>
        </w:rPr>
        <w:t xml:space="preserve">: Modification; </w:t>
      </w:r>
      <w:r>
        <w:rPr>
          <w:rFonts w:ascii="Times New Roman" w:hAnsi="Times New Roman"/>
          <w:sz w:val="24"/>
        </w:rPr>
        <w:t>doit fournir des informations relatives aux articles et annexes du contrat initial concernés par la modification (en désignant chaque article/annexe).</w:t>
      </w:r>
    </w:p>
    <w:p w14:paraId="56514633" w14:textId="77777777" w:rsidR="00832F98" w:rsidRPr="005107DF" w:rsidRDefault="00832F98" w:rsidP="00CA6D80">
      <w:pPr>
        <w:spacing w:after="0" w:line="240" w:lineRule="auto"/>
        <w:jc w:val="both"/>
        <w:rPr>
          <w:rFonts w:ascii="Times New Roman" w:eastAsia="Times New Roman" w:hAnsi="Times New Roman" w:cs="Times New Roman"/>
          <w:sz w:val="24"/>
          <w:szCs w:val="20"/>
        </w:rPr>
      </w:pPr>
    </w:p>
    <w:p w14:paraId="06FEF7C2"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b/>
          <w:sz w:val="24"/>
        </w:rPr>
        <w:t>ARTICLE </w:t>
      </w:r>
      <w:r w:rsidRPr="00452C1A">
        <w:rPr>
          <w:rFonts w:ascii="Times New Roman" w:hAnsi="Times New Roman"/>
          <w:b/>
          <w:sz w:val="24"/>
        </w:rPr>
        <w:t>3</w:t>
      </w:r>
      <w:r>
        <w:rPr>
          <w:rFonts w:ascii="Times New Roman" w:hAnsi="Times New Roman"/>
          <w:b/>
          <w:sz w:val="24"/>
        </w:rPr>
        <w:t xml:space="preserve">: Montant cumulé des modifications notifiées; </w:t>
      </w:r>
      <w:r>
        <w:rPr>
          <w:rFonts w:ascii="Times New Roman" w:hAnsi="Times New Roman"/>
          <w:sz w:val="24"/>
        </w:rPr>
        <w:t>doit préciser le montant total des réaffectations effectuées au moyen de lettres d’accompagnement</w:t>
      </w:r>
      <w:r>
        <w:rPr>
          <w:rFonts w:ascii="Times New Roman" w:hAnsi="Times New Roman"/>
          <w:color w:val="000000"/>
          <w:sz w:val="24"/>
        </w:rPr>
        <w:t>/</w:t>
      </w:r>
      <w:r>
        <w:rPr>
          <w:rFonts w:ascii="Times New Roman" w:hAnsi="Times New Roman"/>
          <w:sz w:val="24"/>
        </w:rPr>
        <w:t>plans de travail jusqu’à l’établissement de l’avenant, en indiquant (dans le tableau) le montant des réaffectations introduites par chaque lettre d’accompagnement</w:t>
      </w:r>
      <w:r>
        <w:rPr>
          <w:rFonts w:ascii="Times New Roman" w:hAnsi="Times New Roman"/>
          <w:color w:val="000000"/>
          <w:sz w:val="24"/>
        </w:rPr>
        <w:t>/</w:t>
      </w:r>
      <w:r>
        <w:rPr>
          <w:rFonts w:ascii="Times New Roman" w:hAnsi="Times New Roman"/>
          <w:sz w:val="24"/>
        </w:rPr>
        <w:t>plan de travail.</w:t>
      </w:r>
    </w:p>
    <w:p w14:paraId="7E739029" w14:textId="77777777" w:rsidR="00832F98" w:rsidRPr="005107DF" w:rsidRDefault="00832F98" w:rsidP="00CA6D80">
      <w:pPr>
        <w:spacing w:after="0" w:line="240" w:lineRule="auto"/>
        <w:rPr>
          <w:rFonts w:ascii="Times New Roman" w:eastAsia="Times New Roman" w:hAnsi="Times New Roman" w:cs="Times New Roman"/>
          <w:sz w:val="24"/>
          <w:szCs w:val="24"/>
        </w:rPr>
      </w:pPr>
    </w:p>
    <w:p w14:paraId="326E680F" w14:textId="77777777" w:rsidR="00832F98" w:rsidRPr="005107DF" w:rsidRDefault="00832F98" w:rsidP="00CA6D80">
      <w:pPr>
        <w:spacing w:after="0" w:line="240" w:lineRule="auto"/>
        <w:jc w:val="both"/>
        <w:rPr>
          <w:rFonts w:ascii="Times New Roman" w:eastAsia="Times New Roman" w:hAnsi="Times New Roman" w:cs="Times New Roman"/>
          <w:i/>
          <w:color w:val="000000"/>
          <w:sz w:val="24"/>
          <w:szCs w:val="24"/>
        </w:rPr>
      </w:pPr>
      <w:r>
        <w:rPr>
          <w:rFonts w:ascii="Times New Roman" w:hAnsi="Times New Roman"/>
          <w:i/>
          <w:sz w:val="24"/>
        </w:rPr>
        <w:t xml:space="preserve">&lt;Pour les modifications budgétaires, utilisez </w:t>
      </w:r>
      <w:r>
        <w:rPr>
          <w:rFonts w:ascii="Times New Roman" w:hAnsi="Times New Roman"/>
          <w:i/>
          <w:color w:val="000000"/>
          <w:sz w:val="24"/>
        </w:rPr>
        <w:t>l’annexe A</w:t>
      </w:r>
      <w:r w:rsidRPr="00452C1A">
        <w:rPr>
          <w:rFonts w:ascii="Times New Roman" w:hAnsi="Times New Roman"/>
          <w:i/>
          <w:color w:val="000000"/>
          <w:sz w:val="24"/>
        </w:rPr>
        <w:t>3</w:t>
      </w:r>
      <w:r>
        <w:rPr>
          <w:rFonts w:ascii="Times New Roman" w:hAnsi="Times New Roman"/>
          <w:i/>
          <w:color w:val="000000"/>
          <w:sz w:val="24"/>
        </w:rPr>
        <w:t xml:space="preserve"> du contrat comme base</w:t>
      </w:r>
      <w:r>
        <w:rPr>
          <w:rFonts w:ascii="Times New Roman" w:hAnsi="Times New Roman"/>
          <w:i/>
          <w:sz w:val="24"/>
        </w:rPr>
        <w:t xml:space="preserve"> et ajoutez des colonnes au budget du contrat afin d’y présenter le «budget initial», les «modifications apportées à ce jour» et «toutes les modifications apportées à ce jour, y compris l’avenant»,</w:t>
      </w:r>
      <w:r>
        <w:rPr>
          <w:rFonts w:ascii="Times New Roman" w:hAnsi="Times New Roman"/>
          <w:i/>
          <w:color w:val="000000"/>
          <w:sz w:val="24"/>
        </w:rPr>
        <w:t xml:space="preserve"> ainsi qu’une colonne présentant les modifications et une autre présentant la situation après toutes les modifications &gt;</w:t>
      </w:r>
    </w:p>
    <w:p w14:paraId="509AE855" w14:textId="77777777" w:rsidR="00832F98" w:rsidRPr="005107DF" w:rsidRDefault="00832F98" w:rsidP="00CA6D80">
      <w:pPr>
        <w:spacing w:after="0" w:line="240" w:lineRule="auto"/>
        <w:jc w:val="both"/>
        <w:rPr>
          <w:rFonts w:ascii="Times New Roman" w:eastAsia="Times New Roman" w:hAnsi="Times New Roman" w:cs="Times New Roman"/>
          <w:sz w:val="24"/>
          <w:szCs w:val="20"/>
        </w:rPr>
      </w:pPr>
    </w:p>
    <w:p w14:paraId="61CFD965" w14:textId="77777777" w:rsidR="00832F98" w:rsidRPr="005107DF" w:rsidRDefault="00832F98" w:rsidP="00CA6D80">
      <w:pPr>
        <w:spacing w:after="0" w:line="240" w:lineRule="auto"/>
        <w:jc w:val="both"/>
        <w:rPr>
          <w:rFonts w:ascii="Times New Roman" w:eastAsia="Times New Roman" w:hAnsi="Times New Roman" w:cs="Times New Roman"/>
          <w:sz w:val="24"/>
          <w:szCs w:val="20"/>
        </w:rPr>
      </w:pPr>
      <w:r>
        <w:rPr>
          <w:rFonts w:ascii="Times New Roman" w:hAnsi="Times New Roman"/>
          <w:b/>
          <w:sz w:val="24"/>
        </w:rPr>
        <w:t>ARTICLE </w:t>
      </w:r>
      <w:r w:rsidRPr="00452C1A">
        <w:rPr>
          <w:rFonts w:ascii="Times New Roman" w:hAnsi="Times New Roman"/>
          <w:b/>
          <w:sz w:val="24"/>
        </w:rPr>
        <w:t>4</w:t>
      </w:r>
      <w:r>
        <w:rPr>
          <w:rFonts w:ascii="Times New Roman" w:hAnsi="Times New Roman"/>
          <w:b/>
          <w:sz w:val="24"/>
        </w:rPr>
        <w:t xml:space="preserve">: Confirmation de validité; </w:t>
      </w:r>
      <w:r>
        <w:rPr>
          <w:rFonts w:ascii="Times New Roman" w:hAnsi="Times New Roman"/>
          <w:sz w:val="24"/>
        </w:rPr>
        <w:t xml:space="preserve">doit reprendre directement le libellé du modèle. </w:t>
      </w:r>
    </w:p>
    <w:p w14:paraId="7DD3F3B2" w14:textId="77777777" w:rsidR="00832F98" w:rsidRPr="005107DF" w:rsidRDefault="00832F98" w:rsidP="00CA6D80">
      <w:pPr>
        <w:spacing w:after="0" w:line="240" w:lineRule="auto"/>
        <w:jc w:val="both"/>
        <w:rPr>
          <w:rFonts w:ascii="Times New Roman" w:eastAsia="Times New Roman" w:hAnsi="Times New Roman" w:cs="Times New Roman"/>
          <w:sz w:val="24"/>
          <w:szCs w:val="20"/>
        </w:rPr>
      </w:pPr>
    </w:p>
    <w:p w14:paraId="4738E51B" w14:textId="77777777" w:rsidR="00832F98" w:rsidRPr="005107DF" w:rsidRDefault="00832F98" w:rsidP="00CA6D80">
      <w:pPr>
        <w:spacing w:after="0" w:line="240" w:lineRule="auto"/>
        <w:rPr>
          <w:rFonts w:ascii="Times New Roman" w:eastAsia="Times New Roman" w:hAnsi="Times New Roman" w:cs="Times New Roman"/>
          <w:b/>
          <w:sz w:val="24"/>
          <w:szCs w:val="24"/>
          <w:u w:val="single"/>
        </w:rPr>
      </w:pPr>
      <w:r>
        <w:rPr>
          <w:rFonts w:ascii="Times New Roman" w:hAnsi="Times New Roman"/>
          <w:b/>
          <w:sz w:val="24"/>
        </w:rPr>
        <w:t>ARTICLE </w:t>
      </w:r>
      <w:r w:rsidRPr="00452C1A">
        <w:rPr>
          <w:rFonts w:ascii="Times New Roman" w:hAnsi="Times New Roman"/>
          <w:b/>
          <w:sz w:val="24"/>
        </w:rPr>
        <w:t>5</w:t>
      </w:r>
      <w:r>
        <w:rPr>
          <w:rFonts w:ascii="Times New Roman" w:hAnsi="Times New Roman"/>
          <w:b/>
          <w:sz w:val="24"/>
        </w:rPr>
        <w:t xml:space="preserve">: Annexes; </w:t>
      </w:r>
      <w:r>
        <w:rPr>
          <w:rFonts w:ascii="Times New Roman" w:hAnsi="Times New Roman"/>
          <w:sz w:val="24"/>
        </w:rPr>
        <w:t xml:space="preserve">il y a lieu d’énumérer et de numéroter toutes les annexes de l’avenant. </w:t>
      </w:r>
    </w:p>
    <w:p w14:paraId="6CBA16F2" w14:textId="77777777" w:rsidR="00832F98" w:rsidRPr="005107DF" w:rsidRDefault="00832F98" w:rsidP="00CA6D80">
      <w:pPr>
        <w:spacing w:after="0" w:line="240" w:lineRule="auto"/>
        <w:jc w:val="both"/>
        <w:rPr>
          <w:rFonts w:ascii="Times New Roman" w:eastAsia="Times New Roman" w:hAnsi="Times New Roman" w:cs="Times New Roman"/>
          <w:b/>
          <w:sz w:val="24"/>
          <w:szCs w:val="24"/>
          <w:u w:val="single"/>
        </w:rPr>
      </w:pPr>
    </w:p>
    <w:p w14:paraId="3A0F2F76" w14:textId="77777777" w:rsidR="00832F98" w:rsidRPr="005107DF" w:rsidRDefault="00832F98" w:rsidP="00CA6D80">
      <w:pPr>
        <w:spacing w:after="0" w:line="240" w:lineRule="auto"/>
        <w:jc w:val="both"/>
        <w:rPr>
          <w:rFonts w:ascii="Times New Roman" w:eastAsia="Times New Roman" w:hAnsi="Times New Roman" w:cs="Times New Roman"/>
          <w:b/>
          <w:sz w:val="24"/>
          <w:szCs w:val="24"/>
          <w:u w:val="single"/>
        </w:rPr>
      </w:pPr>
      <w:r>
        <w:rPr>
          <w:rFonts w:ascii="Times New Roman" w:hAnsi="Times New Roman"/>
          <w:b/>
          <w:sz w:val="24"/>
          <w:u w:val="single"/>
        </w:rPr>
        <w:t xml:space="preserve">Plan de travail et lettres d’accompagnement: </w:t>
      </w:r>
    </w:p>
    <w:p w14:paraId="739C8AEB"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578A5D65"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 xml:space="preserve">Les plans de travail sont actualisés et font l’objet d’une discussion lors des réunions du comité de pilotage; leurs modifications sont notifiées ultérieurement aux parties au contrat. Aucune modification ne peut entraîner la réaffectation entre rubriques budgétaires d’un montant supérieur à </w:t>
      </w:r>
      <w:r w:rsidRPr="00452C1A">
        <w:rPr>
          <w:rFonts w:ascii="Times New Roman" w:hAnsi="Times New Roman"/>
          <w:b/>
          <w:sz w:val="24"/>
        </w:rPr>
        <w:t>25</w:t>
      </w:r>
      <w:r>
        <w:rPr>
          <w:rFonts w:ascii="Times New Roman" w:hAnsi="Times New Roman"/>
          <w:b/>
          <w:sz w:val="24"/>
        </w:rPr>
        <w:t xml:space="preserve"> % du budget.  </w:t>
      </w:r>
    </w:p>
    <w:p w14:paraId="722DC7A0" w14:textId="77777777" w:rsidR="00832F98" w:rsidRPr="005107DF" w:rsidRDefault="00832F98" w:rsidP="00CA6D80">
      <w:pPr>
        <w:spacing w:after="0" w:line="240" w:lineRule="auto"/>
        <w:rPr>
          <w:rFonts w:ascii="Times New Roman" w:eastAsia="Times New Roman" w:hAnsi="Times New Roman" w:cs="Times New Roman"/>
          <w:b/>
          <w:sz w:val="24"/>
          <w:szCs w:val="24"/>
        </w:rPr>
      </w:pPr>
    </w:p>
    <w:p w14:paraId="61504075"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Les lettres d’accompagnement sont uniquement utilisées pour la notification de modifications urgentes entre deux réunions du comité de pilotage. </w:t>
      </w:r>
      <w:r>
        <w:rPr>
          <w:rFonts w:ascii="Times New Roman" w:hAnsi="Times New Roman"/>
          <w:b/>
          <w:sz w:val="24"/>
        </w:rPr>
        <w:t xml:space="preserve">Aucune modification notifiée par lettre d’accompagnement ne peut entraîner la réaffectation entre rubriques budgétaires d’un montant supérieur à </w:t>
      </w:r>
      <w:r w:rsidRPr="00452C1A">
        <w:rPr>
          <w:rFonts w:ascii="Times New Roman" w:hAnsi="Times New Roman"/>
          <w:b/>
          <w:sz w:val="24"/>
        </w:rPr>
        <w:t>25</w:t>
      </w:r>
      <w:r>
        <w:rPr>
          <w:rFonts w:ascii="Times New Roman" w:hAnsi="Times New Roman"/>
          <w:b/>
          <w:sz w:val="24"/>
        </w:rPr>
        <w:t> % du budget.</w:t>
      </w:r>
    </w:p>
    <w:p w14:paraId="5EC5A1BE"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5EDADCAC"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Les lettres d’accompagnement sont signées par le chef de projet du bénéficiaire et celui de l’État membre. Ce dernier peut déléguer au CRJ le pouvoir de signer les lettres d’accompagnement en son nom pour la durée du projet (le chef de projet du bénéficiaire ne peut pas donner de délégation). Les lettres d’accompagnement doivent être soumises à l’administration contractante deux jours avant leur entrée en application. </w:t>
      </w:r>
    </w:p>
    <w:p w14:paraId="0D50ACD8"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6B03A5B2" w14:textId="77777777" w:rsidR="00832F98" w:rsidRPr="005107DF" w:rsidRDefault="00832F98" w:rsidP="00CA6D8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Les modifications apportées au plan de travail/les lettres d’accompagnement doivent indiquer les modifications portant sur la rubrique budgétaire concernée du contrat (voir l’annexe C</w:t>
      </w:r>
      <w:r w:rsidRPr="00452C1A">
        <w:rPr>
          <w:rFonts w:ascii="Times New Roman" w:hAnsi="Times New Roman"/>
          <w:sz w:val="24"/>
        </w:rPr>
        <w:t>13</w:t>
      </w:r>
      <w:r>
        <w:rPr>
          <w:rFonts w:ascii="Times New Roman" w:hAnsi="Times New Roman"/>
          <w:sz w:val="24"/>
        </w:rPr>
        <w:t>).</w:t>
      </w:r>
    </w:p>
    <w:p w14:paraId="05F88598" w14:textId="77777777" w:rsidR="00832F98" w:rsidRPr="005107DF" w:rsidRDefault="00832F98">
      <w:pPr>
        <w:rPr>
          <w:rFonts w:ascii="Times New Roman" w:hAnsi="Times New Roman" w:cs="Times New Roman"/>
        </w:rPr>
      </w:pPr>
      <w:r>
        <w:br w:type="page"/>
      </w:r>
    </w:p>
    <w:p w14:paraId="2A29C94C"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656" w:name="_Toc517434505"/>
      <w:bookmarkStart w:id="1657" w:name="_Toc2861072"/>
      <w:r>
        <w:rPr>
          <w:sz w:val="32"/>
        </w:rPr>
        <w:lastRenderedPageBreak/>
        <w:t>ANNEXE C</w:t>
      </w:r>
      <w:r w:rsidRPr="00452C1A">
        <w:rPr>
          <w:sz w:val="32"/>
        </w:rPr>
        <w:t>15</w:t>
      </w:r>
      <w:r>
        <w:rPr>
          <w:sz w:val="32"/>
        </w:rPr>
        <w:t>: Modèle de plan de travail évolutif</w:t>
      </w:r>
      <w:bookmarkEnd w:id="1656"/>
      <w:bookmarkEnd w:id="1657"/>
    </w:p>
    <w:p w14:paraId="201C417A" w14:textId="77777777" w:rsidR="00832F98" w:rsidRPr="005107DF" w:rsidRDefault="00832F98" w:rsidP="00CA6D80">
      <w:pPr>
        <w:spacing w:after="0" w:line="240" w:lineRule="auto"/>
        <w:rPr>
          <w:rFonts w:ascii="Times New Roman" w:eastAsia="Times New Roman" w:hAnsi="Times New Roman" w:cs="Times New Roman"/>
          <w:sz w:val="2"/>
          <w:szCs w:val="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832F98" w:rsidRPr="005107DF" w14:paraId="084A87B1" w14:textId="77777777" w:rsidTr="007338F0">
        <w:trPr>
          <w:trHeight w:val="1260"/>
        </w:trPr>
        <w:tc>
          <w:tcPr>
            <w:tcW w:w="9214" w:type="dxa"/>
            <w:shd w:val="clear" w:color="auto" w:fill="CCCCCC"/>
          </w:tcPr>
          <w:p w14:paraId="7708A921"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p>
          <w:p w14:paraId="224D3F97" w14:textId="77777777" w:rsidR="00832F98" w:rsidRPr="005107DF" w:rsidRDefault="00832F98" w:rsidP="00CA6D80">
            <w:pPr>
              <w:spacing w:after="120" w:line="240" w:lineRule="auto"/>
              <w:jc w:val="both"/>
              <w:rPr>
                <w:rFonts w:ascii="Times New Roman" w:eastAsia="Times New Roman" w:hAnsi="Times New Roman" w:cs="Times New Roman"/>
                <w:b/>
                <w:bCs/>
                <w:sz w:val="24"/>
                <w:szCs w:val="24"/>
              </w:rPr>
            </w:pPr>
            <w:r>
              <w:rPr>
                <w:rFonts w:ascii="Times New Roman" w:hAnsi="Times New Roman"/>
                <w:b/>
                <w:sz w:val="24"/>
              </w:rPr>
              <w:t>PLAN DE TRAVAIL ÉVOLUTIF N°</w:t>
            </w:r>
          </w:p>
          <w:p w14:paraId="088D4D37" w14:textId="77777777" w:rsidR="00832F98" w:rsidRPr="005107DF" w:rsidRDefault="00832F98" w:rsidP="00CA6D80">
            <w:pPr>
              <w:spacing w:after="120" w:line="240" w:lineRule="auto"/>
              <w:jc w:val="both"/>
              <w:rPr>
                <w:rFonts w:ascii="Times New Roman" w:eastAsia="Times New Roman" w:hAnsi="Times New Roman" w:cs="Times New Roman"/>
                <w:b/>
                <w:bCs/>
                <w:sz w:val="24"/>
                <w:szCs w:val="24"/>
              </w:rPr>
            </w:pPr>
            <w:r>
              <w:rPr>
                <w:rFonts w:ascii="Times New Roman" w:hAnsi="Times New Roman"/>
                <w:b/>
                <w:sz w:val="24"/>
              </w:rPr>
              <w:t>AU CONTRAT DE SUBVENTION DE JUMELAGE _________________________</w:t>
            </w:r>
          </w:p>
          <w:p w14:paraId="2FD7E3CA" w14:textId="77777777" w:rsidR="00832F98" w:rsidRPr="005107DF" w:rsidRDefault="00832F98" w:rsidP="00CA6D80">
            <w:pPr>
              <w:spacing w:after="120" w:line="240" w:lineRule="auto"/>
              <w:jc w:val="both"/>
              <w:rPr>
                <w:rFonts w:ascii="Times New Roman" w:eastAsia="Times New Roman" w:hAnsi="Times New Roman" w:cs="Times New Roman"/>
                <w:spacing w:val="20"/>
                <w:sz w:val="24"/>
                <w:szCs w:val="24"/>
              </w:rPr>
            </w:pPr>
            <w:r>
              <w:rPr>
                <w:rFonts w:ascii="Times New Roman" w:hAnsi="Times New Roman"/>
                <w:b/>
                <w:sz w:val="24"/>
              </w:rPr>
              <w:t>PLAN DE TRAVAIL ET BUDGET POUR LA PÉRIODE:______________</w:t>
            </w:r>
          </w:p>
        </w:tc>
      </w:tr>
    </w:tbl>
    <w:p w14:paraId="2E443378"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097755D8" w14:textId="77777777" w:rsidR="00832F98" w:rsidRPr="005107DF" w:rsidRDefault="00832F98" w:rsidP="00CA6D80">
      <w:pPr>
        <w:spacing w:after="0" w:line="240" w:lineRule="auto"/>
        <w:jc w:val="right"/>
        <w:rPr>
          <w:rFonts w:ascii="Times New Roman" w:eastAsia="Times New Roman" w:hAnsi="Times New Roman" w:cs="Times New Roman"/>
          <w:spacing w:val="20"/>
          <w:sz w:val="24"/>
          <w:szCs w:val="24"/>
        </w:rPr>
      </w:pPr>
      <w:r>
        <w:rPr>
          <w:rFonts w:ascii="Times New Roman" w:hAnsi="Times New Roman"/>
          <w:spacing w:val="20"/>
          <w:sz w:val="24"/>
        </w:rPr>
        <w:t xml:space="preserve">Administration contractante </w:t>
      </w:r>
    </w:p>
    <w:p w14:paraId="4224EB60" w14:textId="77777777" w:rsidR="00832F98" w:rsidRPr="005107DF" w:rsidRDefault="00832F98" w:rsidP="00CA6D80">
      <w:pPr>
        <w:spacing w:after="0" w:line="240" w:lineRule="auto"/>
        <w:rPr>
          <w:rFonts w:ascii="Times New Roman" w:eastAsia="Times New Roman" w:hAnsi="Times New Roman" w:cs="Times New Roman"/>
          <w:spacing w:val="20"/>
          <w:sz w:val="24"/>
          <w:szCs w:val="24"/>
        </w:rPr>
      </w:pPr>
    </w:p>
    <w:p w14:paraId="1D66ACA6" w14:textId="77777777" w:rsidR="00832F98" w:rsidRPr="005107DF" w:rsidRDefault="00832F98" w:rsidP="00CA6D80">
      <w:pPr>
        <w:spacing w:after="0" w:line="240" w:lineRule="auto"/>
        <w:jc w:val="right"/>
        <w:rPr>
          <w:rFonts w:ascii="Times New Roman" w:eastAsia="Times New Roman" w:hAnsi="Times New Roman" w:cs="Times New Roman"/>
          <w:i/>
          <w:spacing w:val="20"/>
          <w:sz w:val="24"/>
          <w:szCs w:val="24"/>
        </w:rPr>
      </w:pPr>
      <w:r>
        <w:rPr>
          <w:rFonts w:ascii="Times New Roman" w:hAnsi="Times New Roman"/>
          <w:i/>
          <w:spacing w:val="20"/>
          <w:sz w:val="24"/>
        </w:rPr>
        <w:t>[Nom]</w:t>
      </w:r>
      <w:r>
        <w:tab/>
      </w:r>
    </w:p>
    <w:p w14:paraId="06FA2FEE"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470D65D9"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 xml:space="preserve">Remarque générale: </w:t>
      </w:r>
    </w:p>
    <w:p w14:paraId="68090BFF"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3E1E317E"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plan de travail évolutif doit être signé par les deux chefs de projet et paraphé sur chaque page. Les chefs de projet ne peuvent déléguer à d’autres le pouvoir de signer les plans de travail évolutifs en leur nom. La signature du plan de travail évolutif initial fait suite à la signature du contrat de subvention de jumelage. Les plans de travail sont actualisés après chaque réunion du comité de pilotage, afin de suivre l’état d’avancement de l’exécution technique et financière et de planifier la période à venir. </w:t>
      </w:r>
    </w:p>
    <w:p w14:paraId="275D9248"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p w14:paraId="4BC19006"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indications données ci-dessous au sujet de la structure du plan de travail sont uniquement proposées à titre d’exemple. Les chefs de projet de l’État membre et de l’administration bénéficiaire doivent convenir du format détaillé au moment de l’élaboration du plan de travail initial et présenter cette structure lors de la première réunion du comité de pilotage.</w:t>
      </w:r>
    </w:p>
    <w:p w14:paraId="5BBF150A"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p w14:paraId="4C96F8D3"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Bien qu’elle ne soit pas abordée ci-dessous, la participation du CRJ et/ou des responsables de volets aux groupes de travail ou de suivi sectoriels ou thématiques locaux et/ou aux réunions de coordination et de coopération, aux séminaires/conférences organisés par d’autres acteurs du secteur, ainsi qu’aux réunions de lancement et de conclusion dans les locaux de la délégation de l’UE, etc., doit être décrite.  </w:t>
      </w:r>
    </w:p>
    <w:p w14:paraId="56D48879"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p w14:paraId="32847149"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 xml:space="preserve">ARTICLE </w:t>
      </w:r>
      <w:r w:rsidRPr="00452C1A">
        <w:rPr>
          <w:rFonts w:ascii="Times New Roman" w:hAnsi="Times New Roman"/>
          <w:b/>
          <w:sz w:val="24"/>
        </w:rPr>
        <w:t>1</w:t>
      </w:r>
      <w:r>
        <w:rPr>
          <w:rFonts w:ascii="Times New Roman" w:hAnsi="Times New Roman"/>
          <w:b/>
          <w:sz w:val="24"/>
          <w:vertAlign w:val="superscript"/>
        </w:rPr>
        <w:t>er</w:t>
      </w:r>
      <w:r>
        <w:rPr>
          <w:rFonts w:ascii="Times New Roman" w:hAnsi="Times New Roman"/>
          <w:b/>
          <w:sz w:val="24"/>
        </w:rPr>
        <w:t>: Objectif</w:t>
      </w:r>
    </w:p>
    <w:p w14:paraId="1DFAC381"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p>
    <w:p w14:paraId="382AF85E" w14:textId="77777777" w:rsidR="00832F98" w:rsidRPr="00434C10" w:rsidRDefault="00832F98" w:rsidP="00CA6D80">
      <w:pPr>
        <w:spacing w:after="0" w:line="240" w:lineRule="auto"/>
        <w:jc w:val="both"/>
        <w:rPr>
          <w:rFonts w:ascii="Times New Roman" w:eastAsia="Times New Roman" w:hAnsi="Times New Roman" w:cs="Times New Roman"/>
          <w:spacing w:val="20"/>
          <w:sz w:val="24"/>
          <w:szCs w:val="24"/>
        </w:rPr>
      </w:pPr>
      <w:r w:rsidRPr="00434C10">
        <w:rPr>
          <w:rFonts w:ascii="Times New Roman" w:hAnsi="Times New Roman" w:cs="Times New Roman"/>
          <w:color w:val="000000"/>
          <w:sz w:val="24"/>
          <w:szCs w:val="24"/>
        </w:rPr>
        <w:t xml:space="preserve">Les chefs de projet de l’État membre et du </w:t>
      </w:r>
      <w:r w:rsidRPr="00434C10">
        <w:rPr>
          <w:rFonts w:ascii="Times New Roman" w:hAnsi="Times New Roman" w:cs="Times New Roman"/>
          <w:sz w:val="24"/>
          <w:szCs w:val="24"/>
        </w:rPr>
        <w:t>bénéficiaire notifient par la présente à l’administration contractante le plan de travail et le budget détaillés du contrat de subvention de jumelage susmentionné pour la période de six mois débutant le _____________.</w:t>
      </w:r>
    </w:p>
    <w:p w14:paraId="6386F315"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4B284AAA"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2</w:t>
      </w:r>
      <w:r>
        <w:rPr>
          <w:rFonts w:ascii="Times New Roman" w:hAnsi="Times New Roman"/>
          <w:b/>
          <w:sz w:val="24"/>
        </w:rPr>
        <w:t>: Tâches (intrants)</w:t>
      </w:r>
    </w:p>
    <w:p w14:paraId="63C53405" w14:textId="77777777" w:rsidR="00832F98" w:rsidRPr="005107DF" w:rsidRDefault="00832F98" w:rsidP="00CA6D80">
      <w:pPr>
        <w:spacing w:after="0" w:line="240" w:lineRule="auto"/>
        <w:jc w:val="both"/>
        <w:rPr>
          <w:rFonts w:ascii="Times New Roman" w:eastAsia="Times New Roman" w:hAnsi="Times New Roman" w:cs="Times New Roman"/>
          <w:i/>
          <w:spacing w:val="20"/>
          <w:sz w:val="24"/>
          <w:szCs w:val="24"/>
        </w:rPr>
      </w:pPr>
    </w:p>
    <w:p w14:paraId="1F69A2F9"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Décrire/actualiser les modalités de chacune des activités mentionnées dans le plan de travail (annexe A</w:t>
      </w:r>
      <w:r w:rsidRPr="00452C1A">
        <w:rPr>
          <w:rFonts w:ascii="Times New Roman" w:hAnsi="Times New Roman"/>
          <w:color w:val="000000"/>
          <w:sz w:val="24"/>
        </w:rPr>
        <w:t>1</w:t>
      </w:r>
      <w:r>
        <w:rPr>
          <w:rFonts w:ascii="Times New Roman" w:hAnsi="Times New Roman"/>
          <w:color w:val="000000"/>
          <w:sz w:val="24"/>
        </w:rPr>
        <w:t xml:space="preserve"> du contrat de subvention de jumelage) qui seront mises en œuvre durant la période couverte par le présent plan de travail évolutif. Fournir toutes les informations requises dans le formulaire ci-dessous. Rappel: chaque activité constitue un élément distinct de la conception du projet et est inscrite séparément au budget.</w:t>
      </w:r>
    </w:p>
    <w:p w14:paraId="329DE74D"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p>
    <w:p w14:paraId="6EBF3B54"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Rubrique budgétaire - CRJ et dépenses connexes</w:t>
      </w:r>
    </w:p>
    <w:p w14:paraId="3953F4DC"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Sous-rubrique Assistant(s) du CRJ:</w:t>
      </w:r>
    </w:p>
    <w:p w14:paraId="64E572C3"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Sous rubrique ......</w:t>
      </w:r>
    </w:p>
    <w:p w14:paraId="517090AF"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rPr>
      </w:pPr>
    </w:p>
    <w:p w14:paraId="666B6E5A"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Indicateurs et critères de référence convenus </w:t>
      </w:r>
    </w:p>
    <w:p w14:paraId="4275584C"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p>
    <w:p w14:paraId="2AC94124"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 xml:space="preserve">Rubrique budgétaire - Coûts horizontaux </w:t>
      </w:r>
    </w:p>
    <w:p w14:paraId="05D4BA47"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Sous-rubrique Préparation du plan de travail et comités de pilotage</w:t>
      </w:r>
    </w:p>
    <w:p w14:paraId="4CFAF21C"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Sous-rubrique Communication et information</w:t>
      </w:r>
    </w:p>
    <w:p w14:paraId="5226FE7A"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Sous rubrique ......</w:t>
      </w:r>
    </w:p>
    <w:p w14:paraId="3CFD7426"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rPr>
      </w:pPr>
    </w:p>
    <w:p w14:paraId="625DA9DF"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Indicateur(s) et critère(s) de référence convenus</w:t>
      </w:r>
    </w:p>
    <w:p w14:paraId="3E4AC892"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p>
    <w:p w14:paraId="55FD6CD8"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 xml:space="preserve">Rubrique budgétaire - Résultats obligatoires/volets  </w:t>
      </w:r>
    </w:p>
    <w:p w14:paraId="76457235"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u w:val="single"/>
        </w:rPr>
      </w:pPr>
    </w:p>
    <w:p w14:paraId="613B4FFE"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Volet </w:t>
      </w:r>
      <w:r w:rsidRPr="00452C1A">
        <w:rPr>
          <w:rFonts w:ascii="Times New Roman" w:hAnsi="Times New Roman"/>
          <w:b/>
          <w:color w:val="000000"/>
          <w:sz w:val="24"/>
          <w:u w:val="single"/>
        </w:rPr>
        <w:t>1</w:t>
      </w:r>
      <w:r>
        <w:rPr>
          <w:rFonts w:ascii="Times New Roman" w:hAnsi="Times New Roman"/>
          <w:b/>
          <w:color w:val="000000"/>
          <w:sz w:val="24"/>
          <w:u w:val="single"/>
        </w:rPr>
        <w:t>: préciser le résultat obligatoire/produit tel que décrit dans la fiche de jumelage</w:t>
      </w:r>
    </w:p>
    <w:p w14:paraId="3B789D1D" w14:textId="77777777" w:rsidR="00832F98" w:rsidRPr="005107DF" w:rsidRDefault="00832F98" w:rsidP="00CA6D80">
      <w:pPr>
        <w:spacing w:after="0" w:line="240" w:lineRule="auto"/>
        <w:rPr>
          <w:rFonts w:ascii="Times New Roman" w:eastAsia="Times New Roman" w:hAnsi="Times New Roman" w:cs="Times New Roman"/>
          <w:color w:val="000000"/>
          <w:sz w:val="24"/>
          <w:szCs w:val="24"/>
          <w:u w:val="single"/>
        </w:rPr>
      </w:pPr>
    </w:p>
    <w:p w14:paraId="1D303336"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Indicateur/critère de référence convenu</w:t>
      </w:r>
    </w:p>
    <w:p w14:paraId="5D2951A4" w14:textId="77777777" w:rsidR="00832F98" w:rsidRPr="005107DF" w:rsidRDefault="00832F98" w:rsidP="00CA6D80">
      <w:pPr>
        <w:spacing w:after="0" w:line="240" w:lineRule="auto"/>
        <w:rPr>
          <w:rFonts w:ascii="Times New Roman" w:eastAsia="Times New Roman" w:hAnsi="Times New Roman" w:cs="Times New Roman"/>
          <w:color w:val="000000"/>
          <w:sz w:val="24"/>
          <w:szCs w:val="24"/>
          <w:u w:val="single"/>
        </w:rPr>
      </w:pPr>
    </w:p>
    <w:p w14:paraId="152DF52B"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color w:val="000000"/>
          <w:sz w:val="24"/>
          <w:u w:val="single"/>
        </w:rPr>
        <w:t>Activité </w:t>
      </w:r>
      <w:r w:rsidRPr="00452C1A">
        <w:rPr>
          <w:rFonts w:ascii="Times New Roman" w:hAnsi="Times New Roman"/>
          <w:color w:val="000000"/>
          <w:sz w:val="24"/>
          <w:u w:val="single"/>
        </w:rPr>
        <w:t>1</w:t>
      </w:r>
      <w:r>
        <w:rPr>
          <w:rFonts w:ascii="Times New Roman" w:hAnsi="Times New Roman"/>
          <w:color w:val="000000"/>
          <w:sz w:val="24"/>
          <w:u w:val="single"/>
        </w:rPr>
        <w:t>.</w:t>
      </w:r>
      <w:r w:rsidRPr="00452C1A">
        <w:rPr>
          <w:rFonts w:ascii="Times New Roman" w:hAnsi="Times New Roman"/>
          <w:color w:val="000000"/>
          <w:sz w:val="24"/>
          <w:u w:val="single"/>
        </w:rPr>
        <w:t>1</w:t>
      </w:r>
      <w:r>
        <w:rPr>
          <w:rFonts w:ascii="Times New Roman" w:hAnsi="Times New Roman"/>
          <w:color w:val="000000"/>
          <w:sz w:val="24"/>
          <w:u w:val="single"/>
        </w:rPr>
        <w:t xml:space="preserve">: </w:t>
      </w:r>
    </w:p>
    <w:p w14:paraId="1F233E6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p w14:paraId="261CB4DB"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Méthode</w:t>
      </w:r>
    </w:p>
    <w:p w14:paraId="3652F014"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Brève description de l’activité (quelles sont les actions prévues: mission d’experts à court terme de l’État membre, visite d’étude, formation, atelier, etc.), en précisant comment elle sera mise en œuvre, par qui (répartition claire des responsabilités entre l’État membre et le pays bénéficiaire) et quand.</w:t>
      </w:r>
    </w:p>
    <w:p w14:paraId="26D103C9" w14:textId="77777777" w:rsidR="00832F98" w:rsidRPr="005107DF" w:rsidRDefault="00832F98" w:rsidP="00CA6D80">
      <w:pPr>
        <w:spacing w:after="0" w:line="240" w:lineRule="auto"/>
        <w:rPr>
          <w:rFonts w:ascii="Times New Roman" w:eastAsia="Times New Roman" w:hAnsi="Times New Roman" w:cs="Times New Roman"/>
          <w:i/>
          <w:color w:val="000000"/>
          <w:sz w:val="24"/>
          <w:szCs w:val="24"/>
        </w:rPr>
      </w:pPr>
    </w:p>
    <w:p w14:paraId="3B8B0BAA"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Ressources</w:t>
      </w:r>
    </w:p>
    <w:p w14:paraId="604B43D6"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Ressources humaines de l’État membre requises (nombre d’experts et de jours-homme).</w:t>
      </w:r>
    </w:p>
    <w:p w14:paraId="427642BB"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Ressources humaines de l’administration bénéficiaire (nombre de personnes et institutions d’origine).</w:t>
      </w:r>
    </w:p>
    <w:p w14:paraId="4DEADF8B"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Autres ressources (traduction, interprétation, matériel de formation).</w:t>
      </w:r>
    </w:p>
    <w:p w14:paraId="468EA8A5"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p w14:paraId="69E890EA"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u w:val="single"/>
        </w:rPr>
      </w:pPr>
      <w:r>
        <w:rPr>
          <w:rFonts w:ascii="Times New Roman" w:hAnsi="Times New Roman"/>
          <w:color w:val="000000"/>
          <w:sz w:val="24"/>
          <w:u w:val="single"/>
        </w:rPr>
        <w:t>Activité </w:t>
      </w:r>
      <w:r w:rsidRPr="00452C1A">
        <w:rPr>
          <w:rFonts w:ascii="Times New Roman" w:hAnsi="Times New Roman"/>
          <w:color w:val="000000"/>
          <w:sz w:val="24"/>
          <w:u w:val="single"/>
        </w:rPr>
        <w:t>1</w:t>
      </w:r>
      <w:r>
        <w:rPr>
          <w:rFonts w:ascii="Times New Roman" w:hAnsi="Times New Roman"/>
          <w:color w:val="000000"/>
          <w:sz w:val="24"/>
          <w:u w:val="single"/>
        </w:rPr>
        <w:t>.</w:t>
      </w:r>
      <w:r w:rsidRPr="00452C1A">
        <w:rPr>
          <w:rFonts w:ascii="Times New Roman" w:hAnsi="Times New Roman"/>
          <w:color w:val="000000"/>
          <w:sz w:val="24"/>
          <w:u w:val="single"/>
        </w:rPr>
        <w:t>2</w:t>
      </w:r>
      <w:r>
        <w:rPr>
          <w:rFonts w:ascii="Times New Roman" w:hAnsi="Times New Roman"/>
          <w:color w:val="000000"/>
          <w:sz w:val="24"/>
          <w:u w:val="single"/>
        </w:rPr>
        <w:t xml:space="preserve">: </w:t>
      </w:r>
    </w:p>
    <w:p w14:paraId="1A0C4C15"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p>
    <w:p w14:paraId="64CF8AC2"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Méthode</w:t>
      </w:r>
    </w:p>
    <w:p w14:paraId="090B191C"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Brève description de l’activité (quelles sont les actions prévues: mission d’experts à court terme de l’État membre, visite d’étude, formation, atelier, etc.), en précisant comment elle sera mise en œuvre, par qui (répartition claire des responsabilités entre l’État membre et le pays bénéficiaire) et quand.</w:t>
      </w:r>
    </w:p>
    <w:p w14:paraId="09CEF87A"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p>
    <w:p w14:paraId="641F27BA"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Ressources</w:t>
      </w:r>
    </w:p>
    <w:p w14:paraId="1A43E862"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 Ressources humaines de l’État membre requises (nombre d’experts et de jours-homme).</w:t>
      </w:r>
    </w:p>
    <w:p w14:paraId="3A36BAF6"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Ressources humaines de l’administration bénéficiaire (nombre de personnes et institutions d’origine).</w:t>
      </w:r>
    </w:p>
    <w:p w14:paraId="60AF5485"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 xml:space="preserve"> Autres ressources (traduction, interprétation, matériel de formation).</w:t>
      </w:r>
    </w:p>
    <w:p w14:paraId="414A5466"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u w:val="single"/>
        </w:rPr>
      </w:pPr>
    </w:p>
    <w:p w14:paraId="5B949DFA"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Volet N: préciser le résultat obligatoire/produit tel que décrit dans la fiche de jumelage</w:t>
      </w:r>
    </w:p>
    <w:p w14:paraId="6F7D6040" w14:textId="77777777" w:rsidR="00832F98" w:rsidRPr="005107DF" w:rsidRDefault="00832F98" w:rsidP="00CA6D80">
      <w:pPr>
        <w:spacing w:after="0" w:line="240" w:lineRule="auto"/>
        <w:rPr>
          <w:rFonts w:ascii="Times New Roman" w:eastAsia="Times New Roman" w:hAnsi="Times New Roman" w:cs="Times New Roman"/>
          <w:color w:val="000000"/>
          <w:sz w:val="24"/>
          <w:szCs w:val="24"/>
          <w:u w:val="single"/>
        </w:rPr>
      </w:pPr>
    </w:p>
    <w:p w14:paraId="37E26EB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Indicateur/critère de référence convenu</w:t>
      </w:r>
    </w:p>
    <w:p w14:paraId="04BD1E19" w14:textId="77777777" w:rsidR="00832F98" w:rsidRPr="005107DF" w:rsidRDefault="00832F98" w:rsidP="00CA6D80">
      <w:pPr>
        <w:spacing w:after="0" w:line="240" w:lineRule="auto"/>
        <w:rPr>
          <w:rFonts w:ascii="Times New Roman" w:eastAsia="Times New Roman" w:hAnsi="Times New Roman" w:cs="Times New Roman"/>
          <w:color w:val="000000"/>
          <w:sz w:val="24"/>
          <w:szCs w:val="24"/>
          <w:u w:val="single"/>
        </w:rPr>
      </w:pPr>
    </w:p>
    <w:p w14:paraId="6638557C" w14:textId="77777777" w:rsidR="00832F98" w:rsidRPr="005107DF" w:rsidRDefault="00832F98" w:rsidP="00CA6D80">
      <w:pPr>
        <w:spacing w:after="0" w:line="240" w:lineRule="auto"/>
        <w:rPr>
          <w:rFonts w:ascii="Times New Roman" w:eastAsia="Times New Roman" w:hAnsi="Times New Roman" w:cs="Times New Roman"/>
          <w:color w:val="000000"/>
          <w:sz w:val="24"/>
          <w:szCs w:val="24"/>
          <w:u w:val="single"/>
        </w:rPr>
      </w:pPr>
      <w:r>
        <w:rPr>
          <w:rFonts w:ascii="Times New Roman" w:hAnsi="Times New Roman"/>
          <w:color w:val="000000"/>
          <w:sz w:val="24"/>
          <w:u w:val="single"/>
        </w:rPr>
        <w:t>Activité N.</w:t>
      </w:r>
      <w:r w:rsidRPr="00452C1A">
        <w:rPr>
          <w:rFonts w:ascii="Times New Roman" w:hAnsi="Times New Roman"/>
          <w:color w:val="000000"/>
          <w:sz w:val="24"/>
          <w:u w:val="single"/>
        </w:rPr>
        <w:t>1</w:t>
      </w:r>
      <w:r>
        <w:rPr>
          <w:rFonts w:ascii="Times New Roman" w:hAnsi="Times New Roman"/>
          <w:color w:val="000000"/>
          <w:sz w:val="24"/>
          <w:u w:val="single"/>
        </w:rPr>
        <w:t xml:space="preserve">: </w:t>
      </w:r>
    </w:p>
    <w:p w14:paraId="1A345CED"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p w14:paraId="65DDB2A2"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Méthode</w:t>
      </w:r>
    </w:p>
    <w:p w14:paraId="051AD615"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 xml:space="preserve">Brève description de l’activité (quelles sont les actions prévues: mission d’experts à court terme de l’État membre, visite d’étude, formation, atelier, etc.), en précisant comment </w:t>
      </w:r>
      <w:r>
        <w:rPr>
          <w:rFonts w:ascii="Times New Roman" w:hAnsi="Times New Roman"/>
          <w:i/>
          <w:color w:val="000000"/>
          <w:sz w:val="24"/>
        </w:rPr>
        <w:lastRenderedPageBreak/>
        <w:t>elle sera mise en œuvre, par qui (répartition claire des responsabilités entre l’État membre et le pays bénéficiaire) et quand.</w:t>
      </w:r>
    </w:p>
    <w:p w14:paraId="7193A650" w14:textId="77777777" w:rsidR="00832F98" w:rsidRPr="005107DF" w:rsidRDefault="00832F98" w:rsidP="00CA6D80">
      <w:pPr>
        <w:spacing w:after="0" w:line="240" w:lineRule="auto"/>
        <w:rPr>
          <w:rFonts w:ascii="Times New Roman" w:eastAsia="Times New Roman" w:hAnsi="Times New Roman" w:cs="Times New Roman"/>
          <w:i/>
          <w:color w:val="000000"/>
          <w:sz w:val="24"/>
          <w:szCs w:val="24"/>
        </w:rPr>
      </w:pPr>
    </w:p>
    <w:p w14:paraId="48603E3A"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Ressources</w:t>
      </w:r>
    </w:p>
    <w:p w14:paraId="2F4017F4"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Ressources humaines de l’État membre requises (nombre d’experts et de jours-homme).</w:t>
      </w:r>
    </w:p>
    <w:p w14:paraId="48E3C029"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Ressources humaines de l’administration bénéficiaire (nombre de personnes et institutions d’origine).</w:t>
      </w:r>
    </w:p>
    <w:p w14:paraId="644FBA89"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Autres ressources (traduction, interprétation, matériel de formation).</w:t>
      </w:r>
    </w:p>
    <w:p w14:paraId="61B40B36"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p w14:paraId="531EF09B"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u w:val="single"/>
        </w:rPr>
      </w:pPr>
      <w:r>
        <w:rPr>
          <w:rFonts w:ascii="Times New Roman" w:hAnsi="Times New Roman"/>
          <w:color w:val="000000"/>
          <w:sz w:val="24"/>
          <w:u w:val="single"/>
        </w:rPr>
        <w:t>Activité N.</w:t>
      </w:r>
      <w:r w:rsidRPr="00452C1A">
        <w:rPr>
          <w:rFonts w:ascii="Times New Roman" w:hAnsi="Times New Roman"/>
          <w:color w:val="000000"/>
          <w:sz w:val="24"/>
          <w:u w:val="single"/>
        </w:rPr>
        <w:t>2</w:t>
      </w:r>
      <w:r>
        <w:rPr>
          <w:rFonts w:ascii="Times New Roman" w:hAnsi="Times New Roman"/>
          <w:color w:val="000000"/>
          <w:sz w:val="24"/>
          <w:u w:val="single"/>
        </w:rPr>
        <w:t xml:space="preserve">: </w:t>
      </w:r>
    </w:p>
    <w:p w14:paraId="650149EA"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p>
    <w:p w14:paraId="7D7D8D84"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Méthode</w:t>
      </w:r>
    </w:p>
    <w:p w14:paraId="54AAF64A"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Brève description de l’activité (quelles sont les actions prévues: mission d’experts à court terme de l’État membre, visite d’étude, formation, atelier, etc.), en précisant comment elle sera mise en œuvre, par qui (répartition claire des responsabilités entre l’État membre et le pays bénéficiaire) et quand.</w:t>
      </w:r>
    </w:p>
    <w:p w14:paraId="3DB7601B"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p>
    <w:p w14:paraId="3EEEC2E0"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Ressources</w:t>
      </w:r>
    </w:p>
    <w:p w14:paraId="68B6E7C2"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 Ressources humaines de l’État membre requises (nombre d’experts et de jours-homme).</w:t>
      </w:r>
    </w:p>
    <w:p w14:paraId="4BE5FC41"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Ressources humaines de l’administration bénéficiaire (nombre de personnes et institutions d’origine).</w:t>
      </w:r>
    </w:p>
    <w:p w14:paraId="510B3057"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 xml:space="preserve"> Autres ressources (traduction, interprétation, matériel de formation).</w:t>
      </w:r>
    </w:p>
    <w:p w14:paraId="354A5492"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p w14:paraId="7F9B2C24"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p w14:paraId="7EF96FBD"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3</w:t>
      </w:r>
      <w:r>
        <w:rPr>
          <w:rFonts w:ascii="Times New Roman" w:hAnsi="Times New Roman"/>
          <w:b/>
          <w:sz w:val="24"/>
        </w:rPr>
        <w:t>: Risques</w:t>
      </w:r>
    </w:p>
    <w:p w14:paraId="42409FDE"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p w14:paraId="4441EB61" w14:textId="77777777" w:rsidR="00832F98" w:rsidRPr="005107DF" w:rsidRDefault="00832F98" w:rsidP="00CA6D80">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Précisez/actualisez les conditions internes relatives au projet qui doivent être remplies afin de garantir une mise en œuvre efficace et en temps voulu et l’obtention de résultats.</w:t>
      </w:r>
    </w:p>
    <w:p w14:paraId="2FEFB903"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p>
    <w:p w14:paraId="1A997A97"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p>
    <w:p w14:paraId="0D00A5CF"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4</w:t>
      </w:r>
      <w:r>
        <w:rPr>
          <w:rFonts w:ascii="Times New Roman" w:hAnsi="Times New Roman"/>
          <w:b/>
          <w:sz w:val="24"/>
        </w:rPr>
        <w:t>: Calendrier</w:t>
      </w:r>
    </w:p>
    <w:p w14:paraId="6CE5BD74"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p>
    <w:p w14:paraId="44A20161" w14:textId="77777777" w:rsidR="00832F98" w:rsidRPr="005107DF" w:rsidRDefault="00832F98" w:rsidP="00CA6D80">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Mettre à jour, si nécessaire, le calendrier figurant dans le plan de travail initial.</w:t>
      </w:r>
    </w:p>
    <w:p w14:paraId="161BB1FE" w14:textId="77777777" w:rsidR="00832F98" w:rsidRPr="005107DF" w:rsidRDefault="00832F98" w:rsidP="00CA6D80">
      <w:pPr>
        <w:spacing w:after="0" w:line="240" w:lineRule="auto"/>
        <w:rPr>
          <w:rFonts w:ascii="Times New Roman" w:eastAsia="Times New Roman" w:hAnsi="Times New Roman" w:cs="Times New Roman"/>
          <w:i/>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6"/>
        <w:gridCol w:w="511"/>
        <w:gridCol w:w="513"/>
        <w:gridCol w:w="513"/>
        <w:gridCol w:w="513"/>
        <w:gridCol w:w="511"/>
        <w:gridCol w:w="513"/>
        <w:gridCol w:w="513"/>
        <w:gridCol w:w="513"/>
        <w:gridCol w:w="511"/>
        <w:gridCol w:w="513"/>
        <w:gridCol w:w="513"/>
        <w:gridCol w:w="513"/>
      </w:tblGrid>
      <w:tr w:rsidR="00832F98" w:rsidRPr="005107DF" w14:paraId="617E26E8" w14:textId="77777777" w:rsidTr="00CA6D80">
        <w:trPr>
          <w:trHeight w:val="328"/>
        </w:trPr>
        <w:tc>
          <w:tcPr>
            <w:tcW w:w="1667" w:type="pct"/>
            <w:tcBorders>
              <w:top w:val="double" w:sz="4" w:space="0" w:color="auto"/>
              <w:left w:val="double" w:sz="4" w:space="0" w:color="auto"/>
              <w:bottom w:val="double" w:sz="4" w:space="0" w:color="auto"/>
              <w:right w:val="double" w:sz="4" w:space="0" w:color="auto"/>
            </w:tcBorders>
          </w:tcPr>
          <w:p w14:paraId="3F882940"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Mois du projet</w:t>
            </w:r>
          </w:p>
        </w:tc>
        <w:tc>
          <w:tcPr>
            <w:tcW w:w="277" w:type="pct"/>
            <w:tcBorders>
              <w:top w:val="double" w:sz="4" w:space="0" w:color="auto"/>
              <w:left w:val="double" w:sz="4" w:space="0" w:color="auto"/>
              <w:bottom w:val="double" w:sz="4" w:space="0" w:color="auto"/>
              <w:right w:val="double" w:sz="4" w:space="0" w:color="auto"/>
            </w:tcBorders>
          </w:tcPr>
          <w:p w14:paraId="65A35D21"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1</w:t>
            </w:r>
          </w:p>
        </w:tc>
        <w:tc>
          <w:tcPr>
            <w:tcW w:w="278" w:type="pct"/>
            <w:tcBorders>
              <w:top w:val="double" w:sz="4" w:space="0" w:color="auto"/>
              <w:left w:val="double" w:sz="4" w:space="0" w:color="auto"/>
              <w:bottom w:val="double" w:sz="4" w:space="0" w:color="auto"/>
              <w:right w:val="double" w:sz="4" w:space="0" w:color="auto"/>
            </w:tcBorders>
          </w:tcPr>
          <w:p w14:paraId="4738B5DF"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2</w:t>
            </w:r>
          </w:p>
        </w:tc>
        <w:tc>
          <w:tcPr>
            <w:tcW w:w="278" w:type="pct"/>
            <w:tcBorders>
              <w:top w:val="double" w:sz="4" w:space="0" w:color="auto"/>
              <w:left w:val="double" w:sz="4" w:space="0" w:color="auto"/>
              <w:bottom w:val="double" w:sz="4" w:space="0" w:color="auto"/>
              <w:right w:val="double" w:sz="4" w:space="0" w:color="auto"/>
            </w:tcBorders>
          </w:tcPr>
          <w:p w14:paraId="65A601A7"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3</w:t>
            </w:r>
          </w:p>
        </w:tc>
        <w:tc>
          <w:tcPr>
            <w:tcW w:w="278" w:type="pct"/>
            <w:tcBorders>
              <w:top w:val="double" w:sz="4" w:space="0" w:color="auto"/>
              <w:left w:val="double" w:sz="4" w:space="0" w:color="auto"/>
              <w:bottom w:val="double" w:sz="4" w:space="0" w:color="auto"/>
              <w:right w:val="double" w:sz="4" w:space="0" w:color="auto"/>
            </w:tcBorders>
          </w:tcPr>
          <w:p w14:paraId="2C9A551C"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4</w:t>
            </w:r>
          </w:p>
        </w:tc>
        <w:tc>
          <w:tcPr>
            <w:tcW w:w="277" w:type="pct"/>
            <w:tcBorders>
              <w:top w:val="double" w:sz="4" w:space="0" w:color="auto"/>
              <w:left w:val="double" w:sz="4" w:space="0" w:color="auto"/>
              <w:bottom w:val="double" w:sz="4" w:space="0" w:color="auto"/>
              <w:right w:val="double" w:sz="4" w:space="0" w:color="auto"/>
            </w:tcBorders>
          </w:tcPr>
          <w:p w14:paraId="37BFED29"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5</w:t>
            </w:r>
          </w:p>
        </w:tc>
        <w:tc>
          <w:tcPr>
            <w:tcW w:w="278" w:type="pct"/>
            <w:tcBorders>
              <w:top w:val="double" w:sz="4" w:space="0" w:color="auto"/>
              <w:left w:val="double" w:sz="4" w:space="0" w:color="auto"/>
              <w:bottom w:val="double" w:sz="4" w:space="0" w:color="auto"/>
              <w:right w:val="double" w:sz="4" w:space="0" w:color="auto"/>
            </w:tcBorders>
          </w:tcPr>
          <w:p w14:paraId="58FA1D80"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6</w:t>
            </w:r>
          </w:p>
        </w:tc>
        <w:tc>
          <w:tcPr>
            <w:tcW w:w="278" w:type="pct"/>
            <w:tcBorders>
              <w:top w:val="double" w:sz="4" w:space="0" w:color="auto"/>
              <w:left w:val="double" w:sz="4" w:space="0" w:color="auto"/>
              <w:bottom w:val="double" w:sz="4" w:space="0" w:color="auto"/>
              <w:right w:val="double" w:sz="4" w:space="0" w:color="auto"/>
            </w:tcBorders>
          </w:tcPr>
          <w:p w14:paraId="0E4AAF04"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7</w:t>
            </w:r>
          </w:p>
        </w:tc>
        <w:tc>
          <w:tcPr>
            <w:tcW w:w="278" w:type="pct"/>
            <w:tcBorders>
              <w:top w:val="double" w:sz="4" w:space="0" w:color="auto"/>
              <w:left w:val="double" w:sz="4" w:space="0" w:color="auto"/>
              <w:bottom w:val="double" w:sz="4" w:space="0" w:color="auto"/>
              <w:right w:val="double" w:sz="4" w:space="0" w:color="auto"/>
            </w:tcBorders>
          </w:tcPr>
          <w:p w14:paraId="6228D510"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8</w:t>
            </w:r>
          </w:p>
        </w:tc>
        <w:tc>
          <w:tcPr>
            <w:tcW w:w="277" w:type="pct"/>
            <w:tcBorders>
              <w:top w:val="double" w:sz="4" w:space="0" w:color="auto"/>
              <w:left w:val="double" w:sz="4" w:space="0" w:color="auto"/>
              <w:bottom w:val="double" w:sz="4" w:space="0" w:color="auto"/>
              <w:right w:val="double" w:sz="4" w:space="0" w:color="auto"/>
            </w:tcBorders>
          </w:tcPr>
          <w:p w14:paraId="5382B1E2"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9</w:t>
            </w:r>
          </w:p>
        </w:tc>
        <w:tc>
          <w:tcPr>
            <w:tcW w:w="278" w:type="pct"/>
            <w:tcBorders>
              <w:top w:val="double" w:sz="4" w:space="0" w:color="auto"/>
              <w:left w:val="double" w:sz="4" w:space="0" w:color="auto"/>
              <w:bottom w:val="double" w:sz="4" w:space="0" w:color="auto"/>
              <w:right w:val="double" w:sz="4" w:space="0" w:color="auto"/>
            </w:tcBorders>
          </w:tcPr>
          <w:p w14:paraId="57EF1A98"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10</w:t>
            </w:r>
          </w:p>
        </w:tc>
        <w:tc>
          <w:tcPr>
            <w:tcW w:w="278" w:type="pct"/>
            <w:tcBorders>
              <w:top w:val="double" w:sz="4" w:space="0" w:color="auto"/>
              <w:left w:val="double" w:sz="4" w:space="0" w:color="auto"/>
              <w:bottom w:val="double" w:sz="4" w:space="0" w:color="auto"/>
              <w:right w:val="double" w:sz="4" w:space="0" w:color="auto"/>
            </w:tcBorders>
          </w:tcPr>
          <w:p w14:paraId="0ADC1DDA"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11</w:t>
            </w:r>
          </w:p>
        </w:tc>
        <w:tc>
          <w:tcPr>
            <w:tcW w:w="277" w:type="pct"/>
            <w:tcBorders>
              <w:top w:val="double" w:sz="4" w:space="0" w:color="auto"/>
              <w:left w:val="double" w:sz="4" w:space="0" w:color="auto"/>
              <w:bottom w:val="double" w:sz="4" w:space="0" w:color="auto"/>
              <w:right w:val="double" w:sz="4" w:space="0" w:color="auto"/>
            </w:tcBorders>
          </w:tcPr>
          <w:p w14:paraId="3971E580"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N</w:t>
            </w:r>
          </w:p>
        </w:tc>
      </w:tr>
      <w:tr w:rsidR="00832F98" w:rsidRPr="005107DF" w14:paraId="05D0406C" w14:textId="77777777" w:rsidTr="00CA6D80">
        <w:trPr>
          <w:cantSplit/>
        </w:trPr>
        <w:tc>
          <w:tcPr>
            <w:tcW w:w="5000" w:type="pct"/>
            <w:gridSpan w:val="13"/>
            <w:tcBorders>
              <w:top w:val="double" w:sz="4" w:space="0" w:color="auto"/>
              <w:bottom w:val="single" w:sz="4" w:space="0" w:color="auto"/>
            </w:tcBorders>
            <w:shd w:val="pct25" w:color="auto" w:fill="FFFFFF"/>
          </w:tcPr>
          <w:p w14:paraId="3FA77018"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Coûts relatifs au CRJ</w:t>
            </w:r>
          </w:p>
          <w:p w14:paraId="15840C15"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 xml:space="preserve">Assistants du CRJ </w:t>
            </w:r>
          </w:p>
        </w:tc>
      </w:tr>
      <w:tr w:rsidR="00832F98" w:rsidRPr="005107DF" w14:paraId="4DC869DF" w14:textId="77777777" w:rsidTr="00CA6D80">
        <w:trPr>
          <w:cantSplit/>
        </w:trPr>
        <w:tc>
          <w:tcPr>
            <w:tcW w:w="5000" w:type="pct"/>
            <w:gridSpan w:val="13"/>
            <w:tcBorders>
              <w:top w:val="double" w:sz="4" w:space="0" w:color="auto"/>
              <w:bottom w:val="single" w:sz="4" w:space="0" w:color="auto"/>
            </w:tcBorders>
            <w:shd w:val="pct25" w:color="auto" w:fill="FFFFFF"/>
          </w:tcPr>
          <w:p w14:paraId="21442AF4"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Coûts horizontaux</w:t>
            </w:r>
          </w:p>
          <w:p w14:paraId="4F30A39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Élaboration du plan de travail</w:t>
            </w:r>
          </w:p>
          <w:p w14:paraId="17FFABBF"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Comités de pilotage</w:t>
            </w:r>
          </w:p>
          <w:p w14:paraId="466C8F76"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Communication et visibilité</w:t>
            </w:r>
          </w:p>
        </w:tc>
      </w:tr>
      <w:tr w:rsidR="00832F98" w:rsidRPr="005107DF" w14:paraId="5CF97DE0" w14:textId="77777777" w:rsidTr="00CA6D80">
        <w:trPr>
          <w:cantSplit/>
        </w:trPr>
        <w:tc>
          <w:tcPr>
            <w:tcW w:w="5000" w:type="pct"/>
            <w:gridSpan w:val="13"/>
            <w:tcBorders>
              <w:top w:val="double" w:sz="4" w:space="0" w:color="auto"/>
              <w:bottom w:val="single" w:sz="4" w:space="0" w:color="auto"/>
            </w:tcBorders>
            <w:shd w:val="pct25" w:color="auto" w:fill="FFFFFF"/>
          </w:tcPr>
          <w:p w14:paraId="1C927F35"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Résultats obligatoires/produits</w:t>
            </w:r>
          </w:p>
          <w:p w14:paraId="3B26DD03"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Volet </w:t>
            </w:r>
            <w:r w:rsidRPr="00452C1A">
              <w:rPr>
                <w:rFonts w:ascii="Times New Roman" w:hAnsi="Times New Roman"/>
                <w:b/>
                <w:color w:val="000000"/>
                <w:sz w:val="24"/>
              </w:rPr>
              <w:t>1</w:t>
            </w:r>
          </w:p>
        </w:tc>
      </w:tr>
      <w:tr w:rsidR="00832F98" w:rsidRPr="005107DF" w14:paraId="50D52312" w14:textId="77777777" w:rsidTr="00CA6D80">
        <w:trPr>
          <w:cantSplit/>
        </w:trPr>
        <w:tc>
          <w:tcPr>
            <w:tcW w:w="1667" w:type="pct"/>
            <w:shd w:val="clear" w:color="auto" w:fill="FFFFFF"/>
          </w:tcPr>
          <w:p w14:paraId="6A5EE6A5"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 xml:space="preserve">Activité </w:t>
            </w:r>
            <w:r w:rsidRPr="00452C1A">
              <w:rPr>
                <w:rFonts w:ascii="Times New Roman" w:hAnsi="Times New Roman"/>
                <w:b/>
                <w:color w:val="000000"/>
                <w:sz w:val="24"/>
              </w:rPr>
              <w:t>1</w:t>
            </w:r>
            <w:r>
              <w:rPr>
                <w:rFonts w:ascii="Times New Roman" w:hAnsi="Times New Roman"/>
                <w:b/>
                <w:color w:val="000000"/>
                <w:sz w:val="24"/>
              </w:rPr>
              <w:t>,</w:t>
            </w:r>
            <w:r w:rsidRPr="00452C1A">
              <w:rPr>
                <w:rFonts w:ascii="Times New Roman" w:hAnsi="Times New Roman"/>
                <w:b/>
                <w:color w:val="000000"/>
                <w:sz w:val="24"/>
              </w:rPr>
              <w:t>1</w:t>
            </w:r>
          </w:p>
        </w:tc>
        <w:tc>
          <w:tcPr>
            <w:tcW w:w="277" w:type="pct"/>
          </w:tcPr>
          <w:p w14:paraId="55C333D6"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Pr>
          <w:p w14:paraId="3CA88829"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Pr>
          <w:p w14:paraId="287C6A8F"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Pr>
          <w:p w14:paraId="4810A55F"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Pr>
          <w:p w14:paraId="41A51AE8"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Pr>
          <w:p w14:paraId="7606179C"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Pr>
          <w:p w14:paraId="62C4BA0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Pr>
          <w:p w14:paraId="3020756E"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Pr>
          <w:p w14:paraId="6845D839"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Pr>
          <w:p w14:paraId="5A84E5B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Pr>
          <w:p w14:paraId="376C68C1"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Pr>
          <w:p w14:paraId="54FB8975"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r>
      <w:tr w:rsidR="00832F98" w:rsidRPr="005107DF" w14:paraId="5B9CD485" w14:textId="77777777" w:rsidTr="00CA6D80">
        <w:trPr>
          <w:cantSplit/>
        </w:trPr>
        <w:tc>
          <w:tcPr>
            <w:tcW w:w="1667" w:type="pct"/>
            <w:tcBorders>
              <w:bottom w:val="single" w:sz="4" w:space="0" w:color="auto"/>
            </w:tcBorders>
            <w:shd w:val="clear" w:color="auto" w:fill="FFFFFF"/>
          </w:tcPr>
          <w:p w14:paraId="1BAF5404"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 xml:space="preserve">Activité </w:t>
            </w:r>
            <w:r w:rsidRPr="00452C1A">
              <w:rPr>
                <w:rFonts w:ascii="Times New Roman" w:hAnsi="Times New Roman"/>
                <w:b/>
                <w:color w:val="000000"/>
                <w:sz w:val="24"/>
              </w:rPr>
              <w:t>1</w:t>
            </w:r>
            <w:r>
              <w:rPr>
                <w:rFonts w:ascii="Times New Roman" w:hAnsi="Times New Roman"/>
                <w:b/>
                <w:color w:val="000000"/>
                <w:sz w:val="24"/>
              </w:rPr>
              <w:t>,</w:t>
            </w:r>
            <w:r w:rsidRPr="00452C1A">
              <w:rPr>
                <w:rFonts w:ascii="Times New Roman" w:hAnsi="Times New Roman"/>
                <w:b/>
                <w:color w:val="000000"/>
                <w:sz w:val="24"/>
              </w:rPr>
              <w:t>2</w:t>
            </w:r>
          </w:p>
        </w:tc>
        <w:tc>
          <w:tcPr>
            <w:tcW w:w="277" w:type="pct"/>
            <w:tcBorders>
              <w:bottom w:val="single" w:sz="4" w:space="0" w:color="auto"/>
            </w:tcBorders>
          </w:tcPr>
          <w:p w14:paraId="3036D533"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4" w:space="0" w:color="auto"/>
            </w:tcBorders>
          </w:tcPr>
          <w:p w14:paraId="429DE4C3"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4" w:space="0" w:color="auto"/>
            </w:tcBorders>
          </w:tcPr>
          <w:p w14:paraId="3E5DE182"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4" w:space="0" w:color="auto"/>
            </w:tcBorders>
          </w:tcPr>
          <w:p w14:paraId="32A11BCF"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bottom w:val="single" w:sz="4" w:space="0" w:color="auto"/>
            </w:tcBorders>
          </w:tcPr>
          <w:p w14:paraId="69B49708"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4" w:space="0" w:color="auto"/>
            </w:tcBorders>
          </w:tcPr>
          <w:p w14:paraId="50130F02"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4" w:space="0" w:color="auto"/>
            </w:tcBorders>
          </w:tcPr>
          <w:p w14:paraId="0633984C"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4" w:space="0" w:color="auto"/>
            </w:tcBorders>
          </w:tcPr>
          <w:p w14:paraId="0466438D"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bottom w:val="single" w:sz="4" w:space="0" w:color="auto"/>
            </w:tcBorders>
          </w:tcPr>
          <w:p w14:paraId="623A2494"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4" w:space="0" w:color="auto"/>
            </w:tcBorders>
          </w:tcPr>
          <w:p w14:paraId="6B9A2FFC"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4" w:space="0" w:color="auto"/>
            </w:tcBorders>
          </w:tcPr>
          <w:p w14:paraId="152FB7CF"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bottom w:val="single" w:sz="4" w:space="0" w:color="auto"/>
            </w:tcBorders>
          </w:tcPr>
          <w:p w14:paraId="62AB2AFB"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r>
      <w:tr w:rsidR="00832F98" w:rsidRPr="005107DF" w14:paraId="24B0FDC2" w14:textId="77777777" w:rsidTr="00CA6D80">
        <w:tc>
          <w:tcPr>
            <w:tcW w:w="1667" w:type="pct"/>
            <w:tcBorders>
              <w:bottom w:val="single" w:sz="6" w:space="0" w:color="auto"/>
            </w:tcBorders>
          </w:tcPr>
          <w:p w14:paraId="2A91DD64"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 xml:space="preserve">Activité </w:t>
            </w:r>
            <w:r w:rsidRPr="00452C1A">
              <w:rPr>
                <w:rFonts w:ascii="Times New Roman" w:hAnsi="Times New Roman"/>
                <w:b/>
                <w:color w:val="000000"/>
                <w:sz w:val="24"/>
              </w:rPr>
              <w:t>1</w:t>
            </w:r>
            <w:r>
              <w:rPr>
                <w:rFonts w:ascii="Times New Roman" w:hAnsi="Times New Roman"/>
                <w:b/>
                <w:color w:val="000000"/>
                <w:sz w:val="24"/>
              </w:rPr>
              <w:t>,</w:t>
            </w:r>
            <w:r w:rsidRPr="00452C1A">
              <w:rPr>
                <w:rFonts w:ascii="Times New Roman" w:hAnsi="Times New Roman"/>
                <w:b/>
                <w:color w:val="000000"/>
                <w:sz w:val="24"/>
              </w:rPr>
              <w:t>3</w:t>
            </w:r>
          </w:p>
        </w:tc>
        <w:tc>
          <w:tcPr>
            <w:tcW w:w="277" w:type="pct"/>
            <w:tcBorders>
              <w:bottom w:val="single" w:sz="6" w:space="0" w:color="auto"/>
            </w:tcBorders>
          </w:tcPr>
          <w:p w14:paraId="38E70E75"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6" w:space="0" w:color="auto"/>
            </w:tcBorders>
          </w:tcPr>
          <w:p w14:paraId="13228323"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6" w:space="0" w:color="auto"/>
            </w:tcBorders>
          </w:tcPr>
          <w:p w14:paraId="2E0D8705"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6" w:space="0" w:color="auto"/>
            </w:tcBorders>
          </w:tcPr>
          <w:p w14:paraId="58019239"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bottom w:val="single" w:sz="6" w:space="0" w:color="auto"/>
            </w:tcBorders>
          </w:tcPr>
          <w:p w14:paraId="4F537284"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6" w:space="0" w:color="auto"/>
            </w:tcBorders>
          </w:tcPr>
          <w:p w14:paraId="4F5D1BAD"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6" w:space="0" w:color="auto"/>
            </w:tcBorders>
          </w:tcPr>
          <w:p w14:paraId="41FBA10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6" w:space="0" w:color="auto"/>
            </w:tcBorders>
          </w:tcPr>
          <w:p w14:paraId="6D5C5F14"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bottom w:val="single" w:sz="6" w:space="0" w:color="auto"/>
            </w:tcBorders>
          </w:tcPr>
          <w:p w14:paraId="0BB8798E"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6" w:space="0" w:color="auto"/>
            </w:tcBorders>
          </w:tcPr>
          <w:p w14:paraId="3F1BF6A8"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6" w:space="0" w:color="auto"/>
            </w:tcBorders>
          </w:tcPr>
          <w:p w14:paraId="2ED25C1B"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bottom w:val="single" w:sz="6" w:space="0" w:color="auto"/>
            </w:tcBorders>
          </w:tcPr>
          <w:p w14:paraId="57243FD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r>
      <w:tr w:rsidR="00832F98" w:rsidRPr="005107DF" w14:paraId="0A434D40" w14:textId="77777777" w:rsidTr="00CA6D80">
        <w:tc>
          <w:tcPr>
            <w:tcW w:w="1667" w:type="pct"/>
            <w:tcBorders>
              <w:top w:val="single" w:sz="6" w:space="0" w:color="auto"/>
              <w:left w:val="single" w:sz="6" w:space="0" w:color="auto"/>
              <w:bottom w:val="single" w:sz="6" w:space="0" w:color="auto"/>
              <w:right w:val="nil"/>
            </w:tcBorders>
            <w:shd w:val="pct25" w:color="auto" w:fill="auto"/>
          </w:tcPr>
          <w:p w14:paraId="3503C43C"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Volet n</w:t>
            </w:r>
          </w:p>
        </w:tc>
        <w:tc>
          <w:tcPr>
            <w:tcW w:w="277" w:type="pct"/>
            <w:tcBorders>
              <w:top w:val="single" w:sz="6" w:space="0" w:color="auto"/>
              <w:left w:val="nil"/>
              <w:bottom w:val="single" w:sz="6" w:space="0" w:color="auto"/>
              <w:right w:val="nil"/>
            </w:tcBorders>
            <w:shd w:val="pct25" w:color="auto" w:fill="auto"/>
          </w:tcPr>
          <w:p w14:paraId="6C8BF395"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left w:val="nil"/>
              <w:bottom w:val="single" w:sz="6" w:space="0" w:color="auto"/>
              <w:right w:val="nil"/>
            </w:tcBorders>
            <w:shd w:val="pct25" w:color="auto" w:fill="auto"/>
          </w:tcPr>
          <w:p w14:paraId="500C8766"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left w:val="nil"/>
              <w:bottom w:val="single" w:sz="6" w:space="0" w:color="auto"/>
              <w:right w:val="nil"/>
            </w:tcBorders>
            <w:shd w:val="pct25" w:color="auto" w:fill="auto"/>
          </w:tcPr>
          <w:p w14:paraId="0BB34008"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left w:val="nil"/>
              <w:bottom w:val="single" w:sz="6" w:space="0" w:color="auto"/>
              <w:right w:val="nil"/>
            </w:tcBorders>
            <w:shd w:val="pct25" w:color="auto" w:fill="auto"/>
          </w:tcPr>
          <w:p w14:paraId="76AC1C9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left w:val="nil"/>
              <w:bottom w:val="single" w:sz="6" w:space="0" w:color="auto"/>
              <w:right w:val="nil"/>
            </w:tcBorders>
            <w:shd w:val="pct25" w:color="auto" w:fill="auto"/>
          </w:tcPr>
          <w:p w14:paraId="43D0C037"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left w:val="nil"/>
              <w:bottom w:val="single" w:sz="6" w:space="0" w:color="auto"/>
              <w:right w:val="nil"/>
            </w:tcBorders>
            <w:shd w:val="pct25" w:color="auto" w:fill="auto"/>
          </w:tcPr>
          <w:p w14:paraId="3A6ADA38"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left w:val="nil"/>
              <w:bottom w:val="single" w:sz="6" w:space="0" w:color="auto"/>
              <w:right w:val="nil"/>
            </w:tcBorders>
            <w:shd w:val="pct25" w:color="auto" w:fill="auto"/>
          </w:tcPr>
          <w:p w14:paraId="304260D3"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left w:val="nil"/>
              <w:bottom w:val="single" w:sz="6" w:space="0" w:color="auto"/>
              <w:right w:val="nil"/>
            </w:tcBorders>
            <w:shd w:val="pct25" w:color="auto" w:fill="auto"/>
          </w:tcPr>
          <w:p w14:paraId="7D894741"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left w:val="nil"/>
              <w:bottom w:val="single" w:sz="6" w:space="0" w:color="auto"/>
              <w:right w:val="nil"/>
            </w:tcBorders>
            <w:shd w:val="pct25" w:color="auto" w:fill="auto"/>
          </w:tcPr>
          <w:p w14:paraId="167F8931"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left w:val="nil"/>
              <w:bottom w:val="single" w:sz="6" w:space="0" w:color="auto"/>
              <w:right w:val="nil"/>
            </w:tcBorders>
            <w:shd w:val="pct25" w:color="auto" w:fill="auto"/>
          </w:tcPr>
          <w:p w14:paraId="35BEEAF4"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left w:val="nil"/>
              <w:bottom w:val="single" w:sz="6" w:space="0" w:color="auto"/>
              <w:right w:val="nil"/>
            </w:tcBorders>
            <w:shd w:val="pct25" w:color="auto" w:fill="auto"/>
          </w:tcPr>
          <w:p w14:paraId="7848576C"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left w:val="nil"/>
              <w:bottom w:val="single" w:sz="6" w:space="0" w:color="auto"/>
              <w:right w:val="nil"/>
            </w:tcBorders>
            <w:shd w:val="pct25" w:color="auto" w:fill="auto"/>
          </w:tcPr>
          <w:p w14:paraId="0A4EC0B3"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r>
      <w:tr w:rsidR="00832F98" w:rsidRPr="005107DF" w14:paraId="10189FFE" w14:textId="77777777" w:rsidTr="00CA6D80">
        <w:tc>
          <w:tcPr>
            <w:tcW w:w="1667" w:type="pct"/>
            <w:tcBorders>
              <w:top w:val="single" w:sz="6" w:space="0" w:color="auto"/>
            </w:tcBorders>
          </w:tcPr>
          <w:p w14:paraId="52F748E5"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Activité n.</w:t>
            </w:r>
            <w:r w:rsidRPr="00452C1A">
              <w:rPr>
                <w:rFonts w:ascii="Times New Roman" w:hAnsi="Times New Roman"/>
                <w:b/>
                <w:color w:val="000000"/>
                <w:sz w:val="24"/>
              </w:rPr>
              <w:t>1</w:t>
            </w:r>
          </w:p>
        </w:tc>
        <w:tc>
          <w:tcPr>
            <w:tcW w:w="277" w:type="pct"/>
            <w:tcBorders>
              <w:top w:val="single" w:sz="6" w:space="0" w:color="auto"/>
            </w:tcBorders>
          </w:tcPr>
          <w:p w14:paraId="73B45F51"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69B9965E"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0FCA7C61"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66123BC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tcBorders>
          </w:tcPr>
          <w:p w14:paraId="648B1C86"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47D23079"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659A6C18"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7031C243"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tcBorders>
          </w:tcPr>
          <w:p w14:paraId="3FF6739C"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6CBDF778"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4ECBA197"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tcBorders>
          </w:tcPr>
          <w:p w14:paraId="75030661"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r>
      <w:tr w:rsidR="00832F98" w:rsidRPr="005107DF" w14:paraId="12E89CF7" w14:textId="77777777" w:rsidTr="00CA6D80">
        <w:tc>
          <w:tcPr>
            <w:tcW w:w="1667" w:type="pct"/>
            <w:tcBorders>
              <w:top w:val="single" w:sz="6" w:space="0" w:color="auto"/>
            </w:tcBorders>
          </w:tcPr>
          <w:p w14:paraId="1BBE845B"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Activité n.</w:t>
            </w:r>
            <w:r w:rsidRPr="00452C1A">
              <w:rPr>
                <w:rFonts w:ascii="Times New Roman" w:hAnsi="Times New Roman"/>
                <w:b/>
                <w:color w:val="000000"/>
                <w:sz w:val="24"/>
              </w:rPr>
              <w:t>2</w:t>
            </w:r>
          </w:p>
        </w:tc>
        <w:tc>
          <w:tcPr>
            <w:tcW w:w="277" w:type="pct"/>
            <w:tcBorders>
              <w:top w:val="single" w:sz="6" w:space="0" w:color="auto"/>
            </w:tcBorders>
          </w:tcPr>
          <w:p w14:paraId="76E8498F"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485ADD1F"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60E1D6EF"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52FF8583"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tcBorders>
          </w:tcPr>
          <w:p w14:paraId="2FB1C1A4"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515E7C41"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30D1B4FD"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78190C8C"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tcBorders>
          </w:tcPr>
          <w:p w14:paraId="7403515D"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3E555C63"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6BC628B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tcBorders>
          </w:tcPr>
          <w:p w14:paraId="2C13E944"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r>
      <w:tr w:rsidR="00832F98" w:rsidRPr="005107DF" w14:paraId="59DDDC01" w14:textId="77777777" w:rsidTr="00CA6D80">
        <w:trPr>
          <w:trHeight w:val="315"/>
        </w:trPr>
        <w:tc>
          <w:tcPr>
            <w:tcW w:w="1667" w:type="pct"/>
            <w:tcBorders>
              <w:top w:val="single" w:sz="6" w:space="0" w:color="auto"/>
              <w:bottom w:val="single" w:sz="6" w:space="0" w:color="auto"/>
            </w:tcBorders>
          </w:tcPr>
          <w:p w14:paraId="00DA593F"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Activité n.</w:t>
            </w:r>
            <w:r w:rsidRPr="00452C1A">
              <w:rPr>
                <w:rFonts w:ascii="Times New Roman" w:hAnsi="Times New Roman"/>
                <w:b/>
                <w:color w:val="000000"/>
                <w:sz w:val="24"/>
              </w:rPr>
              <w:t>3</w:t>
            </w:r>
          </w:p>
        </w:tc>
        <w:tc>
          <w:tcPr>
            <w:tcW w:w="277" w:type="pct"/>
            <w:tcBorders>
              <w:top w:val="single" w:sz="6" w:space="0" w:color="auto"/>
              <w:bottom w:val="single" w:sz="6" w:space="0" w:color="auto"/>
            </w:tcBorders>
          </w:tcPr>
          <w:p w14:paraId="539E6B2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bottom w:val="single" w:sz="6" w:space="0" w:color="auto"/>
            </w:tcBorders>
          </w:tcPr>
          <w:p w14:paraId="7F808F07"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bottom w:val="single" w:sz="6" w:space="0" w:color="auto"/>
            </w:tcBorders>
          </w:tcPr>
          <w:p w14:paraId="01FBF423"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bottom w:val="single" w:sz="6" w:space="0" w:color="auto"/>
            </w:tcBorders>
          </w:tcPr>
          <w:p w14:paraId="39D1881B"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bottom w:val="single" w:sz="6" w:space="0" w:color="auto"/>
            </w:tcBorders>
          </w:tcPr>
          <w:p w14:paraId="365F3FCA"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bottom w:val="single" w:sz="6" w:space="0" w:color="auto"/>
            </w:tcBorders>
          </w:tcPr>
          <w:p w14:paraId="7F1EF9E7"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bottom w:val="single" w:sz="6" w:space="0" w:color="auto"/>
            </w:tcBorders>
          </w:tcPr>
          <w:p w14:paraId="626604BB"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bottom w:val="single" w:sz="6" w:space="0" w:color="auto"/>
            </w:tcBorders>
          </w:tcPr>
          <w:p w14:paraId="7ED076D6"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bottom w:val="single" w:sz="6" w:space="0" w:color="auto"/>
            </w:tcBorders>
          </w:tcPr>
          <w:p w14:paraId="1E6BE814"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bottom w:val="single" w:sz="6" w:space="0" w:color="auto"/>
            </w:tcBorders>
          </w:tcPr>
          <w:p w14:paraId="2CB31651"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bottom w:val="single" w:sz="6" w:space="0" w:color="auto"/>
            </w:tcBorders>
          </w:tcPr>
          <w:p w14:paraId="6D6BED1A"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bottom w:val="single" w:sz="6" w:space="0" w:color="auto"/>
            </w:tcBorders>
          </w:tcPr>
          <w:p w14:paraId="6073E9D1"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r>
    </w:tbl>
    <w:p w14:paraId="2F4DED7A" w14:textId="77777777" w:rsidR="00832F98" w:rsidRPr="005107DF" w:rsidRDefault="00832F98" w:rsidP="00CA6D80">
      <w:pPr>
        <w:spacing w:after="0" w:line="240" w:lineRule="auto"/>
        <w:rPr>
          <w:rFonts w:ascii="Times New Roman" w:eastAsia="Times New Roman" w:hAnsi="Times New Roman" w:cs="Times New Roman"/>
          <w:color w:val="000000"/>
          <w:sz w:val="24"/>
          <w:szCs w:val="24"/>
          <w:u w:val="single"/>
        </w:rPr>
      </w:pPr>
    </w:p>
    <w:p w14:paraId="5B9C365D"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p>
    <w:p w14:paraId="12DE6DD9"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lastRenderedPageBreak/>
        <w:t>ARTICLE </w:t>
      </w:r>
      <w:r w:rsidRPr="00452C1A">
        <w:rPr>
          <w:rFonts w:ascii="Times New Roman" w:hAnsi="Times New Roman"/>
          <w:b/>
          <w:sz w:val="24"/>
        </w:rPr>
        <w:t>5</w:t>
      </w:r>
      <w:r>
        <w:rPr>
          <w:rFonts w:ascii="Times New Roman" w:hAnsi="Times New Roman"/>
          <w:b/>
          <w:sz w:val="24"/>
        </w:rPr>
        <w:t>: Ressources humaines</w:t>
      </w:r>
    </w:p>
    <w:p w14:paraId="7A28CC0F"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p w14:paraId="0A295E6D" w14:textId="77777777" w:rsidR="00832F98" w:rsidRPr="005107DF" w:rsidRDefault="00832F98" w:rsidP="00CA6D80">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Donner des informations sur les experts de l’État membre appelés à remplir les fonctions susmentionnées durant la période couverte par le présent plan de travail évolutif ainsi que sur leurs homologues dans chacune des institutions bénéficiaires, ainsi que leur CV, ou actualiser ces informations. Le tableau ci-dessous peut être modifié en fonction des besoins spécifiques convenus entre les chefs de projet de l’État membre et du bénéficiaire.</w:t>
      </w:r>
    </w:p>
    <w:p w14:paraId="7018428D" w14:textId="77777777" w:rsidR="00832F98" w:rsidRPr="005107DF" w:rsidRDefault="00832F98" w:rsidP="00CA6D80">
      <w:pPr>
        <w:spacing w:before="120" w:after="0" w:line="240" w:lineRule="auto"/>
        <w:jc w:val="both"/>
        <w:rPr>
          <w:rFonts w:ascii="Times New Roman" w:eastAsia="Times New Roman" w:hAnsi="Times New Roman" w:cs="Times New Roman"/>
          <w:i/>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1"/>
        <w:gridCol w:w="873"/>
        <w:gridCol w:w="745"/>
        <w:gridCol w:w="927"/>
        <w:gridCol w:w="1130"/>
        <w:gridCol w:w="1003"/>
        <w:gridCol w:w="1159"/>
        <w:gridCol w:w="1130"/>
        <w:gridCol w:w="1128"/>
      </w:tblGrid>
      <w:tr w:rsidR="00832F98" w:rsidRPr="005107DF" w14:paraId="1E887074" w14:textId="77777777" w:rsidTr="00CA6D80">
        <w:trPr>
          <w:trHeight w:val="90"/>
        </w:trPr>
        <w:tc>
          <w:tcPr>
            <w:tcW w:w="626" w:type="pct"/>
          </w:tcPr>
          <w:p w14:paraId="6DBE1BF2" w14:textId="77777777" w:rsidR="00832F98" w:rsidRPr="005107DF" w:rsidRDefault="00832F98" w:rsidP="00CA6D80">
            <w:pPr>
              <w:spacing w:after="0" w:line="240" w:lineRule="auto"/>
              <w:jc w:val="center"/>
              <w:rPr>
                <w:rFonts w:ascii="Times New Roman" w:eastAsia="Times New Roman" w:hAnsi="Times New Roman" w:cs="Times New Roman"/>
                <w:color w:val="000000"/>
                <w:sz w:val="16"/>
                <w:szCs w:val="24"/>
              </w:rPr>
            </w:pPr>
            <w:r>
              <w:rPr>
                <w:rFonts w:ascii="Times New Roman" w:hAnsi="Times New Roman"/>
                <w:color w:val="000000"/>
                <w:sz w:val="16"/>
              </w:rPr>
              <w:t>État membre ou bénéficiaire</w:t>
            </w:r>
          </w:p>
        </w:tc>
        <w:tc>
          <w:tcPr>
            <w:tcW w:w="486" w:type="pct"/>
          </w:tcPr>
          <w:p w14:paraId="31431584" w14:textId="77777777" w:rsidR="00832F98" w:rsidRPr="005107DF" w:rsidRDefault="00832F98" w:rsidP="00CA6D80">
            <w:pPr>
              <w:spacing w:after="0" w:line="240" w:lineRule="auto"/>
              <w:jc w:val="center"/>
              <w:rPr>
                <w:rFonts w:ascii="Times New Roman" w:eastAsia="Times New Roman" w:hAnsi="Times New Roman" w:cs="Times New Roman"/>
                <w:color w:val="000000"/>
                <w:sz w:val="16"/>
                <w:szCs w:val="24"/>
              </w:rPr>
            </w:pPr>
            <w:r>
              <w:rPr>
                <w:rFonts w:ascii="Times New Roman" w:hAnsi="Times New Roman"/>
                <w:color w:val="000000"/>
                <w:sz w:val="16"/>
              </w:rPr>
              <w:t>Nom</w:t>
            </w:r>
          </w:p>
        </w:tc>
        <w:tc>
          <w:tcPr>
            <w:tcW w:w="416" w:type="pct"/>
          </w:tcPr>
          <w:p w14:paraId="759D3381" w14:textId="77777777" w:rsidR="00832F98" w:rsidRPr="005107DF" w:rsidRDefault="00832F98" w:rsidP="00CA6D80">
            <w:pPr>
              <w:spacing w:after="0" w:line="240" w:lineRule="auto"/>
              <w:jc w:val="center"/>
              <w:rPr>
                <w:rFonts w:ascii="Times New Roman" w:eastAsia="Times New Roman" w:hAnsi="Times New Roman" w:cs="Times New Roman"/>
                <w:color w:val="000000"/>
                <w:sz w:val="16"/>
                <w:szCs w:val="24"/>
              </w:rPr>
            </w:pPr>
            <w:r>
              <w:rPr>
                <w:rFonts w:ascii="Times New Roman" w:hAnsi="Times New Roman"/>
                <w:color w:val="000000"/>
                <w:sz w:val="16"/>
              </w:rPr>
              <w:t>Poste actuel</w:t>
            </w:r>
          </w:p>
        </w:tc>
        <w:tc>
          <w:tcPr>
            <w:tcW w:w="486" w:type="pct"/>
          </w:tcPr>
          <w:p w14:paraId="2ACDD1CD" w14:textId="77777777" w:rsidR="00832F98" w:rsidRPr="005107DF" w:rsidRDefault="00832F98" w:rsidP="00CA6D80">
            <w:pPr>
              <w:spacing w:after="0" w:line="240" w:lineRule="auto"/>
              <w:jc w:val="center"/>
              <w:rPr>
                <w:rFonts w:ascii="Times New Roman" w:eastAsia="Times New Roman" w:hAnsi="Times New Roman" w:cs="Times New Roman"/>
                <w:color w:val="000000"/>
                <w:sz w:val="16"/>
                <w:szCs w:val="24"/>
              </w:rPr>
            </w:pPr>
            <w:r>
              <w:rPr>
                <w:rFonts w:ascii="Times New Roman" w:hAnsi="Times New Roman"/>
                <w:color w:val="000000"/>
                <w:sz w:val="16"/>
              </w:rPr>
              <w:t>Employeur</w:t>
            </w:r>
          </w:p>
        </w:tc>
        <w:tc>
          <w:tcPr>
            <w:tcW w:w="625" w:type="pct"/>
          </w:tcPr>
          <w:p w14:paraId="34F67BB7" w14:textId="77777777" w:rsidR="00832F98" w:rsidRPr="005107DF" w:rsidRDefault="00832F98" w:rsidP="00CA6D80">
            <w:pPr>
              <w:spacing w:after="0" w:line="240" w:lineRule="auto"/>
              <w:jc w:val="center"/>
              <w:rPr>
                <w:rFonts w:ascii="Times New Roman" w:eastAsia="Times New Roman" w:hAnsi="Times New Roman" w:cs="Times New Roman"/>
                <w:color w:val="000000"/>
                <w:sz w:val="16"/>
                <w:szCs w:val="24"/>
              </w:rPr>
            </w:pPr>
            <w:r>
              <w:rPr>
                <w:rFonts w:ascii="Times New Roman" w:hAnsi="Times New Roman"/>
                <w:color w:val="000000"/>
                <w:sz w:val="16"/>
              </w:rPr>
              <w:t>Années d’expérience</w:t>
            </w:r>
          </w:p>
        </w:tc>
        <w:tc>
          <w:tcPr>
            <w:tcW w:w="556" w:type="pct"/>
          </w:tcPr>
          <w:p w14:paraId="6EF4F7F0" w14:textId="77777777" w:rsidR="00832F98" w:rsidRPr="005107DF" w:rsidRDefault="00832F98" w:rsidP="00CA6D80">
            <w:pPr>
              <w:spacing w:after="0" w:line="240" w:lineRule="auto"/>
              <w:jc w:val="center"/>
              <w:rPr>
                <w:rFonts w:ascii="Times New Roman" w:eastAsia="Times New Roman" w:hAnsi="Times New Roman" w:cs="Times New Roman"/>
                <w:color w:val="000000"/>
                <w:sz w:val="16"/>
                <w:szCs w:val="24"/>
              </w:rPr>
            </w:pPr>
            <w:r>
              <w:rPr>
                <w:rFonts w:ascii="Times New Roman" w:hAnsi="Times New Roman"/>
                <w:color w:val="000000"/>
                <w:sz w:val="16"/>
              </w:rPr>
              <w:t>Formation</w:t>
            </w:r>
          </w:p>
        </w:tc>
        <w:tc>
          <w:tcPr>
            <w:tcW w:w="556" w:type="pct"/>
          </w:tcPr>
          <w:p w14:paraId="46D8B7EF" w14:textId="77777777" w:rsidR="00832F98" w:rsidRPr="005107DF" w:rsidRDefault="00832F98" w:rsidP="00CA6D80">
            <w:pPr>
              <w:spacing w:after="0" w:line="240" w:lineRule="auto"/>
              <w:jc w:val="center"/>
              <w:rPr>
                <w:rFonts w:ascii="Times New Roman" w:eastAsia="Times New Roman" w:hAnsi="Times New Roman" w:cs="Times New Roman"/>
                <w:color w:val="000000"/>
                <w:sz w:val="16"/>
                <w:szCs w:val="24"/>
              </w:rPr>
            </w:pPr>
            <w:r>
              <w:rPr>
                <w:rFonts w:ascii="Times New Roman" w:hAnsi="Times New Roman"/>
                <w:color w:val="000000"/>
                <w:sz w:val="16"/>
              </w:rPr>
              <w:t>Connaissances spécialisées</w:t>
            </w:r>
          </w:p>
        </w:tc>
        <w:tc>
          <w:tcPr>
            <w:tcW w:w="625" w:type="pct"/>
          </w:tcPr>
          <w:p w14:paraId="03152E82" w14:textId="77777777" w:rsidR="00832F98" w:rsidRPr="005107DF" w:rsidRDefault="00832F98" w:rsidP="00CA6D80">
            <w:pPr>
              <w:spacing w:after="0" w:line="240" w:lineRule="auto"/>
              <w:jc w:val="center"/>
              <w:rPr>
                <w:rFonts w:ascii="Times New Roman" w:eastAsia="Times New Roman" w:hAnsi="Times New Roman" w:cs="Times New Roman"/>
                <w:color w:val="000000"/>
                <w:sz w:val="16"/>
                <w:szCs w:val="24"/>
              </w:rPr>
            </w:pPr>
            <w:r>
              <w:rPr>
                <w:rFonts w:ascii="Times New Roman" w:hAnsi="Times New Roman"/>
                <w:color w:val="000000"/>
                <w:sz w:val="16"/>
              </w:rPr>
              <w:t>Expérience dans le pays bénéficiaire</w:t>
            </w:r>
          </w:p>
        </w:tc>
        <w:tc>
          <w:tcPr>
            <w:tcW w:w="625" w:type="pct"/>
          </w:tcPr>
          <w:p w14:paraId="5EA5ED2B" w14:textId="77777777" w:rsidR="00832F98" w:rsidRPr="005107DF" w:rsidRDefault="00832F98" w:rsidP="00CA6D80">
            <w:pPr>
              <w:spacing w:after="0" w:line="240" w:lineRule="auto"/>
              <w:jc w:val="center"/>
              <w:rPr>
                <w:rFonts w:ascii="Times New Roman" w:eastAsia="Times New Roman" w:hAnsi="Times New Roman" w:cs="Times New Roman"/>
                <w:color w:val="000000"/>
                <w:sz w:val="16"/>
                <w:szCs w:val="24"/>
              </w:rPr>
            </w:pPr>
            <w:r>
              <w:rPr>
                <w:rFonts w:ascii="Times New Roman" w:hAnsi="Times New Roman"/>
                <w:color w:val="000000"/>
                <w:sz w:val="16"/>
              </w:rPr>
              <w:t>Langues</w:t>
            </w:r>
          </w:p>
        </w:tc>
      </w:tr>
      <w:tr w:rsidR="00832F98" w:rsidRPr="005107DF" w14:paraId="48F4C20F" w14:textId="77777777" w:rsidTr="00CA6D80">
        <w:tc>
          <w:tcPr>
            <w:tcW w:w="626" w:type="pct"/>
          </w:tcPr>
          <w:p w14:paraId="734ED6D9"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486" w:type="pct"/>
          </w:tcPr>
          <w:p w14:paraId="32953254"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416" w:type="pct"/>
          </w:tcPr>
          <w:p w14:paraId="20B87EC9"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486" w:type="pct"/>
          </w:tcPr>
          <w:p w14:paraId="60E49652"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625" w:type="pct"/>
          </w:tcPr>
          <w:p w14:paraId="3C67B58F"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556" w:type="pct"/>
          </w:tcPr>
          <w:p w14:paraId="71AD0CC2"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556" w:type="pct"/>
          </w:tcPr>
          <w:p w14:paraId="16CF5834"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625" w:type="pct"/>
          </w:tcPr>
          <w:p w14:paraId="2B7781C2"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625" w:type="pct"/>
          </w:tcPr>
          <w:p w14:paraId="22B9B22A"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r>
      <w:tr w:rsidR="00832F98" w:rsidRPr="005107DF" w14:paraId="2C45DC30" w14:textId="77777777" w:rsidTr="00CA6D80">
        <w:tc>
          <w:tcPr>
            <w:tcW w:w="626" w:type="pct"/>
          </w:tcPr>
          <w:p w14:paraId="70C59A41"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486" w:type="pct"/>
          </w:tcPr>
          <w:p w14:paraId="67BBA386"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416" w:type="pct"/>
          </w:tcPr>
          <w:p w14:paraId="247D4BE2"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486" w:type="pct"/>
          </w:tcPr>
          <w:p w14:paraId="75D4EEC5"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625" w:type="pct"/>
          </w:tcPr>
          <w:p w14:paraId="04D8FB53"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556" w:type="pct"/>
          </w:tcPr>
          <w:p w14:paraId="132E4718"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556" w:type="pct"/>
          </w:tcPr>
          <w:p w14:paraId="716A1013"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625" w:type="pct"/>
          </w:tcPr>
          <w:p w14:paraId="0CF79720"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625" w:type="pct"/>
          </w:tcPr>
          <w:p w14:paraId="116D6199"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r>
    </w:tbl>
    <w:p w14:paraId="0F1CDA5C" w14:textId="77777777" w:rsidR="00832F98" w:rsidRPr="005107DF" w:rsidRDefault="00832F98" w:rsidP="00CA6D80">
      <w:pPr>
        <w:spacing w:before="120" w:after="0" w:line="240" w:lineRule="auto"/>
        <w:jc w:val="both"/>
        <w:rPr>
          <w:rFonts w:ascii="Times New Roman" w:eastAsia="Times New Roman" w:hAnsi="Times New Roman" w:cs="Times New Roman"/>
          <w:color w:val="000000"/>
          <w:sz w:val="24"/>
          <w:szCs w:val="24"/>
          <w:u w:val="single"/>
        </w:rPr>
      </w:pPr>
    </w:p>
    <w:p w14:paraId="60F1A262"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6</w:t>
      </w:r>
      <w:r>
        <w:rPr>
          <w:rFonts w:ascii="Times New Roman" w:hAnsi="Times New Roman"/>
          <w:b/>
          <w:sz w:val="24"/>
        </w:rPr>
        <w:t xml:space="preserve">: Budget </w:t>
      </w:r>
    </w:p>
    <w:p w14:paraId="30EF74D3" w14:textId="77777777" w:rsidR="00832F98" w:rsidRPr="005107DF" w:rsidRDefault="00832F98" w:rsidP="00CA6D80">
      <w:pPr>
        <w:spacing w:after="0" w:line="240" w:lineRule="auto"/>
        <w:jc w:val="both"/>
        <w:rPr>
          <w:rFonts w:ascii="Times New Roman" w:eastAsia="Times New Roman" w:hAnsi="Times New Roman" w:cs="Times New Roman"/>
          <w:b/>
        </w:rPr>
      </w:pPr>
    </w:p>
    <w:p w14:paraId="6D6199B7" w14:textId="77777777" w:rsidR="00832F98" w:rsidRPr="005107DF" w:rsidRDefault="00832F98" w:rsidP="00CA6D80">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Décrire/actualiser les modalités budgétaires de chacune des activités mentionnées dans le plan de travail (annexe A</w:t>
      </w:r>
      <w:r w:rsidRPr="00452C1A">
        <w:rPr>
          <w:rFonts w:ascii="Times New Roman" w:hAnsi="Times New Roman"/>
          <w:i/>
          <w:color w:val="000000"/>
          <w:sz w:val="24"/>
        </w:rPr>
        <w:t>1</w:t>
      </w:r>
      <w:r>
        <w:rPr>
          <w:rFonts w:ascii="Times New Roman" w:hAnsi="Times New Roman"/>
          <w:i/>
          <w:color w:val="000000"/>
          <w:sz w:val="24"/>
        </w:rPr>
        <w:t xml:space="preserve"> du contrat de subvention de jumelage) qui seront mises en œuvre durant la période couverte par le présent plan de travail et fournir toutes les informations requises dans le tableau ci-dessous.</w:t>
      </w:r>
    </w:p>
    <w:p w14:paraId="5453043B" w14:textId="77777777" w:rsidR="00832F98" w:rsidRPr="005107DF" w:rsidRDefault="00832F98" w:rsidP="00CA6D80">
      <w:pPr>
        <w:spacing w:after="0" w:line="240" w:lineRule="auto"/>
        <w:jc w:val="both"/>
        <w:rPr>
          <w:rFonts w:ascii="Times New Roman" w:eastAsia="Times New Roman" w:hAnsi="Times New Roman" w:cs="Times New Roman"/>
          <w:i/>
          <w:color w:val="000000"/>
          <w:sz w:val="24"/>
          <w:szCs w:val="24"/>
        </w:rPr>
      </w:pPr>
    </w:p>
    <w:p w14:paraId="0FD623ED" w14:textId="77777777" w:rsidR="00832F98" w:rsidRPr="005107DF" w:rsidRDefault="00832F98" w:rsidP="00CA6D80">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Reprendre aussi les informations fournies à l’annexe du présent plan de travail, ainsi que celles figurant dans le(s) plan(s) de travail antérieur(s), de sorte que le tableau donne un aperçu complet des coûts inscrits au budget.</w:t>
      </w:r>
    </w:p>
    <w:p w14:paraId="252D026E" w14:textId="77777777" w:rsidR="00832F98" w:rsidRPr="005107DF" w:rsidRDefault="00832F98" w:rsidP="00CA6D80">
      <w:pPr>
        <w:spacing w:after="0" w:line="240" w:lineRule="auto"/>
        <w:ind w:left="1440" w:hanging="1440"/>
        <w:jc w:val="both"/>
        <w:rPr>
          <w:rFonts w:ascii="Times New Roman" w:eastAsia="Times New Roman" w:hAnsi="Times New Roman" w:cs="Times New Roman"/>
          <w:b/>
          <w:color w:val="000000"/>
          <w:sz w:val="24"/>
          <w:szCs w:val="24"/>
        </w:rPr>
      </w:pPr>
    </w:p>
    <w:p w14:paraId="4AC30CCD"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 xml:space="preserve">BUDGET à joindre en annexe </w:t>
      </w:r>
    </w:p>
    <w:p w14:paraId="37CF0251" w14:textId="77777777" w:rsidR="00832F98" w:rsidRPr="005107DF" w:rsidRDefault="00832F98" w:rsidP="00CA6D80">
      <w:pPr>
        <w:spacing w:after="0" w:line="240" w:lineRule="auto"/>
        <w:jc w:val="both"/>
        <w:rPr>
          <w:rFonts w:ascii="Times New Roman" w:eastAsia="Times New Roman" w:hAnsi="Times New Roman" w:cs="Times New Roman"/>
          <w:b/>
          <w:i/>
          <w:color w:val="000000"/>
          <w:sz w:val="24"/>
          <w:szCs w:val="24"/>
        </w:rPr>
      </w:pPr>
    </w:p>
    <w:p w14:paraId="1B98C235" w14:textId="77777777" w:rsidR="00832F98" w:rsidRPr="005107DF" w:rsidRDefault="00832F98" w:rsidP="00CA6D80">
      <w:pPr>
        <w:spacing w:after="0" w:line="240" w:lineRule="auto"/>
        <w:jc w:val="both"/>
        <w:rPr>
          <w:rFonts w:ascii="Times New Roman" w:eastAsia="Times New Roman" w:hAnsi="Times New Roman" w:cs="Times New Roman"/>
          <w:b/>
          <w:i/>
          <w:color w:val="000000"/>
          <w:sz w:val="24"/>
          <w:szCs w:val="24"/>
        </w:rPr>
      </w:pPr>
      <w:r>
        <w:rPr>
          <w:rFonts w:ascii="Times New Roman" w:hAnsi="Times New Roman"/>
          <w:b/>
          <w:i/>
          <w:color w:val="000000"/>
          <w:sz w:val="24"/>
        </w:rPr>
        <w:t>&lt;Prendre comme base le modèle fourni à l’annexe A</w:t>
      </w:r>
      <w:r w:rsidRPr="00452C1A">
        <w:rPr>
          <w:rFonts w:ascii="Times New Roman" w:hAnsi="Times New Roman"/>
          <w:b/>
          <w:i/>
          <w:color w:val="000000"/>
          <w:sz w:val="24"/>
        </w:rPr>
        <w:t>3</w:t>
      </w:r>
      <w:r>
        <w:rPr>
          <w:rFonts w:ascii="Times New Roman" w:hAnsi="Times New Roman"/>
          <w:b/>
          <w:i/>
          <w:color w:val="000000"/>
          <w:sz w:val="24"/>
        </w:rPr>
        <w:t xml:space="preserve"> du contrat de subvention de jumelage et ajouter une colonne indiquant l’état d’avancement, l’impact du ou des plans de travail actualisés ainsi qu’une autre colonne présentant la situation après application de toutes les modifications apportées à ce jour, y compris par le nouveau plan de travail&gt;</w:t>
      </w:r>
    </w:p>
    <w:p w14:paraId="4E5F2A7E" w14:textId="77777777" w:rsidR="00832F98" w:rsidRPr="005107DF" w:rsidRDefault="00832F98" w:rsidP="00CA6D80">
      <w:pPr>
        <w:spacing w:after="0" w:line="240" w:lineRule="auto"/>
        <w:ind w:left="1440" w:hanging="1440"/>
        <w:jc w:val="center"/>
        <w:rPr>
          <w:rFonts w:ascii="Times New Roman" w:eastAsia="Times New Roman" w:hAnsi="Times New Roman" w:cs="Times New Roman"/>
          <w:b/>
          <w:color w:val="000000"/>
          <w:sz w:val="24"/>
          <w:szCs w:val="24"/>
        </w:rPr>
      </w:pPr>
    </w:p>
    <w:p w14:paraId="33EE094D" w14:textId="77777777" w:rsidR="00832F98" w:rsidRPr="005107DF" w:rsidRDefault="00832F98" w:rsidP="00CA6D80">
      <w:pPr>
        <w:spacing w:after="0" w:line="240" w:lineRule="auto"/>
        <w:rPr>
          <w:rFonts w:ascii="Times New Roman" w:eastAsia="Times New Roman" w:hAnsi="Times New Roman" w:cs="Times New Roman"/>
          <w:sz w:val="24"/>
          <w:szCs w:val="24"/>
        </w:rPr>
      </w:pPr>
    </w:p>
    <w:p w14:paraId="4DE7AD88" w14:textId="77777777" w:rsidR="00832F98" w:rsidRPr="005107DF" w:rsidRDefault="00832F98" w:rsidP="00CA6D80">
      <w:pPr>
        <w:spacing w:after="0" w:line="240" w:lineRule="auto"/>
        <w:ind w:left="5529" w:right="-760" w:hanging="5529"/>
        <w:rPr>
          <w:rFonts w:ascii="Times New Roman" w:eastAsia="Times New Roman" w:hAnsi="Times New Roman" w:cs="Times New Roman"/>
          <w:i/>
          <w:color w:val="000000"/>
          <w:szCs w:val="24"/>
        </w:rPr>
      </w:pPr>
      <w:r>
        <w:rPr>
          <w:rFonts w:ascii="Times New Roman" w:hAnsi="Times New Roman"/>
          <w:b/>
          <w:color w:val="000000"/>
          <w:sz w:val="24"/>
        </w:rPr>
        <w:t>Le chef de projet de l’État membre</w:t>
      </w:r>
    </w:p>
    <w:p w14:paraId="4BF91D16" w14:textId="77777777" w:rsidR="00832F98" w:rsidRPr="005107DF" w:rsidRDefault="00832F98" w:rsidP="00CA6D80">
      <w:pPr>
        <w:spacing w:after="0" w:line="240" w:lineRule="auto"/>
        <w:ind w:left="5529" w:right="-760" w:hanging="5529"/>
        <w:rPr>
          <w:rFonts w:ascii="Times New Roman" w:eastAsia="Times New Roman" w:hAnsi="Times New Roman" w:cs="Times New Roman"/>
          <w:color w:val="000000"/>
          <w:sz w:val="24"/>
          <w:szCs w:val="24"/>
        </w:rPr>
      </w:pPr>
    </w:p>
    <w:p w14:paraId="2EDDB74D" w14:textId="77777777" w:rsidR="00832F98" w:rsidRPr="005107DF" w:rsidRDefault="00832F98" w:rsidP="00CA6D80">
      <w:pPr>
        <w:spacing w:after="0" w:line="240" w:lineRule="auto"/>
        <w:ind w:left="5812" w:hanging="5812"/>
        <w:rPr>
          <w:rFonts w:ascii="Times New Roman" w:eastAsia="Times New Roman" w:hAnsi="Times New Roman" w:cs="Times New Roman"/>
          <w:color w:val="000000"/>
          <w:sz w:val="24"/>
          <w:szCs w:val="24"/>
        </w:rPr>
      </w:pPr>
      <w:r>
        <w:rPr>
          <w:rFonts w:ascii="Times New Roman" w:hAnsi="Times New Roman"/>
          <w:i/>
          <w:color w:val="000000"/>
        </w:rPr>
        <w:t>[signature]________________________________</w:t>
      </w:r>
    </w:p>
    <w:p w14:paraId="0ACDC471" w14:textId="77777777" w:rsidR="00832F98" w:rsidRPr="005107DF" w:rsidRDefault="00832F98" w:rsidP="00CA6D80">
      <w:pPr>
        <w:spacing w:after="0" w:line="240" w:lineRule="auto"/>
        <w:ind w:left="5812" w:hanging="5812"/>
        <w:rPr>
          <w:rFonts w:ascii="Times New Roman" w:eastAsia="Times New Roman" w:hAnsi="Times New Roman" w:cs="Times New Roman"/>
          <w:color w:val="000000"/>
          <w:sz w:val="24"/>
          <w:szCs w:val="24"/>
        </w:rPr>
      </w:pPr>
      <w:r>
        <w:rPr>
          <w:rFonts w:ascii="Times New Roman" w:hAnsi="Times New Roman"/>
          <w:i/>
          <w:color w:val="000000"/>
        </w:rPr>
        <w:t> </w:t>
      </w:r>
    </w:p>
    <w:p w14:paraId="12F5D0C3" w14:textId="77777777" w:rsidR="00832F98" w:rsidRPr="005107DF" w:rsidRDefault="00832F98" w:rsidP="00CA6D80">
      <w:pPr>
        <w:spacing w:after="0" w:line="240" w:lineRule="auto"/>
        <w:ind w:left="5529" w:right="-760" w:hanging="5529"/>
        <w:rPr>
          <w:rFonts w:ascii="Times New Roman" w:eastAsia="Times New Roman" w:hAnsi="Times New Roman" w:cs="Times New Roman"/>
          <w:b/>
          <w:color w:val="000000"/>
          <w:sz w:val="24"/>
          <w:szCs w:val="24"/>
        </w:rPr>
      </w:pPr>
      <w:r>
        <w:rPr>
          <w:rFonts w:ascii="Times New Roman" w:hAnsi="Times New Roman"/>
          <w:i/>
          <w:color w:val="000000"/>
        </w:rPr>
        <w:t>[date]____________________________________</w:t>
      </w:r>
    </w:p>
    <w:p w14:paraId="7B5674AB" w14:textId="77777777" w:rsidR="00832F98" w:rsidRPr="005107DF" w:rsidRDefault="00832F98" w:rsidP="00CA6D80">
      <w:pPr>
        <w:spacing w:after="0" w:line="240" w:lineRule="auto"/>
        <w:ind w:left="5529" w:right="-760" w:hanging="5529"/>
        <w:rPr>
          <w:rFonts w:ascii="Times New Roman" w:eastAsia="Times New Roman" w:hAnsi="Times New Roman" w:cs="Times New Roman"/>
          <w:b/>
          <w:color w:val="000000"/>
          <w:sz w:val="24"/>
          <w:szCs w:val="24"/>
        </w:rPr>
      </w:pPr>
    </w:p>
    <w:p w14:paraId="3EC6CE4A" w14:textId="77777777" w:rsidR="00832F98" w:rsidRPr="005107DF" w:rsidRDefault="00832F98" w:rsidP="00CA6D80">
      <w:pPr>
        <w:spacing w:after="0" w:line="240" w:lineRule="auto"/>
        <w:ind w:left="5529" w:right="-760" w:hanging="5529"/>
        <w:rPr>
          <w:rFonts w:ascii="Times New Roman" w:eastAsia="Times New Roman" w:hAnsi="Times New Roman" w:cs="Times New Roman"/>
          <w:b/>
          <w:color w:val="000000"/>
          <w:sz w:val="24"/>
          <w:szCs w:val="24"/>
        </w:rPr>
      </w:pPr>
    </w:p>
    <w:p w14:paraId="6BE4C49F" w14:textId="77777777" w:rsidR="00832F98" w:rsidRPr="005107DF" w:rsidRDefault="00832F98" w:rsidP="00CA6D80">
      <w:pPr>
        <w:spacing w:after="0" w:line="240" w:lineRule="auto"/>
        <w:ind w:left="5529" w:right="-760" w:hanging="5529"/>
        <w:rPr>
          <w:rFonts w:ascii="Times New Roman" w:eastAsia="Times New Roman" w:hAnsi="Times New Roman" w:cs="Times New Roman"/>
          <w:b/>
          <w:color w:val="000000"/>
          <w:sz w:val="24"/>
          <w:szCs w:val="24"/>
        </w:rPr>
      </w:pPr>
      <w:r>
        <w:rPr>
          <w:rFonts w:ascii="Times New Roman" w:hAnsi="Times New Roman"/>
          <w:b/>
          <w:color w:val="000000"/>
          <w:sz w:val="24"/>
        </w:rPr>
        <w:t>Le chef de projet du pays bénéficiaire</w:t>
      </w:r>
    </w:p>
    <w:p w14:paraId="4257FC80" w14:textId="77777777" w:rsidR="00832F98" w:rsidRPr="005107DF" w:rsidRDefault="00832F98" w:rsidP="00CA6D80">
      <w:pPr>
        <w:spacing w:after="0" w:line="240" w:lineRule="auto"/>
        <w:ind w:left="6096" w:hanging="6096"/>
        <w:rPr>
          <w:rFonts w:ascii="Times New Roman" w:eastAsia="Times New Roman" w:hAnsi="Times New Roman" w:cs="Times New Roman"/>
          <w:color w:val="000000"/>
          <w:sz w:val="24"/>
          <w:szCs w:val="24"/>
        </w:rPr>
      </w:pPr>
    </w:p>
    <w:p w14:paraId="447E9457" w14:textId="77777777" w:rsidR="00832F98" w:rsidRPr="005107DF" w:rsidRDefault="00832F98" w:rsidP="00CA6D80">
      <w:pPr>
        <w:spacing w:after="0" w:line="240" w:lineRule="auto"/>
        <w:ind w:left="5812" w:hanging="5812"/>
        <w:rPr>
          <w:rFonts w:ascii="Times New Roman" w:eastAsia="Times New Roman" w:hAnsi="Times New Roman" w:cs="Times New Roman"/>
          <w:color w:val="000000"/>
          <w:sz w:val="24"/>
          <w:szCs w:val="24"/>
        </w:rPr>
      </w:pPr>
      <w:r>
        <w:rPr>
          <w:rFonts w:ascii="Times New Roman" w:hAnsi="Times New Roman"/>
          <w:i/>
          <w:color w:val="000000"/>
        </w:rPr>
        <w:t>[signature]________________________________</w:t>
      </w:r>
    </w:p>
    <w:p w14:paraId="470D9F47" w14:textId="77777777" w:rsidR="00832F98" w:rsidRPr="005107DF" w:rsidRDefault="00832F98" w:rsidP="00CA6D80">
      <w:pPr>
        <w:spacing w:after="0" w:line="240" w:lineRule="auto"/>
        <w:ind w:left="5812" w:hanging="5812"/>
        <w:rPr>
          <w:rFonts w:ascii="Times New Roman" w:eastAsia="Times New Roman" w:hAnsi="Times New Roman" w:cs="Times New Roman"/>
          <w:color w:val="000000"/>
          <w:sz w:val="24"/>
          <w:szCs w:val="24"/>
        </w:rPr>
      </w:pPr>
      <w:r>
        <w:rPr>
          <w:rFonts w:ascii="Times New Roman" w:hAnsi="Times New Roman"/>
          <w:i/>
          <w:color w:val="000000"/>
        </w:rPr>
        <w:t> </w:t>
      </w:r>
    </w:p>
    <w:p w14:paraId="70A4402E" w14:textId="77777777" w:rsidR="00832F98" w:rsidRPr="005107DF" w:rsidRDefault="00832F98" w:rsidP="00CA6D80">
      <w:pPr>
        <w:spacing w:after="0" w:line="240" w:lineRule="auto"/>
        <w:ind w:left="5529" w:right="-760" w:hanging="5529"/>
        <w:rPr>
          <w:rFonts w:ascii="Times New Roman" w:eastAsia="Times New Roman" w:hAnsi="Times New Roman" w:cs="Times New Roman"/>
          <w:i/>
          <w:color w:val="000000"/>
          <w:szCs w:val="24"/>
        </w:rPr>
      </w:pPr>
      <w:r>
        <w:rPr>
          <w:rFonts w:ascii="Times New Roman" w:hAnsi="Times New Roman"/>
          <w:i/>
          <w:color w:val="000000"/>
        </w:rPr>
        <w:t>[date]____________________________________</w:t>
      </w:r>
    </w:p>
    <w:p w14:paraId="683F194C" w14:textId="77777777" w:rsidR="00832F98" w:rsidRPr="005107DF" w:rsidRDefault="00832F98">
      <w:pPr>
        <w:rPr>
          <w:rFonts w:ascii="Times New Roman" w:eastAsia="Times New Roman" w:hAnsi="Times New Roman" w:cs="Times New Roman"/>
          <w:sz w:val="24"/>
          <w:szCs w:val="24"/>
        </w:rPr>
      </w:pPr>
      <w:r>
        <w:br w:type="page"/>
      </w:r>
    </w:p>
    <w:p w14:paraId="57BA6AB9" w14:textId="77777777" w:rsidR="00832F98" w:rsidRPr="005107DF" w:rsidRDefault="00832F98" w:rsidP="00CA6D80">
      <w:pPr>
        <w:spacing w:before="60" w:after="60" w:line="240" w:lineRule="auto"/>
        <w:jc w:val="center"/>
        <w:rPr>
          <w:rFonts w:ascii="Times New Roman" w:eastAsia="Times New Roman" w:hAnsi="Times New Roman" w:cs="Times New Roman"/>
          <w:sz w:val="2"/>
          <w:szCs w:val="2"/>
        </w:rPr>
      </w:pPr>
    </w:p>
    <w:p w14:paraId="259D2D8D"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658" w:name="_Toc517434506"/>
      <w:bookmarkStart w:id="1659" w:name="_Toc2861073"/>
      <w:r>
        <w:rPr>
          <w:sz w:val="32"/>
        </w:rPr>
        <w:t>ANNEXE C</w:t>
      </w:r>
      <w:r w:rsidRPr="00452C1A">
        <w:rPr>
          <w:sz w:val="32"/>
        </w:rPr>
        <w:t>16</w:t>
      </w:r>
      <w:r>
        <w:rPr>
          <w:sz w:val="32"/>
        </w:rPr>
        <w:t>: Lignes directrices relatives aux missions d’information</w:t>
      </w:r>
      <w:bookmarkEnd w:id="1658"/>
      <w:bookmarkEnd w:id="1659"/>
    </w:p>
    <w:p w14:paraId="19E934BF" w14:textId="77777777" w:rsidR="00832F98" w:rsidRPr="005107DF" w:rsidRDefault="00832F98" w:rsidP="005C5C46">
      <w:pPr>
        <w:spacing w:after="0" w:line="240" w:lineRule="auto"/>
        <w:jc w:val="both"/>
        <w:rPr>
          <w:rFonts w:ascii="Times New Roman" w:eastAsia="Times New Roman" w:hAnsi="Times New Roman" w:cs="Times New Roman"/>
          <w:i/>
          <w:sz w:val="24"/>
          <w:szCs w:val="24"/>
          <w:u w:val="single"/>
        </w:rPr>
      </w:pPr>
      <w:r>
        <w:rPr>
          <w:rFonts w:ascii="Times New Roman" w:hAnsi="Times New Roman"/>
          <w:i/>
          <w:sz w:val="24"/>
          <w:u w:val="single"/>
        </w:rPr>
        <w:t>Conseils pour les réunions de mise au point et/ou les missions d’information avant la soumission des propositions</w:t>
      </w:r>
    </w:p>
    <w:p w14:paraId="2299318B" w14:textId="77777777" w:rsidR="00832F98" w:rsidRPr="005107DF" w:rsidRDefault="00832F98" w:rsidP="00CA6D80">
      <w:pPr>
        <w:spacing w:after="0" w:line="240" w:lineRule="auto"/>
        <w:jc w:val="both"/>
        <w:rPr>
          <w:rFonts w:ascii="Times New Roman" w:eastAsia="Times New Roman" w:hAnsi="Times New Roman" w:cs="Times New Roman"/>
          <w:sz w:val="24"/>
          <w:szCs w:val="24"/>
          <w:u w:val="single"/>
        </w:rPr>
      </w:pPr>
    </w:p>
    <w:p w14:paraId="6A0E7723" w14:textId="77777777" w:rsidR="00832F98" w:rsidRPr="005107DF" w:rsidRDefault="00832F98" w:rsidP="00CA6D80">
      <w:pPr>
        <w:spacing w:after="0" w:line="240" w:lineRule="auto"/>
        <w:jc w:val="both"/>
        <w:rPr>
          <w:rFonts w:ascii="Times New Roman" w:eastAsia="Times New Roman" w:hAnsi="Times New Roman" w:cs="Times New Roman"/>
          <w:sz w:val="24"/>
          <w:szCs w:val="24"/>
          <w:u w:val="single"/>
        </w:rPr>
      </w:pPr>
      <w:r>
        <w:rPr>
          <w:rFonts w:ascii="Times New Roman" w:hAnsi="Times New Roman"/>
          <w:sz w:val="24"/>
          <w:u w:val="single"/>
        </w:rPr>
        <w:t>Mission d’information</w:t>
      </w:r>
    </w:p>
    <w:p w14:paraId="47FD6B28"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6004B785"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L’administration contractante peut inviter l’ensemble des États membres à participer à une réunion de mise au point, sur place ou par vidéoconférence, ou à une mission d’information qui leur permettra de mieux comprendre le contexte dans lequel un projet de jumelage sera mis en œuvre. </w:t>
      </w:r>
    </w:p>
    <w:p w14:paraId="300148ED"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3C577D3F" w14:textId="77777777" w:rsidR="00832F98" w:rsidRPr="005107DF" w:rsidRDefault="00832F98" w:rsidP="00CA6D80">
      <w:pPr>
        <w:spacing w:after="0" w:line="240" w:lineRule="auto"/>
        <w:jc w:val="both"/>
        <w:rPr>
          <w:rFonts w:ascii="Times New Roman" w:eastAsia="Times New Roman" w:hAnsi="Times New Roman" w:cs="Times New Roman"/>
          <w:sz w:val="24"/>
          <w:szCs w:val="24"/>
          <w:u w:val="single"/>
        </w:rPr>
      </w:pPr>
      <w:r>
        <w:rPr>
          <w:rFonts w:ascii="Times New Roman" w:hAnsi="Times New Roman"/>
          <w:sz w:val="24"/>
          <w:u w:val="single"/>
        </w:rPr>
        <w:t>Initiative de l’État membre</w:t>
      </w:r>
    </w:p>
    <w:p w14:paraId="036CA8DD"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7A96EAFE"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L’État membre de l’UE qui souhaite organiser de sa propre initiative une mission d’information doit notifier son intention à l’administration contractante, en mettant en copie la délégation de l’UE (si celle-ci n’est pas l’administration contractante).  </w:t>
      </w:r>
    </w:p>
    <w:p w14:paraId="0AC201C5"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4FCAA0D5"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Cette notification inclura:</w:t>
      </w:r>
    </w:p>
    <w:p w14:paraId="2B88E30C"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3D7B0AC4"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a) une approbation écrite concernant l’accueil d’une mission d’information signée par l’administration bénéficiaire et/ou l’administration contractante; </w:t>
      </w:r>
      <w:r>
        <w:tab/>
      </w:r>
    </w:p>
    <w:p w14:paraId="3458DF04"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b) une liste des questions que la mission d’information examinera;</w:t>
      </w:r>
    </w:p>
    <w:p w14:paraId="50705FD0"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c) la date de la mission;</w:t>
      </w:r>
    </w:p>
    <w:p w14:paraId="021893B8"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d) la liste des participants à la mission.</w:t>
      </w:r>
    </w:p>
    <w:p w14:paraId="03E7B591"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6B2D263C" w14:textId="77777777" w:rsidR="00832F98" w:rsidRPr="005107DF" w:rsidRDefault="00832F98" w:rsidP="00CA6D80">
      <w:pPr>
        <w:spacing w:after="0" w:line="240" w:lineRule="auto"/>
        <w:jc w:val="both"/>
        <w:rPr>
          <w:rFonts w:ascii="Times New Roman" w:eastAsia="Times New Roman" w:hAnsi="Times New Roman" w:cs="Times New Roman"/>
          <w:sz w:val="24"/>
          <w:szCs w:val="24"/>
          <w:u w:val="single"/>
        </w:rPr>
      </w:pPr>
      <w:r>
        <w:rPr>
          <w:rFonts w:ascii="Times New Roman" w:hAnsi="Times New Roman"/>
          <w:sz w:val="24"/>
          <w:u w:val="single"/>
        </w:rPr>
        <w:t>Information et participation d’autres États membres</w:t>
      </w:r>
    </w:p>
    <w:p w14:paraId="3E20C339"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09EE40F2"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Après la notification par l’État membre à l’initiative de la mission, l’administration contractante informe tous les points de contact nationaux des États membres (PCN des États membres) de la mission d’information et de son contenu envisagé.</w:t>
      </w:r>
    </w:p>
    <w:p w14:paraId="143E3239"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311971ED"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Tout État membre peut demander à être associé à la mission d’information et désigner ensuite des participants provenant de son administration.</w:t>
      </w:r>
    </w:p>
    <w:p w14:paraId="383453EF"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4A84D290"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Un État membre qui ne souhaite pas participer à la mission d’information peut aussi suggérer, avant le début de celle-ci, des questions supplémentaires que l’État membre responsable examinera au cours de la mission. </w:t>
      </w:r>
    </w:p>
    <w:p w14:paraId="648EB6E0"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520AA40A" w14:textId="77777777" w:rsidR="00832F98" w:rsidRPr="005107DF" w:rsidRDefault="00832F98" w:rsidP="00CA6D80">
      <w:pPr>
        <w:spacing w:after="0" w:line="240" w:lineRule="auto"/>
        <w:jc w:val="both"/>
        <w:rPr>
          <w:rFonts w:ascii="Times New Roman" w:eastAsia="Times New Roman" w:hAnsi="Times New Roman" w:cs="Times New Roman"/>
          <w:sz w:val="24"/>
          <w:szCs w:val="24"/>
          <w:u w:val="single"/>
        </w:rPr>
      </w:pPr>
      <w:r>
        <w:rPr>
          <w:rFonts w:ascii="Times New Roman" w:hAnsi="Times New Roman"/>
          <w:sz w:val="24"/>
          <w:u w:val="single"/>
        </w:rPr>
        <w:t>Participation de la délégation de l’UE</w:t>
      </w:r>
    </w:p>
    <w:p w14:paraId="7D43E65A"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30E8F8EB"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La délégation de l’UE est tenue informée du programme de la mission d’information et de ses participants, parallèlement aux autorités nationales (notamment les bureaux des coordinateurs IAP nationaux/unités centrales de financement et de passation de contrats, dans le cadre de l’IAP, et les ordonnateurs de programme, dans</w:t>
      </w:r>
      <w:r>
        <w:rPr>
          <w:rFonts w:ascii="Times New Roman" w:hAnsi="Times New Roman"/>
          <w:i/>
          <w:sz w:val="24"/>
        </w:rPr>
        <w:t xml:space="preserve"> </w:t>
      </w:r>
      <w:r>
        <w:rPr>
          <w:rFonts w:ascii="Times New Roman" w:hAnsi="Times New Roman"/>
          <w:sz w:val="24"/>
        </w:rPr>
        <w:t xml:space="preserve">le contexte IEV). La délégation de l’UE devrait participer à la mission d’information avec le statut d’observateur et veiller à ce que celle-ci soit menée d’une manière transparente et équitable. </w:t>
      </w:r>
    </w:p>
    <w:p w14:paraId="74A20A56"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07738393" w14:textId="77777777" w:rsidR="00832F98" w:rsidRPr="005107DF" w:rsidRDefault="00832F98" w:rsidP="00CA6D80">
      <w:pPr>
        <w:spacing w:after="0" w:line="240" w:lineRule="auto"/>
        <w:jc w:val="both"/>
        <w:rPr>
          <w:rFonts w:ascii="Times New Roman" w:eastAsia="Times New Roman" w:hAnsi="Times New Roman" w:cs="Times New Roman"/>
          <w:sz w:val="24"/>
          <w:szCs w:val="24"/>
          <w:u w:val="single"/>
        </w:rPr>
      </w:pPr>
      <w:r>
        <w:rPr>
          <w:rFonts w:ascii="Times New Roman" w:hAnsi="Times New Roman"/>
          <w:sz w:val="24"/>
          <w:u w:val="single"/>
        </w:rPr>
        <w:lastRenderedPageBreak/>
        <w:t>Les participants</w:t>
      </w:r>
    </w:p>
    <w:p w14:paraId="758B5B77"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7E40E5DA"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Tous les participants désignés par l’État membre à l’initiative de la mission d’information ou par un autre État membre doivent être des fonctionnaires des institutions potentiellement intéressées par le projet de jumelage ou associées à celui-ci.</w:t>
      </w:r>
    </w:p>
    <w:p w14:paraId="1ABEE5B1"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287E76C4" w14:textId="77777777" w:rsidR="00832F98" w:rsidRPr="005107DF" w:rsidRDefault="00832F98" w:rsidP="00CA6D80">
      <w:pPr>
        <w:spacing w:after="0" w:line="240" w:lineRule="auto"/>
        <w:jc w:val="both"/>
        <w:rPr>
          <w:rFonts w:ascii="Times New Roman" w:eastAsia="Times New Roman" w:hAnsi="Times New Roman" w:cs="Times New Roman"/>
          <w:sz w:val="24"/>
          <w:szCs w:val="24"/>
          <w:u w:val="single"/>
        </w:rPr>
      </w:pPr>
      <w:r>
        <w:rPr>
          <w:rFonts w:ascii="Times New Roman" w:hAnsi="Times New Roman"/>
          <w:sz w:val="24"/>
          <w:u w:val="single"/>
        </w:rPr>
        <w:t>Diffusion des résultats de la mission</w:t>
      </w:r>
    </w:p>
    <w:p w14:paraId="169F1147"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6F667CA0"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L’État membre à l’initiative de la mission d’information établit, en accord avec l’administration bénéficiaire, un compte rendu de la mission d’information qui aborde toutes les questions et tous les points examinés et le transmet, au moins </w:t>
      </w:r>
      <w:r w:rsidRPr="00452C1A">
        <w:rPr>
          <w:rFonts w:ascii="Times New Roman" w:hAnsi="Times New Roman"/>
          <w:sz w:val="24"/>
        </w:rPr>
        <w:t>21</w:t>
      </w:r>
      <w:r>
        <w:rPr>
          <w:rFonts w:ascii="Times New Roman" w:hAnsi="Times New Roman"/>
          <w:sz w:val="24"/>
        </w:rPr>
        <w:t> jours avant la date de clôture de l’appel à propositions, aux points de contact nationaux de tous les États membres et à la Commission européenne [équipe de coordination du jumelage de la direction générale du voisinage et des négociations d’élargissement (DG NEAR)]. Les commentaires, observations et contributions d’autres participants à la mission d’information sont communiqués directement aux mêmes destinataires.</w:t>
      </w:r>
    </w:p>
    <w:p w14:paraId="49C7E9EE"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15662734" w14:textId="77777777" w:rsidR="00832F98" w:rsidRPr="005107DF" w:rsidRDefault="00832F98" w:rsidP="00CA6D80">
      <w:pPr>
        <w:spacing w:after="0" w:line="240" w:lineRule="auto"/>
        <w:jc w:val="both"/>
        <w:rPr>
          <w:rFonts w:ascii="Times New Roman" w:eastAsia="Times New Roman" w:hAnsi="Times New Roman" w:cs="Times New Roman"/>
          <w:sz w:val="24"/>
          <w:szCs w:val="24"/>
          <w:u w:val="single"/>
        </w:rPr>
      </w:pPr>
      <w:r>
        <w:rPr>
          <w:rFonts w:ascii="Times New Roman" w:hAnsi="Times New Roman"/>
          <w:sz w:val="24"/>
          <w:u w:val="single"/>
        </w:rPr>
        <w:t>Frais</w:t>
      </w:r>
    </w:p>
    <w:p w14:paraId="0AFAC445"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51483E64" w14:textId="77777777" w:rsidR="00832F98" w:rsidRPr="005107DF" w:rsidRDefault="00832F98" w:rsidP="007338F0">
      <w:pPr>
        <w:jc w:val="both"/>
        <w:rPr>
          <w:rFonts w:ascii="Times New Roman" w:eastAsia="Times New Roman" w:hAnsi="Times New Roman" w:cs="Times New Roman"/>
          <w:sz w:val="24"/>
          <w:szCs w:val="24"/>
        </w:rPr>
      </w:pPr>
      <w:r>
        <w:rPr>
          <w:rFonts w:ascii="Times New Roman" w:hAnsi="Times New Roman"/>
          <w:sz w:val="24"/>
        </w:rPr>
        <w:t>Tous les frais liés à l’organisation et à l’exécution d’une mission d’information sont supportés directement par les États membres participants. Ces frais ne sont pas admissibles à un financement au titre du projet de jumelage.</w:t>
      </w:r>
    </w:p>
    <w:p w14:paraId="5B8E6C6D" w14:textId="77777777" w:rsidR="00832F98" w:rsidRPr="005107DF" w:rsidRDefault="00832F98">
      <w:pPr>
        <w:rPr>
          <w:rFonts w:ascii="Times New Roman" w:eastAsia="Times New Roman" w:hAnsi="Times New Roman" w:cs="Times New Roman"/>
          <w:sz w:val="24"/>
          <w:szCs w:val="24"/>
        </w:rPr>
      </w:pPr>
      <w:r>
        <w:br w:type="page"/>
      </w:r>
    </w:p>
    <w:p w14:paraId="01E2733C"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660" w:name="_Toc517434507"/>
      <w:bookmarkStart w:id="1661" w:name="_Toc2861074"/>
      <w:r>
        <w:rPr>
          <w:sz w:val="32"/>
        </w:rPr>
        <w:lastRenderedPageBreak/>
        <w:t>ANNEXE C</w:t>
      </w:r>
      <w:r w:rsidRPr="00452C1A">
        <w:rPr>
          <w:sz w:val="32"/>
        </w:rPr>
        <w:t>17</w:t>
      </w:r>
      <w:r>
        <w:rPr>
          <w:sz w:val="32"/>
        </w:rPr>
        <w:t>: Modèle pour l’autocertification du statut d’organisme mandaté</w:t>
      </w:r>
      <w:bookmarkEnd w:id="1660"/>
      <w:bookmarkEnd w:id="1661"/>
    </w:p>
    <w:p w14:paraId="676B6BE8" w14:textId="77777777" w:rsidR="00832F98" w:rsidRPr="005107DF" w:rsidRDefault="00832F98" w:rsidP="007338F0">
      <w:pPr>
        <w:jc w:val="both"/>
        <w:rPr>
          <w:rFonts w:ascii="Times New Roman" w:hAnsi="Times New Roman" w:cs="Times New Roman"/>
          <w:i/>
          <w:sz w:val="24"/>
          <w:szCs w:val="24"/>
        </w:rPr>
      </w:pPr>
      <w:r>
        <w:rPr>
          <w:rFonts w:ascii="Times New Roman" w:hAnsi="Times New Roman"/>
          <w:i/>
          <w:sz w:val="24"/>
        </w:rPr>
        <w:t>Le modèle peut/doit être modifié afin de répondre aux exigences fixées par l’État membre, notamment pour tenir compte des responsabilités institutionnelles du PCN de l’État membre.</w:t>
      </w:r>
    </w:p>
    <w:p w14:paraId="1F179C72" w14:textId="77777777" w:rsidR="00832F98" w:rsidRPr="005107DF" w:rsidRDefault="00832F98" w:rsidP="00B83754">
      <w:pPr>
        <w:jc w:val="both"/>
        <w:rPr>
          <w:rFonts w:ascii="Times New Roman" w:hAnsi="Times New Roman" w:cs="Times New Roman"/>
          <w:i/>
          <w:sz w:val="24"/>
          <w:szCs w:val="24"/>
        </w:rPr>
      </w:pPr>
      <w:r>
        <w:rPr>
          <w:rFonts w:ascii="Times New Roman" w:hAnsi="Times New Roman"/>
          <w:i/>
          <w:sz w:val="24"/>
        </w:rPr>
        <w:t>Conformément au manuel de jumelage, l’entière responsabilité du respect des critères relatifs aux organismes mandatés repose soit sur l’organisme mandaté lui-même, soit sur le PCN de l’État membre.</w:t>
      </w:r>
    </w:p>
    <w:p w14:paraId="67D980E0" w14:textId="0984DDEA" w:rsidR="00832F98" w:rsidRPr="005107DF" w:rsidRDefault="00832F98" w:rsidP="00B83754">
      <w:pPr>
        <w:spacing w:after="240" w:line="240" w:lineRule="auto"/>
        <w:jc w:val="both"/>
        <w:rPr>
          <w:rFonts w:ascii="Times New Roman" w:eastAsia="Times New Roman" w:hAnsi="Times New Roman" w:cs="Times New Roman"/>
          <w:i/>
          <w:sz w:val="24"/>
          <w:szCs w:val="24"/>
        </w:rPr>
      </w:pPr>
      <w:r>
        <w:rPr>
          <w:rFonts w:ascii="Times New Roman" w:hAnsi="Times New Roman"/>
          <w:i/>
          <w:sz w:val="24"/>
        </w:rPr>
        <w:t>Dans le cad</w:t>
      </w:r>
      <w:r w:rsidR="00434C10">
        <w:rPr>
          <w:rFonts w:ascii="Times New Roman" w:hAnsi="Times New Roman"/>
          <w:i/>
          <w:sz w:val="24"/>
        </w:rPr>
        <w:t xml:space="preserve">re du jumelage, les organismes </w:t>
      </w:r>
      <w:r>
        <w:rPr>
          <w:rFonts w:ascii="Times New Roman" w:hAnsi="Times New Roman"/>
          <w:i/>
          <w:sz w:val="24"/>
        </w:rPr>
        <w:t>enregistrés en tant qu’organisations internationales (OI) ne peuvent ni être considérées comme faisant partie de l’administration de l’État membre, ni agir en tant qu’organismes mandatés.</w:t>
      </w:r>
    </w:p>
    <w:p w14:paraId="1E320BCF" w14:textId="77777777" w:rsidR="00832F98" w:rsidRPr="005107DF" w:rsidRDefault="00832F98" w:rsidP="007338F0">
      <w:pPr>
        <w:jc w:val="both"/>
        <w:rPr>
          <w:rFonts w:ascii="Times New Roman" w:hAnsi="Times New Roman" w:cs="Times New Roman"/>
          <w:i/>
          <w:sz w:val="24"/>
          <w:szCs w:val="24"/>
        </w:rPr>
      </w:pPr>
    </w:p>
    <w:p w14:paraId="00FBD666"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&lt; L’entité&gt; &lt; le PCN de l’État membre&gt; (supprimer la mention inutile) sollicitant le statut d’organisme mandaté certifie par la présente être éligible au statut</w:t>
      </w:r>
    </w:p>
    <w:p w14:paraId="585CC47F"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79EB13E0"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4A667894" w14:textId="77777777" w:rsidR="00832F98" w:rsidRDefault="00832F98" w:rsidP="00284779">
      <w:pPr>
        <w:pStyle w:val="ListParagraph"/>
        <w:numPr>
          <w:ilvl w:val="0"/>
          <w:numId w:val="270"/>
        </w:numPr>
        <w:spacing w:after="0" w:line="240" w:lineRule="auto"/>
        <w:jc w:val="both"/>
        <w:rPr>
          <w:rFonts w:ascii="Times New Roman" w:hAnsi="Times New Roman"/>
          <w:sz w:val="24"/>
          <w:szCs w:val="24"/>
        </w:rPr>
      </w:pPr>
      <w:r>
        <w:rPr>
          <w:rFonts w:ascii="Times New Roman" w:hAnsi="Times New Roman"/>
          <w:sz w:val="24"/>
        </w:rPr>
        <w:t xml:space="preserve">d’organisme pleinement mandaté; </w:t>
      </w:r>
      <w:r>
        <w:tab/>
      </w:r>
    </w:p>
    <w:p w14:paraId="582C9783" w14:textId="77777777" w:rsidR="00832F98" w:rsidRPr="0019382C" w:rsidRDefault="00832F98" w:rsidP="0019382C">
      <w:pPr>
        <w:spacing w:after="0" w:line="240" w:lineRule="auto"/>
        <w:ind w:left="360"/>
        <w:jc w:val="both"/>
        <w:rPr>
          <w:rFonts w:ascii="Times New Roman" w:hAnsi="Times New Roman"/>
          <w:sz w:val="24"/>
          <w:szCs w:val="24"/>
        </w:rPr>
      </w:pPr>
      <w:r>
        <w:tab/>
      </w:r>
    </w:p>
    <w:p w14:paraId="41BD5CF3" w14:textId="77777777" w:rsidR="00832F98" w:rsidRPr="0019382C" w:rsidRDefault="00832F98" w:rsidP="00FD2991">
      <w:pPr>
        <w:pStyle w:val="ListParagraph"/>
        <w:numPr>
          <w:ilvl w:val="0"/>
          <w:numId w:val="270"/>
        </w:numPr>
        <w:spacing w:after="0" w:line="240" w:lineRule="auto"/>
        <w:jc w:val="both"/>
        <w:rPr>
          <w:rFonts w:ascii="Times New Roman" w:hAnsi="Times New Roman"/>
          <w:sz w:val="24"/>
          <w:szCs w:val="24"/>
        </w:rPr>
      </w:pPr>
      <w:r>
        <w:rPr>
          <w:rFonts w:ascii="Times New Roman" w:hAnsi="Times New Roman"/>
          <w:sz w:val="24"/>
        </w:rPr>
        <w:t>d’organisme mandaté ad hoc;</w:t>
      </w:r>
    </w:p>
    <w:p w14:paraId="18A3A062" w14:textId="77777777" w:rsidR="00832F98" w:rsidRPr="0019382C" w:rsidRDefault="00832F98" w:rsidP="0019382C">
      <w:pPr>
        <w:spacing w:after="0" w:line="240" w:lineRule="auto"/>
        <w:ind w:left="360"/>
        <w:jc w:val="both"/>
        <w:rPr>
          <w:rFonts w:ascii="Times New Roman" w:hAnsi="Times New Roman"/>
          <w:sz w:val="24"/>
          <w:szCs w:val="24"/>
        </w:rPr>
      </w:pPr>
      <w:r>
        <w:tab/>
      </w:r>
      <w:r>
        <w:tab/>
      </w:r>
      <w:r>
        <w:tab/>
      </w:r>
    </w:p>
    <w:p w14:paraId="584C9BBA" w14:textId="77777777" w:rsidR="00832F98" w:rsidRDefault="00832F98" w:rsidP="0019382C">
      <w:pPr>
        <w:pStyle w:val="ListParagraph"/>
        <w:numPr>
          <w:ilvl w:val="0"/>
          <w:numId w:val="270"/>
        </w:numPr>
        <w:spacing w:after="0" w:line="240" w:lineRule="auto"/>
        <w:jc w:val="both"/>
        <w:rPr>
          <w:rFonts w:ascii="Times New Roman" w:hAnsi="Times New Roman"/>
          <w:sz w:val="24"/>
          <w:szCs w:val="24"/>
        </w:rPr>
      </w:pPr>
      <w:r>
        <w:rPr>
          <w:rFonts w:ascii="Times New Roman" w:hAnsi="Times New Roman"/>
          <w:sz w:val="24"/>
        </w:rPr>
        <w:t>d’organisme général de gestion.</w:t>
      </w:r>
    </w:p>
    <w:p w14:paraId="0DFF1D65" w14:textId="77777777" w:rsidR="00832F98" w:rsidRPr="0019382C" w:rsidRDefault="00832F98" w:rsidP="0019382C">
      <w:pPr>
        <w:spacing w:after="0" w:line="240" w:lineRule="auto"/>
        <w:ind w:left="360"/>
        <w:jc w:val="both"/>
        <w:rPr>
          <w:rFonts w:ascii="Times New Roman" w:hAnsi="Times New Roman"/>
          <w:sz w:val="24"/>
          <w:szCs w:val="24"/>
        </w:rPr>
      </w:pPr>
    </w:p>
    <w:p w14:paraId="0F17519C" w14:textId="77777777" w:rsidR="00832F98" w:rsidRDefault="00832F98" w:rsidP="00FD2991">
      <w:pPr>
        <w:spacing w:after="0" w:line="240" w:lineRule="auto"/>
        <w:jc w:val="both"/>
        <w:rPr>
          <w:rFonts w:ascii="Times New Roman" w:hAnsi="Times New Roman"/>
          <w:sz w:val="24"/>
          <w:szCs w:val="24"/>
        </w:rPr>
      </w:pPr>
      <w:r>
        <w:rPr>
          <w:rFonts w:ascii="Times New Roman" w:hAnsi="Times New Roman"/>
          <w:sz w:val="24"/>
        </w:rPr>
        <w:t xml:space="preserve">Répondant aux critères suivants: </w:t>
      </w:r>
    </w:p>
    <w:p w14:paraId="0CA27DB4" w14:textId="77777777" w:rsidR="00832F98" w:rsidRPr="0019382C" w:rsidRDefault="00832F98" w:rsidP="00FD2991">
      <w:pPr>
        <w:spacing w:after="0" w:line="240" w:lineRule="auto"/>
        <w:jc w:val="both"/>
        <w:rPr>
          <w:rFonts w:ascii="Times New Roman" w:hAnsi="Times New Roman"/>
          <w:sz w:val="24"/>
          <w:szCs w:val="24"/>
        </w:rPr>
      </w:pPr>
    </w:p>
    <w:p w14:paraId="50BD266D" w14:textId="77777777" w:rsidR="00832F98" w:rsidRDefault="00832F98" w:rsidP="003B7C79">
      <w:pPr>
        <w:numPr>
          <w:ilvl w:val="0"/>
          <w:numId w:val="27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être chargé de la fourniture d’un ou plusieurs services publics en vertu d’une loi ou d’une décision du gouvernement; la fourniture de ces services doit également être définie comme l’un de leurs principaux objectifs dans leur mandat/statut;</w:t>
      </w:r>
    </w:p>
    <w:p w14:paraId="0377FABE" w14:textId="77777777" w:rsidR="00832F98" w:rsidRPr="005107DF" w:rsidRDefault="00832F98" w:rsidP="003B7C79">
      <w:pPr>
        <w:numPr>
          <w:ilvl w:val="0"/>
          <w:numId w:val="27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être sous la supervision structurelle permanente d’une administration publique exerçant un rôle prédominant en ce qui concerne la gestion/la prise de décisions et le fonctionnement de l’organisme/entité; </w:t>
      </w:r>
    </w:p>
    <w:p w14:paraId="2CDB0804" w14:textId="77777777" w:rsidR="00832F98" w:rsidRPr="005107DF" w:rsidRDefault="00832F98" w:rsidP="003B7C79">
      <w:pPr>
        <w:numPr>
          <w:ilvl w:val="0"/>
          <w:numId w:val="27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être soumis au contrôle financier d’une autorité publique ou d’une entité nommée par une autorité publique;</w:t>
      </w:r>
    </w:p>
    <w:p w14:paraId="69CF55BF" w14:textId="77777777" w:rsidR="00832F98" w:rsidRPr="001B6B95" w:rsidRDefault="00832F98" w:rsidP="003B7C79">
      <w:pPr>
        <w:numPr>
          <w:ilvl w:val="0"/>
          <w:numId w:val="270"/>
        </w:numPr>
        <w:spacing w:after="240" w:line="240" w:lineRule="auto"/>
        <w:jc w:val="both"/>
        <w:rPr>
          <w:rFonts w:ascii="Times New Roman" w:hAnsi="Times New Roman" w:cs="Times New Roman"/>
          <w:color w:val="000000"/>
          <w:sz w:val="24"/>
          <w:szCs w:val="24"/>
        </w:rPr>
      </w:pPr>
      <w:r>
        <w:rPr>
          <w:rFonts w:ascii="Times New Roman" w:hAnsi="Times New Roman"/>
          <w:color w:val="000000"/>
          <w:sz w:val="24"/>
        </w:rPr>
        <w:t xml:space="preserve">être soumis à l'audit financier d’une autorité publique ou d’une entité nommée par une autorité publique. </w:t>
      </w:r>
    </w:p>
    <w:p w14:paraId="5219677D"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33A3FDDA" w14:textId="77777777" w:rsidR="00832F98" w:rsidRDefault="00832F98" w:rsidP="00FD2991">
      <w:pPr>
        <w:spacing w:after="0" w:line="240" w:lineRule="auto"/>
        <w:jc w:val="both"/>
        <w:rPr>
          <w:rFonts w:ascii="Times New Roman" w:eastAsia="Times New Roman" w:hAnsi="Times New Roman" w:cs="Times New Roman"/>
          <w:color w:val="000000"/>
          <w:sz w:val="24"/>
          <w:szCs w:val="24"/>
        </w:rPr>
      </w:pPr>
      <w:r>
        <w:rPr>
          <w:rFonts w:ascii="Times New Roman" w:hAnsi="Times New Roman"/>
          <w:sz w:val="24"/>
        </w:rPr>
        <w:t>En plus de satisfaire aux critères ci-dessus, les entités demandant de bénéficier d’un plein mandat doivent posséder un personnel permanent suffisant et proportionné,</w:t>
      </w:r>
      <w:r>
        <w:rPr>
          <w:rFonts w:ascii="Times New Roman" w:hAnsi="Times New Roman"/>
          <w:color w:val="000000"/>
          <w:sz w:val="24"/>
        </w:rPr>
        <w:t xml:space="preserve"> ce qui signifie, entre autres, que le personnel permanent doit être proportionnel aux besoins du projet pour éviter d’avoir à sous-traiter certaines tâches du jumelage ou à engager temporairement des experts pour les exécuter. </w:t>
      </w:r>
    </w:p>
    <w:p w14:paraId="354E6D10" w14:textId="77777777" w:rsidR="00832F98" w:rsidRPr="00FD2991" w:rsidRDefault="00832F98" w:rsidP="00FD2991">
      <w:pPr>
        <w:spacing w:after="0" w:line="240" w:lineRule="auto"/>
        <w:jc w:val="both"/>
        <w:rPr>
          <w:rFonts w:ascii="Times New Roman" w:eastAsia="Times New Roman" w:hAnsi="Times New Roman" w:cs="Times New Roman"/>
          <w:sz w:val="24"/>
          <w:szCs w:val="24"/>
        </w:rPr>
      </w:pPr>
    </w:p>
    <w:p w14:paraId="1CBAC2A0" w14:textId="77777777" w:rsidR="00832F98" w:rsidRDefault="00832F98" w:rsidP="005A435C">
      <w:pPr>
        <w:spacing w:after="240" w:line="240" w:lineRule="auto"/>
        <w:jc w:val="both"/>
        <w:rPr>
          <w:rFonts w:ascii="Times New Roman" w:eastAsia="Times New Roman" w:hAnsi="Times New Roman" w:cs="Times New Roman"/>
          <w:sz w:val="24"/>
          <w:szCs w:val="24"/>
        </w:rPr>
      </w:pPr>
      <w:r>
        <w:rPr>
          <w:rFonts w:ascii="Times New Roman" w:hAnsi="Times New Roman"/>
          <w:sz w:val="24"/>
        </w:rPr>
        <w:lastRenderedPageBreak/>
        <w:t xml:space="preserve">&lt;L’entité&gt; &lt;Le PCN de l’État membre&gt; (supprimer la mention inutile) sollicitant le statut d’organisme mandaté ad hoc déclare par la présente posséder des capacités suffisantes pour exercer le rôle prévu sur ses ressources propres. </w:t>
      </w:r>
    </w:p>
    <w:p w14:paraId="43C9365D" w14:textId="77777777" w:rsidR="00832F98" w:rsidRDefault="00832F98" w:rsidP="005A435C">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Nous, soussignés &lt;l’entité&gt; &lt;le PCN de l’État membre&gt; (supprimer la mention inutile), reconnaissons que s’il est établi que de fausses déclarations ont été faites ou que de fausses informations ont été fournies, nous nous exposons à être exclus de cette procédure et pouvons faire l’objet de sanctions administratives sous la forme d'une exclusion et de pénalités financières représentant jusqu’à </w:t>
      </w:r>
      <w:r w:rsidRPr="00452C1A">
        <w:rPr>
          <w:rFonts w:ascii="Times New Roman" w:hAnsi="Times New Roman"/>
          <w:sz w:val="24"/>
        </w:rPr>
        <w:t>10</w:t>
      </w:r>
      <w:r>
        <w:rPr>
          <w:rFonts w:ascii="Times New Roman" w:hAnsi="Times New Roman"/>
          <w:sz w:val="24"/>
        </w:rPr>
        <w:t xml:space="preserve"> % de la valeur totale estimée de la subvention octroyée et que cette information peut être publiée sur le site internet de la Commission, conformément au règlement financier en vigueur. </w:t>
      </w:r>
    </w:p>
    <w:p w14:paraId="19375725" w14:textId="77777777" w:rsidR="00832F98" w:rsidRDefault="00832F98" w:rsidP="005A435C">
      <w:pPr>
        <w:spacing w:after="240" w:line="240" w:lineRule="auto"/>
        <w:jc w:val="both"/>
        <w:rPr>
          <w:rFonts w:ascii="Times New Roman" w:eastAsia="Times New Roman" w:hAnsi="Times New Roman" w:cs="Times New Roman"/>
          <w:sz w:val="24"/>
          <w:szCs w:val="24"/>
        </w:rPr>
      </w:pPr>
      <w:r>
        <w:rPr>
          <w:rFonts w:ascii="Times New Roman" w:hAnsi="Times New Roman"/>
          <w:sz w:val="24"/>
        </w:rPr>
        <w:t>Nous sommes conscients que, pour assurer la protection des intérêts financiers de l’UE, nos données à caractère personnel peuvent être communiquées aux services d’audit interne, au système de détection rapide et d’exclusion, à la Cour des comptes européenne, à l’instance spécialisée en matière d’irrégularités financières ou à l’Office européen de lutte antifraude.</w:t>
      </w:r>
    </w:p>
    <w:p w14:paraId="7B16D33F" w14:textId="77777777" w:rsidR="00832F98" w:rsidRDefault="00832F98" w:rsidP="005A435C">
      <w:pPr>
        <w:spacing w:after="240" w:line="240" w:lineRule="auto"/>
        <w:jc w:val="both"/>
        <w:rPr>
          <w:rFonts w:ascii="Times New Roman" w:eastAsia="Times New Roman" w:hAnsi="Times New Roman" w:cs="Times New Roman"/>
          <w:sz w:val="24"/>
          <w:szCs w:val="24"/>
        </w:rPr>
      </w:pPr>
      <w:r>
        <w:rPr>
          <w:rFonts w:ascii="Times New Roman" w:hAnsi="Times New Roman"/>
          <w:sz w:val="24"/>
        </w:rPr>
        <w:t>Nous déclarons nous engager à informer rapidement le PCN de l’État membre si nous ne satisfaisons plus aux critères nécessaires à l’obtention du statut d’organisme mandaté.</w:t>
      </w:r>
    </w:p>
    <w:p w14:paraId="35B3098E" w14:textId="77777777" w:rsidR="00832F98" w:rsidRDefault="00832F98" w:rsidP="005A435C">
      <w:pPr>
        <w:spacing w:after="240" w:line="240" w:lineRule="auto"/>
        <w:jc w:val="both"/>
        <w:rPr>
          <w:rFonts w:ascii="Times New Roman" w:eastAsia="Times New Roman" w:hAnsi="Times New Roman" w:cs="Times New Roman"/>
          <w:sz w:val="24"/>
          <w:szCs w:val="24"/>
        </w:rPr>
      </w:pPr>
    </w:p>
    <w:p w14:paraId="30825531" w14:textId="77777777" w:rsidR="00832F98" w:rsidRPr="005107DF" w:rsidRDefault="00832F98" w:rsidP="003B7C79">
      <w:pPr>
        <w:spacing w:after="240" w:line="240" w:lineRule="auto"/>
        <w:jc w:val="both"/>
        <w:rPr>
          <w:rFonts w:ascii="Times New Roman" w:eastAsia="Times New Roman" w:hAnsi="Times New Roman" w:cs="Times New Roman"/>
          <w:sz w:val="24"/>
          <w:szCs w:val="24"/>
        </w:rPr>
      </w:pPr>
      <w:r>
        <w:rPr>
          <w:rFonts w:ascii="Times New Roman" w:hAnsi="Times New Roman"/>
          <w:sz w:val="24"/>
        </w:rPr>
        <w:t>Personne habilitée (nom complet et fonction) au nom de (nom complet de l’institution et acronyme)</w:t>
      </w:r>
    </w:p>
    <w:p w14:paraId="130B1304" w14:textId="77777777" w:rsidR="00832F98" w:rsidRPr="005107DF" w:rsidRDefault="00832F98" w:rsidP="003B7C79">
      <w:pPr>
        <w:spacing w:after="240" w:line="240" w:lineRule="auto"/>
        <w:jc w:val="both"/>
        <w:rPr>
          <w:rFonts w:ascii="Times New Roman" w:eastAsia="Times New Roman" w:hAnsi="Times New Roman" w:cs="Times New Roman"/>
          <w:sz w:val="24"/>
          <w:szCs w:val="24"/>
        </w:rPr>
      </w:pPr>
      <w:r>
        <w:rPr>
          <w:rFonts w:ascii="Times New Roman" w:hAnsi="Times New Roman"/>
          <w:sz w:val="24"/>
        </w:rPr>
        <w:t>&lt;Si le PCN de l’État membre assume la responsabilité des informations, le document doit être signé par le représentant du PCN de l’État membre autorisé à le faire&gt;</w:t>
      </w:r>
    </w:p>
    <w:p w14:paraId="2AE54E9B" w14:textId="77777777" w:rsidR="00832F98" w:rsidRPr="005107DF" w:rsidRDefault="00832F98" w:rsidP="003B7C79">
      <w:pPr>
        <w:spacing w:after="240" w:line="240" w:lineRule="auto"/>
        <w:jc w:val="both"/>
        <w:rPr>
          <w:rFonts w:ascii="Times New Roman" w:eastAsia="Times New Roman" w:hAnsi="Times New Roman" w:cs="Times New Roman"/>
          <w:sz w:val="24"/>
          <w:szCs w:val="24"/>
        </w:rPr>
      </w:pPr>
      <w:r>
        <w:rPr>
          <w:rFonts w:ascii="Times New Roman" w:hAnsi="Times New Roman"/>
          <w:sz w:val="24"/>
        </w:rPr>
        <w:t>&lt;Si le PCN de l’État membre n’assume pas la responsabilité des informations, le document doit être signé par le représentant de l’organisme mandaté autorisé à signer en son nom&gt;</w:t>
      </w:r>
    </w:p>
    <w:p w14:paraId="3A055518" w14:textId="77777777" w:rsidR="00832F98" w:rsidRPr="005107DF" w:rsidRDefault="00832F98" w:rsidP="003B7C79">
      <w:pPr>
        <w:spacing w:after="240" w:line="240" w:lineRule="auto"/>
        <w:jc w:val="both"/>
        <w:rPr>
          <w:rFonts w:ascii="Times New Roman" w:eastAsia="Times New Roman" w:hAnsi="Times New Roman" w:cs="Times New Roman"/>
          <w:sz w:val="24"/>
          <w:szCs w:val="24"/>
        </w:rPr>
      </w:pPr>
      <w:r>
        <w:rPr>
          <w:rFonts w:ascii="Times New Roman" w:hAnsi="Times New Roman"/>
          <w:sz w:val="24"/>
        </w:rPr>
        <w:t>Dans tous les cas, le document est envoyé par le PCN de l’État membre en vue de son enregistrement par l’équipe de coordination du jumelage.</w:t>
      </w:r>
    </w:p>
    <w:p w14:paraId="799E49D0" w14:textId="77777777" w:rsidR="00832F98" w:rsidRPr="005107DF" w:rsidRDefault="00832F98" w:rsidP="005A435C">
      <w:pPr>
        <w:spacing w:after="240" w:line="240" w:lineRule="auto"/>
        <w:jc w:val="both"/>
        <w:rPr>
          <w:rFonts w:ascii="Times New Roman" w:eastAsia="Times New Roman" w:hAnsi="Times New Roman" w:cs="Times New Roman"/>
          <w:sz w:val="24"/>
          <w:szCs w:val="24"/>
        </w:rPr>
      </w:pPr>
    </w:p>
    <w:p w14:paraId="4882B76F" w14:textId="77777777" w:rsidR="00832F98" w:rsidRPr="005107DF" w:rsidRDefault="00832F98" w:rsidP="00CA6D80">
      <w:pPr>
        <w:spacing w:after="240" w:line="240" w:lineRule="auto"/>
        <w:jc w:val="both"/>
        <w:rPr>
          <w:rFonts w:ascii="Times New Roman" w:eastAsia="Times New Roman" w:hAnsi="Times New Roman" w:cs="Times New Roman"/>
          <w:sz w:val="24"/>
          <w:szCs w:val="24"/>
        </w:rPr>
      </w:pPr>
      <w:r>
        <w:rPr>
          <w:rFonts w:ascii="Times New Roman" w:hAnsi="Times New Roman"/>
          <w:sz w:val="24"/>
        </w:rPr>
        <w:t>Signature………………….</w:t>
      </w:r>
    </w:p>
    <w:p w14:paraId="59C3F55D" w14:textId="77777777" w:rsidR="00832F98" w:rsidRPr="005107DF" w:rsidRDefault="00832F98">
      <w:pPr>
        <w:rPr>
          <w:rFonts w:ascii="Times New Roman" w:eastAsia="Times New Roman" w:hAnsi="Times New Roman" w:cs="Times New Roman"/>
          <w:sz w:val="24"/>
          <w:szCs w:val="24"/>
        </w:rPr>
      </w:pPr>
    </w:p>
    <w:p w14:paraId="4DA8DB08" w14:textId="77777777" w:rsidR="00832F98" w:rsidRPr="005107DF" w:rsidRDefault="00832F98" w:rsidP="008E5F26">
      <w:pPr>
        <w:rPr>
          <w:rFonts w:ascii="Times New Roman" w:eastAsia="Times New Roman" w:hAnsi="Times New Roman" w:cs="Times New Roman"/>
          <w:sz w:val="24"/>
          <w:szCs w:val="24"/>
        </w:rPr>
      </w:pPr>
      <w:r>
        <w:br w:type="page"/>
      </w:r>
    </w:p>
    <w:p w14:paraId="61E7B179" w14:textId="77777777" w:rsidR="00832F98" w:rsidRPr="005107DF" w:rsidRDefault="00832F98" w:rsidP="007338F0">
      <w:pPr>
        <w:jc w:val="center"/>
        <w:rPr>
          <w:rFonts w:ascii="Times New Roman" w:hAnsi="Times New Roman" w:cs="Times New Roman"/>
          <w:b/>
          <w:sz w:val="24"/>
          <w:szCs w:val="24"/>
        </w:rPr>
      </w:pPr>
      <w:bookmarkStart w:id="1662" w:name="_Toc476063633"/>
      <w:bookmarkStart w:id="1663" w:name="_Toc476068115"/>
      <w:r>
        <w:rPr>
          <w:rFonts w:ascii="Times New Roman" w:hAnsi="Times New Roman"/>
          <w:b/>
          <w:sz w:val="24"/>
        </w:rPr>
        <w:lastRenderedPageBreak/>
        <w:t>INFORMATIONS À FOURNIR</w:t>
      </w:r>
      <w:bookmarkEnd w:id="1662"/>
      <w:bookmarkEnd w:id="1663"/>
    </w:p>
    <w:p w14:paraId="10905A8F" w14:textId="77777777" w:rsidR="00832F98" w:rsidRPr="005107DF" w:rsidRDefault="00832F98" w:rsidP="008E5F26">
      <w:pPr>
        <w:spacing w:after="0" w:line="240" w:lineRule="auto"/>
        <w:jc w:val="center"/>
        <w:rPr>
          <w:rFonts w:ascii="Times New Roman" w:eastAsia="Times New Roman" w:hAnsi="Times New Roman" w:cs="Times New Roman"/>
          <w:b/>
          <w:sz w:val="24"/>
          <w:szCs w:val="24"/>
        </w:rPr>
      </w:pPr>
    </w:p>
    <w:p w14:paraId="0CEECD22" w14:textId="77777777" w:rsidR="00832F98" w:rsidRPr="005107DF" w:rsidRDefault="00832F98" w:rsidP="008E5F26">
      <w:pPr>
        <w:spacing w:after="0" w:line="240" w:lineRule="auto"/>
        <w:jc w:val="center"/>
        <w:rPr>
          <w:rFonts w:ascii="Times New Roman" w:eastAsia="Times New Roman" w:hAnsi="Times New Roman" w:cs="Times New Roman"/>
          <w:b/>
          <w:sz w:val="24"/>
          <w:szCs w:val="24"/>
        </w:rPr>
      </w:pPr>
      <w:r>
        <w:rPr>
          <w:rFonts w:ascii="Times New Roman" w:hAnsi="Times New Roman"/>
          <w:b/>
          <w:sz w:val="24"/>
        </w:rPr>
        <w:t>À L’APPUI D’UNE DEMANDE DE STATUT D’ORGANISME MANDATÉ</w:t>
      </w:r>
    </w:p>
    <w:p w14:paraId="40405922" w14:textId="77777777" w:rsidR="00832F98" w:rsidRPr="005107DF" w:rsidRDefault="00832F98" w:rsidP="008E5F26">
      <w:pPr>
        <w:spacing w:after="0" w:line="240" w:lineRule="auto"/>
        <w:jc w:val="center"/>
        <w:rPr>
          <w:rFonts w:ascii="Times New Roman" w:eastAsia="Times New Roman" w:hAnsi="Times New Roman" w:cs="Times New Roman"/>
          <w:b/>
          <w:sz w:val="24"/>
          <w:szCs w:val="24"/>
        </w:rPr>
      </w:pPr>
    </w:p>
    <w:p w14:paraId="7FA847A3" w14:textId="77777777" w:rsidR="00832F98" w:rsidRPr="005107DF" w:rsidRDefault="00832F98" w:rsidP="008E5F26">
      <w:pPr>
        <w:spacing w:after="0" w:line="240" w:lineRule="auto"/>
        <w:jc w:val="center"/>
        <w:rPr>
          <w:rFonts w:ascii="Times New Roman" w:eastAsia="Times New Roman" w:hAnsi="Times New Roman" w:cs="Times New Roman"/>
          <w:b/>
          <w:sz w:val="24"/>
          <w:szCs w:val="24"/>
        </w:rPr>
      </w:pPr>
    </w:p>
    <w:p w14:paraId="75D133B2" w14:textId="77777777" w:rsidR="00832F98" w:rsidRPr="005107DF" w:rsidRDefault="00832F98" w:rsidP="008E5F26">
      <w:pPr>
        <w:spacing w:after="0" w:line="240" w:lineRule="auto"/>
        <w:jc w:val="center"/>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6"/>
        <w:gridCol w:w="1257"/>
        <w:gridCol w:w="1021"/>
        <w:gridCol w:w="893"/>
        <w:gridCol w:w="1151"/>
        <w:gridCol w:w="1319"/>
        <w:gridCol w:w="975"/>
        <w:gridCol w:w="1618"/>
      </w:tblGrid>
      <w:tr w:rsidR="00832F98" w:rsidRPr="005107DF" w14:paraId="68F03D1E" w14:textId="77777777" w:rsidTr="007338F0">
        <w:trPr>
          <w:cantSplit/>
          <w:trHeight w:val="1134"/>
        </w:trPr>
        <w:tc>
          <w:tcPr>
            <w:tcW w:w="500" w:type="pct"/>
            <w:tcBorders>
              <w:top w:val="single" w:sz="4" w:space="0" w:color="auto"/>
              <w:left w:val="single" w:sz="4" w:space="0" w:color="auto"/>
              <w:bottom w:val="single" w:sz="4" w:space="0" w:color="auto"/>
              <w:right w:val="single" w:sz="4" w:space="0" w:color="auto"/>
            </w:tcBorders>
            <w:hideMark/>
          </w:tcPr>
          <w:p w14:paraId="75B91AB0" w14:textId="77777777" w:rsidR="00832F98" w:rsidRPr="0019382C" w:rsidRDefault="00832F98" w:rsidP="009F3FE6">
            <w:pPr>
              <w:spacing w:after="0" w:line="240" w:lineRule="auto"/>
              <w:jc w:val="center"/>
              <w:rPr>
                <w:rFonts w:ascii="Times New Roman" w:eastAsia="Times New Roman" w:hAnsi="Times New Roman" w:cs="Times New Roman"/>
                <w:b/>
                <w:sz w:val="24"/>
                <w:szCs w:val="24"/>
              </w:rPr>
            </w:pPr>
            <w:r>
              <w:rPr>
                <w:rFonts w:ascii="Times New Roman" w:hAnsi="Times New Roman"/>
                <w:b/>
                <w:sz w:val="24"/>
              </w:rPr>
              <w:t>Acronyme (Sigle)</w:t>
            </w:r>
          </w:p>
        </w:tc>
        <w:tc>
          <w:tcPr>
            <w:tcW w:w="687" w:type="pct"/>
            <w:tcBorders>
              <w:top w:val="single" w:sz="4" w:space="0" w:color="auto"/>
              <w:left w:val="single" w:sz="4" w:space="0" w:color="auto"/>
              <w:bottom w:val="single" w:sz="4" w:space="0" w:color="auto"/>
              <w:right w:val="single" w:sz="4" w:space="0" w:color="auto"/>
            </w:tcBorders>
          </w:tcPr>
          <w:p w14:paraId="5941C8D9" w14:textId="77777777" w:rsidR="00832F98" w:rsidRPr="0019382C" w:rsidRDefault="00832F98" w:rsidP="009F3FE6">
            <w:pPr>
              <w:spacing w:after="0" w:line="240" w:lineRule="auto"/>
              <w:jc w:val="center"/>
              <w:rPr>
                <w:rFonts w:ascii="Times New Roman" w:eastAsia="Times New Roman" w:hAnsi="Times New Roman" w:cs="Times New Roman"/>
                <w:b/>
                <w:sz w:val="24"/>
                <w:szCs w:val="24"/>
              </w:rPr>
            </w:pPr>
            <w:r>
              <w:rPr>
                <w:rFonts w:ascii="Times New Roman" w:hAnsi="Times New Roman"/>
                <w:b/>
                <w:sz w:val="24"/>
              </w:rPr>
              <w:t>Nom dans la langue locale</w:t>
            </w:r>
          </w:p>
          <w:p w14:paraId="4BC310DC" w14:textId="77777777" w:rsidR="00832F98" w:rsidRPr="00394D72" w:rsidRDefault="00832F98" w:rsidP="009F3FE6">
            <w:pPr>
              <w:spacing w:after="0" w:line="240" w:lineRule="auto"/>
              <w:jc w:val="center"/>
              <w:rPr>
                <w:rFonts w:ascii="Times New Roman" w:eastAsia="Times New Roman" w:hAnsi="Times New Roman" w:cs="Times New Roman"/>
                <w:b/>
                <w:sz w:val="24"/>
                <w:szCs w:val="24"/>
              </w:rPr>
            </w:pPr>
          </w:p>
          <w:p w14:paraId="156AB492" w14:textId="77777777" w:rsidR="00832F98" w:rsidRPr="00394D72" w:rsidRDefault="00832F98" w:rsidP="009F3FE6">
            <w:pPr>
              <w:spacing w:after="0" w:line="240" w:lineRule="auto"/>
              <w:jc w:val="center"/>
              <w:rPr>
                <w:rFonts w:ascii="Times New Roman" w:eastAsia="Times New Roman" w:hAnsi="Times New Roman" w:cs="Times New Roman"/>
                <w:b/>
                <w:sz w:val="24"/>
                <w:szCs w:val="24"/>
              </w:rPr>
            </w:pPr>
            <w:r>
              <w:rPr>
                <w:rFonts w:ascii="Times New Roman" w:hAnsi="Times New Roman"/>
                <w:b/>
                <w:sz w:val="24"/>
              </w:rPr>
              <w:t>Adresse</w:t>
            </w:r>
          </w:p>
          <w:p w14:paraId="399E070D" w14:textId="77777777" w:rsidR="00832F98" w:rsidRPr="00394D72" w:rsidRDefault="00832F98" w:rsidP="009F3FE6">
            <w:pPr>
              <w:spacing w:after="0" w:line="240" w:lineRule="auto"/>
              <w:jc w:val="center"/>
              <w:rPr>
                <w:rFonts w:ascii="Times New Roman" w:eastAsia="Times New Roman" w:hAnsi="Times New Roman" w:cs="Times New Roman"/>
                <w:b/>
                <w:sz w:val="24"/>
                <w:szCs w:val="24"/>
              </w:rPr>
            </w:pPr>
          </w:p>
          <w:p w14:paraId="7E815888" w14:textId="77777777" w:rsidR="00832F98" w:rsidRPr="0019382C" w:rsidRDefault="00832F98" w:rsidP="009F3FE6">
            <w:pPr>
              <w:spacing w:after="0" w:line="240" w:lineRule="auto"/>
              <w:jc w:val="center"/>
              <w:rPr>
                <w:rFonts w:ascii="Times New Roman" w:eastAsia="Times New Roman" w:hAnsi="Times New Roman" w:cs="Times New Roman"/>
                <w:b/>
                <w:sz w:val="24"/>
                <w:szCs w:val="24"/>
              </w:rPr>
            </w:pPr>
            <w:r>
              <w:rPr>
                <w:rFonts w:ascii="Times New Roman" w:hAnsi="Times New Roman"/>
                <w:b/>
                <w:sz w:val="24"/>
              </w:rPr>
              <w:t>Lien du site web</w:t>
            </w:r>
          </w:p>
        </w:tc>
        <w:tc>
          <w:tcPr>
            <w:tcW w:w="558" w:type="pct"/>
            <w:tcBorders>
              <w:top w:val="single" w:sz="4" w:space="0" w:color="auto"/>
              <w:left w:val="single" w:sz="4" w:space="0" w:color="auto"/>
              <w:bottom w:val="single" w:sz="4" w:space="0" w:color="auto"/>
              <w:right w:val="single" w:sz="4" w:space="0" w:color="auto"/>
            </w:tcBorders>
            <w:hideMark/>
          </w:tcPr>
          <w:p w14:paraId="432E5F4E" w14:textId="77777777" w:rsidR="00832F98" w:rsidRPr="0019382C" w:rsidRDefault="00832F98" w:rsidP="009F3FE6">
            <w:pPr>
              <w:spacing w:after="0" w:line="240" w:lineRule="auto"/>
              <w:jc w:val="center"/>
              <w:rPr>
                <w:rFonts w:ascii="Times New Roman" w:eastAsia="Times New Roman" w:hAnsi="Times New Roman" w:cs="Times New Roman"/>
                <w:sz w:val="24"/>
                <w:szCs w:val="24"/>
              </w:rPr>
            </w:pPr>
            <w:r>
              <w:rPr>
                <w:rFonts w:ascii="Times New Roman" w:hAnsi="Times New Roman"/>
                <w:b/>
                <w:sz w:val="24"/>
              </w:rPr>
              <w:t>Nom en anglais</w:t>
            </w:r>
          </w:p>
        </w:tc>
        <w:tc>
          <w:tcPr>
            <w:tcW w:w="488" w:type="pct"/>
            <w:tcBorders>
              <w:top w:val="single" w:sz="4" w:space="0" w:color="auto"/>
              <w:left w:val="single" w:sz="4" w:space="0" w:color="auto"/>
              <w:bottom w:val="single" w:sz="4" w:space="0" w:color="auto"/>
              <w:right w:val="single" w:sz="4" w:space="0" w:color="auto"/>
            </w:tcBorders>
          </w:tcPr>
          <w:p w14:paraId="650AFD97" w14:textId="77777777" w:rsidR="00832F98" w:rsidRPr="0019382C" w:rsidRDefault="00832F98" w:rsidP="009F3FE6">
            <w:pPr>
              <w:spacing w:after="0" w:line="240" w:lineRule="auto"/>
              <w:jc w:val="center"/>
              <w:rPr>
                <w:rFonts w:ascii="Times New Roman" w:eastAsia="Times New Roman" w:hAnsi="Times New Roman" w:cs="Times New Roman"/>
                <w:b/>
                <w:sz w:val="24"/>
                <w:szCs w:val="24"/>
              </w:rPr>
            </w:pPr>
            <w:r>
              <w:rPr>
                <w:rFonts w:ascii="Times New Roman" w:hAnsi="Times New Roman"/>
                <w:b/>
                <w:sz w:val="24"/>
              </w:rPr>
              <w:t>Statut juridique</w:t>
            </w:r>
          </w:p>
          <w:p w14:paraId="71AF63EB"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p>
          <w:p w14:paraId="709914F2" w14:textId="77777777" w:rsidR="00832F98" w:rsidRPr="0019382C" w:rsidRDefault="00832F98" w:rsidP="009F3FE6">
            <w:pPr>
              <w:spacing w:after="0" w:line="240" w:lineRule="auto"/>
              <w:jc w:val="center"/>
              <w:rPr>
                <w:rFonts w:ascii="Times New Roman" w:eastAsia="Times New Roman" w:hAnsi="Times New Roman" w:cs="Times New Roman"/>
                <w:b/>
                <w:sz w:val="24"/>
                <w:szCs w:val="24"/>
              </w:rPr>
            </w:pPr>
          </w:p>
        </w:tc>
        <w:tc>
          <w:tcPr>
            <w:tcW w:w="629" w:type="pct"/>
            <w:tcBorders>
              <w:top w:val="single" w:sz="4" w:space="0" w:color="auto"/>
              <w:left w:val="single" w:sz="4" w:space="0" w:color="auto"/>
              <w:bottom w:val="single" w:sz="4" w:space="0" w:color="auto"/>
              <w:right w:val="single" w:sz="4" w:space="0" w:color="auto"/>
            </w:tcBorders>
          </w:tcPr>
          <w:p w14:paraId="3BC57B61" w14:textId="77777777" w:rsidR="00832F98" w:rsidRPr="0019382C" w:rsidRDefault="00832F98" w:rsidP="009F3FE6">
            <w:pPr>
              <w:spacing w:after="0" w:line="240" w:lineRule="auto"/>
              <w:jc w:val="center"/>
              <w:rPr>
                <w:rFonts w:ascii="Times New Roman" w:eastAsia="Times New Roman" w:hAnsi="Times New Roman" w:cs="Times New Roman"/>
                <w:b/>
                <w:sz w:val="24"/>
                <w:szCs w:val="24"/>
              </w:rPr>
            </w:pPr>
            <w:r>
              <w:rPr>
                <w:rFonts w:ascii="Times New Roman" w:hAnsi="Times New Roman"/>
                <w:b/>
                <w:sz w:val="24"/>
              </w:rPr>
              <w:t>Détenteurs du capital</w:t>
            </w:r>
          </w:p>
          <w:p w14:paraId="221B0EA2"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p>
          <w:p w14:paraId="030D20E4"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r>
              <w:rPr>
                <w:rFonts w:ascii="Times New Roman" w:hAnsi="Times New Roman"/>
                <w:sz w:val="24"/>
              </w:rPr>
              <w:t>(ou des actifs, si l’organisme ne possède pas de capital légal)</w:t>
            </w:r>
          </w:p>
          <w:p w14:paraId="29B37B9C"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p>
          <w:p w14:paraId="6599CCAA" w14:textId="77777777" w:rsidR="00832F98" w:rsidRPr="0019382C" w:rsidRDefault="00832F98" w:rsidP="00AE7791">
            <w:pPr>
              <w:spacing w:after="0" w:line="240" w:lineRule="auto"/>
              <w:jc w:val="center"/>
              <w:rPr>
                <w:rFonts w:ascii="Times New Roman" w:eastAsia="Times New Roman" w:hAnsi="Times New Roman" w:cs="Times New Roman"/>
                <w:sz w:val="24"/>
                <w:szCs w:val="24"/>
              </w:rPr>
            </w:pPr>
            <w:r>
              <w:rPr>
                <w:rFonts w:ascii="Times New Roman" w:hAnsi="Times New Roman"/>
                <w:sz w:val="24"/>
              </w:rPr>
              <w:t>Si l’État est détenteur majoritaire du capital et/ou des actifs, les critères </w:t>
            </w:r>
            <w:r w:rsidRPr="00452C1A">
              <w:rPr>
                <w:rFonts w:ascii="Times New Roman" w:hAnsi="Times New Roman"/>
                <w:sz w:val="24"/>
              </w:rPr>
              <w:t>2</w:t>
            </w:r>
            <w:r>
              <w:rPr>
                <w:rFonts w:ascii="Times New Roman" w:hAnsi="Times New Roman"/>
                <w:sz w:val="24"/>
              </w:rPr>
              <w:t> à </w:t>
            </w:r>
            <w:r w:rsidRPr="00452C1A">
              <w:rPr>
                <w:rFonts w:ascii="Times New Roman" w:hAnsi="Times New Roman"/>
                <w:sz w:val="24"/>
              </w:rPr>
              <w:t>4</w:t>
            </w:r>
            <w:r>
              <w:rPr>
                <w:rFonts w:ascii="Times New Roman" w:hAnsi="Times New Roman"/>
                <w:sz w:val="24"/>
              </w:rPr>
              <w:t xml:space="preserve"> pourraient être satisfaits. </w:t>
            </w:r>
          </w:p>
        </w:tc>
        <w:tc>
          <w:tcPr>
            <w:tcW w:w="721" w:type="pct"/>
            <w:tcBorders>
              <w:top w:val="single" w:sz="4" w:space="0" w:color="auto"/>
              <w:left w:val="single" w:sz="4" w:space="0" w:color="auto"/>
              <w:bottom w:val="single" w:sz="4" w:space="0" w:color="auto"/>
              <w:right w:val="single" w:sz="4" w:space="0" w:color="auto"/>
            </w:tcBorders>
          </w:tcPr>
          <w:p w14:paraId="584D810E" w14:textId="77777777" w:rsidR="00832F98" w:rsidRPr="0019382C" w:rsidRDefault="00832F98" w:rsidP="009F3FE6">
            <w:pPr>
              <w:spacing w:after="0" w:line="240" w:lineRule="auto"/>
              <w:jc w:val="center"/>
              <w:rPr>
                <w:rFonts w:ascii="Times New Roman" w:eastAsia="Times New Roman" w:hAnsi="Times New Roman" w:cs="Times New Roman"/>
                <w:b/>
                <w:sz w:val="24"/>
                <w:szCs w:val="24"/>
              </w:rPr>
            </w:pPr>
            <w:r>
              <w:rPr>
                <w:rFonts w:ascii="Times New Roman" w:hAnsi="Times New Roman"/>
                <w:b/>
                <w:sz w:val="24"/>
              </w:rPr>
              <w:t>Champ d’activité</w:t>
            </w:r>
          </w:p>
          <w:p w14:paraId="305CD41F"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p>
          <w:p w14:paraId="74428186" w14:textId="77777777" w:rsidR="00832F98" w:rsidRPr="00394D72" w:rsidRDefault="00832F98" w:rsidP="009F3FE6">
            <w:pPr>
              <w:spacing w:after="0" w:line="240" w:lineRule="auto"/>
              <w:jc w:val="center"/>
              <w:rPr>
                <w:rFonts w:ascii="Times New Roman" w:eastAsia="Times New Roman" w:hAnsi="Times New Roman" w:cs="Times New Roman"/>
                <w:i/>
                <w:sz w:val="24"/>
                <w:szCs w:val="24"/>
              </w:rPr>
            </w:pPr>
            <w:r>
              <w:rPr>
                <w:rFonts w:ascii="Times New Roman" w:hAnsi="Times New Roman"/>
                <w:sz w:val="24"/>
              </w:rPr>
              <w:t>Indiquer le secteur et/ou domaine de</w:t>
            </w:r>
            <w:r>
              <w:rPr>
                <w:rFonts w:ascii="Times New Roman" w:hAnsi="Times New Roman"/>
                <w:i/>
                <w:sz w:val="24"/>
              </w:rPr>
              <w:t xml:space="preserve"> </w:t>
            </w:r>
            <w:r>
              <w:rPr>
                <w:rFonts w:ascii="Times New Roman" w:hAnsi="Times New Roman"/>
                <w:sz w:val="24"/>
              </w:rPr>
              <w:t>l’acquis de l’Union</w:t>
            </w:r>
          </w:p>
          <w:p w14:paraId="366FF0D5" w14:textId="77777777" w:rsidR="00832F98" w:rsidRPr="00394D72" w:rsidRDefault="00832F98" w:rsidP="009F3FE6">
            <w:pPr>
              <w:spacing w:after="0" w:line="240" w:lineRule="auto"/>
              <w:jc w:val="center"/>
              <w:rPr>
                <w:rFonts w:ascii="Times New Roman" w:eastAsia="Times New Roman" w:hAnsi="Times New Roman" w:cs="Times New Roman"/>
                <w:i/>
                <w:sz w:val="24"/>
                <w:szCs w:val="24"/>
              </w:rPr>
            </w:pPr>
          </w:p>
          <w:p w14:paraId="7F76FEA8"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r>
              <w:rPr>
                <w:rFonts w:ascii="Times New Roman" w:hAnsi="Times New Roman"/>
                <w:sz w:val="24"/>
              </w:rPr>
              <w:t>Dans le cas d’un organisme de gestion (générale),</w:t>
            </w:r>
          </w:p>
          <w:p w14:paraId="131466B9" w14:textId="77777777" w:rsidR="00832F98" w:rsidRPr="0019382C" w:rsidRDefault="00832F98" w:rsidP="009F3FE6">
            <w:pPr>
              <w:spacing w:after="0" w:line="240" w:lineRule="auto"/>
              <w:jc w:val="center"/>
              <w:rPr>
                <w:rFonts w:ascii="Times New Roman" w:eastAsia="Times New Roman" w:hAnsi="Times New Roman" w:cs="Times New Roman"/>
                <w:sz w:val="24"/>
                <w:szCs w:val="24"/>
              </w:rPr>
            </w:pPr>
            <w:r>
              <w:rPr>
                <w:rFonts w:ascii="Times New Roman" w:hAnsi="Times New Roman"/>
                <w:sz w:val="24"/>
              </w:rPr>
              <w:t>indiquer le terme «organisme de gestion»</w:t>
            </w:r>
          </w:p>
        </w:tc>
        <w:tc>
          <w:tcPr>
            <w:tcW w:w="533" w:type="pct"/>
            <w:tcBorders>
              <w:top w:val="single" w:sz="4" w:space="0" w:color="auto"/>
              <w:left w:val="single" w:sz="4" w:space="0" w:color="auto"/>
              <w:bottom w:val="single" w:sz="4" w:space="0" w:color="auto"/>
              <w:right w:val="single" w:sz="4" w:space="0" w:color="auto"/>
            </w:tcBorders>
            <w:hideMark/>
          </w:tcPr>
          <w:p w14:paraId="10B58C12" w14:textId="77777777" w:rsidR="00832F98" w:rsidRPr="0019382C" w:rsidRDefault="00832F98" w:rsidP="009F3FE6">
            <w:pPr>
              <w:spacing w:after="0" w:line="240" w:lineRule="auto"/>
              <w:jc w:val="center"/>
              <w:rPr>
                <w:rFonts w:ascii="Times New Roman" w:eastAsia="Times New Roman" w:hAnsi="Times New Roman" w:cs="Times New Roman"/>
                <w:b/>
                <w:sz w:val="24"/>
                <w:szCs w:val="24"/>
              </w:rPr>
            </w:pPr>
            <w:r>
              <w:rPr>
                <w:rFonts w:ascii="Times New Roman" w:hAnsi="Times New Roman"/>
                <w:b/>
                <w:sz w:val="24"/>
              </w:rPr>
              <w:t>Niveau de l’effectif permanent</w:t>
            </w:r>
          </w:p>
        </w:tc>
        <w:tc>
          <w:tcPr>
            <w:tcW w:w="884" w:type="pct"/>
            <w:tcBorders>
              <w:top w:val="single" w:sz="4" w:space="0" w:color="auto"/>
              <w:left w:val="single" w:sz="4" w:space="0" w:color="auto"/>
              <w:bottom w:val="single" w:sz="4" w:space="0" w:color="auto"/>
              <w:right w:val="single" w:sz="4" w:space="0" w:color="auto"/>
            </w:tcBorders>
          </w:tcPr>
          <w:p w14:paraId="1FCB3F3F" w14:textId="77777777" w:rsidR="00832F98" w:rsidRPr="0019382C" w:rsidRDefault="00832F98" w:rsidP="009F3FE6">
            <w:pPr>
              <w:spacing w:after="0" w:line="240" w:lineRule="auto"/>
              <w:jc w:val="center"/>
              <w:rPr>
                <w:rFonts w:ascii="Times New Roman" w:eastAsia="Times New Roman" w:hAnsi="Times New Roman" w:cs="Times New Roman"/>
                <w:b/>
                <w:sz w:val="24"/>
                <w:szCs w:val="24"/>
              </w:rPr>
            </w:pPr>
            <w:r>
              <w:rPr>
                <w:rFonts w:ascii="Times New Roman" w:hAnsi="Times New Roman"/>
                <w:b/>
                <w:sz w:val="24"/>
              </w:rPr>
              <w:t>Autorité publique de supervision</w:t>
            </w:r>
          </w:p>
          <w:p w14:paraId="534609E9"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p>
          <w:p w14:paraId="40F7080F"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r>
              <w:rPr>
                <w:rFonts w:ascii="Times New Roman" w:hAnsi="Times New Roman"/>
                <w:sz w:val="24"/>
              </w:rPr>
              <w:t>Décrire le niveau de supervision/de contrôle exercé par les pouvoirs publics.</w:t>
            </w:r>
          </w:p>
          <w:p w14:paraId="5FFD0E2D"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p>
          <w:p w14:paraId="0A15AF50"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r>
              <w:rPr>
                <w:rFonts w:ascii="Times New Roman" w:hAnsi="Times New Roman"/>
                <w:sz w:val="24"/>
              </w:rPr>
              <w:t>Décrire les domaines dans lesquels des fonctions et des pouvoirs sont délégués.</w:t>
            </w:r>
          </w:p>
          <w:p w14:paraId="7CF3572B"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p>
          <w:p w14:paraId="1E63F4EC"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r>
              <w:rPr>
                <w:rFonts w:ascii="Times New Roman" w:hAnsi="Times New Roman"/>
                <w:sz w:val="24"/>
              </w:rPr>
              <w:t>Indiquer les pouvoirs publics qui nomment les administrateurs ainsi que le pourcentage d’administrateurs nommés par les pouvoirs publics.</w:t>
            </w:r>
          </w:p>
          <w:p w14:paraId="7BB7D593"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p>
          <w:p w14:paraId="5689726B" w14:textId="77777777" w:rsidR="00832F98" w:rsidRPr="005107DF" w:rsidRDefault="00832F98" w:rsidP="009F3FE6">
            <w:pPr>
              <w:spacing w:after="0" w:line="240" w:lineRule="auto"/>
              <w:jc w:val="center"/>
              <w:rPr>
                <w:rFonts w:ascii="Times New Roman" w:eastAsia="Times New Roman" w:hAnsi="Times New Roman" w:cs="Times New Roman"/>
                <w:sz w:val="24"/>
                <w:szCs w:val="24"/>
              </w:rPr>
            </w:pPr>
            <w:r>
              <w:rPr>
                <w:rFonts w:ascii="Times New Roman" w:hAnsi="Times New Roman"/>
                <w:sz w:val="24"/>
              </w:rPr>
              <w:t xml:space="preserve">Indiquer comment le contrôle financier est exercé et par qui, ainsi que l’institution d’audit chargée de contrôler les comptes de l’organisme. </w:t>
            </w:r>
          </w:p>
          <w:p w14:paraId="71F76330" w14:textId="77777777" w:rsidR="00832F98" w:rsidRPr="005107DF" w:rsidRDefault="00832F98" w:rsidP="009F3FE6">
            <w:pPr>
              <w:spacing w:after="0" w:line="240" w:lineRule="auto"/>
              <w:jc w:val="center"/>
              <w:rPr>
                <w:rFonts w:ascii="Times New Roman" w:eastAsia="Times New Roman" w:hAnsi="Times New Roman" w:cs="Times New Roman"/>
                <w:sz w:val="24"/>
                <w:szCs w:val="24"/>
              </w:rPr>
            </w:pPr>
          </w:p>
          <w:p w14:paraId="3AA50CFE" w14:textId="77777777" w:rsidR="00832F98" w:rsidRPr="005107DF" w:rsidRDefault="00832F98" w:rsidP="009F3FE6">
            <w:pPr>
              <w:spacing w:after="0" w:line="240" w:lineRule="auto"/>
              <w:jc w:val="center"/>
              <w:rPr>
                <w:rFonts w:ascii="Times New Roman" w:eastAsia="Times New Roman" w:hAnsi="Times New Roman" w:cs="Times New Roman"/>
                <w:sz w:val="24"/>
                <w:szCs w:val="24"/>
              </w:rPr>
            </w:pPr>
            <w:r>
              <w:rPr>
                <w:rFonts w:ascii="Times New Roman" w:hAnsi="Times New Roman"/>
                <w:sz w:val="24"/>
              </w:rPr>
              <w:t xml:space="preserve"> </w:t>
            </w:r>
          </w:p>
        </w:tc>
      </w:tr>
    </w:tbl>
    <w:p w14:paraId="6365A7B9" w14:textId="77777777" w:rsidR="00832F98" w:rsidRPr="00434C10" w:rsidRDefault="00832F98" w:rsidP="00DB0220">
      <w:pPr>
        <w:rPr>
          <w:rFonts w:ascii="Times New Roman" w:hAnsi="Times New Roman" w:cs="Times New Roman"/>
          <w:sz w:val="32"/>
          <w:szCs w:val="32"/>
        </w:rPr>
      </w:pPr>
      <w:r>
        <w:br w:type="page"/>
      </w:r>
      <w:bookmarkStart w:id="1664" w:name="_Toc517434508"/>
      <w:r w:rsidRPr="00434C10">
        <w:rPr>
          <w:rFonts w:ascii="Times New Roman" w:hAnsi="Times New Roman" w:cs="Times New Roman"/>
          <w:sz w:val="32"/>
        </w:rPr>
        <w:lastRenderedPageBreak/>
        <w:t>ANNEXE C18: Déclaration d’impartialité et de confidentialité</w:t>
      </w:r>
      <w:bookmarkEnd w:id="1664"/>
    </w:p>
    <w:p w14:paraId="4DE05FC3" w14:textId="77777777" w:rsidR="00832F98" w:rsidRPr="005107DF" w:rsidRDefault="00832F98" w:rsidP="00CA6D80">
      <w:pPr>
        <w:spacing w:after="0" w:line="240" w:lineRule="auto"/>
        <w:rPr>
          <w:rFonts w:ascii="Times New Roman" w:eastAsia="SimSun" w:hAnsi="Times New Roman" w:cs="Times New Roman"/>
          <w:b/>
          <w:color w:val="000000"/>
          <w:kern w:val="28"/>
          <w:sz w:val="32"/>
          <w:szCs w:val="20"/>
        </w:rPr>
      </w:pPr>
    </w:p>
    <w:p w14:paraId="33C6A9D6"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rPr>
      </w:pPr>
      <w:r>
        <w:rPr>
          <w:rFonts w:ascii="Times New Roman" w:hAnsi="Times New Roman"/>
          <w:b/>
          <w:color w:val="000000"/>
          <w:kern w:val="28"/>
          <w:sz w:val="32"/>
        </w:rPr>
        <w:t>Déclaration</w:t>
      </w:r>
      <w:r>
        <w:rPr>
          <w:rFonts w:ascii="Times New Roman" w:eastAsia="SimSun" w:hAnsi="Times New Roman" w:cs="Times New Roman"/>
          <w:b/>
          <w:color w:val="000000"/>
          <w:kern w:val="28"/>
          <w:sz w:val="32"/>
          <w:szCs w:val="20"/>
        </w:rPr>
        <w:br/>
      </w:r>
      <w:r>
        <w:rPr>
          <w:rFonts w:ascii="Times New Roman" w:hAnsi="Times New Roman"/>
          <w:b/>
          <w:color w:val="000000"/>
          <w:kern w:val="28"/>
          <w:sz w:val="32"/>
        </w:rPr>
        <w:t>d’impartialité et de confidentialité</w:t>
      </w:r>
      <w:r>
        <w:rPr>
          <w:rFonts w:ascii="Times New Roman" w:eastAsia="Times New Roman" w:hAnsi="Times New Roman" w:cs="Times New Roman"/>
          <w:sz w:val="24"/>
          <w:szCs w:val="24"/>
        </w:rPr>
        <w:br/>
      </w:r>
      <w:r>
        <w:rPr>
          <w:rFonts w:ascii="Times New Roman" w:hAnsi="Times New Roman"/>
          <w:b/>
          <w:color w:val="000000"/>
          <w:kern w:val="28"/>
          <w:sz w:val="32"/>
        </w:rPr>
        <w:t>en vue de la participation à une réunion de sélection d’un projet de jumelage</w:t>
      </w:r>
      <w:r>
        <w:rPr>
          <w:rFonts w:ascii="Times New Roman" w:eastAsia="Times New Roman" w:hAnsi="Times New Roman" w:cs="Times New Roman"/>
          <w:sz w:val="24"/>
          <w:szCs w:val="24"/>
        </w:rPr>
        <w:br/>
      </w:r>
      <w:r>
        <w:rPr>
          <w:rFonts w:ascii="Times New Roman" w:eastAsia="Times New Roman" w:hAnsi="Times New Roman" w:cs="Times New Roman"/>
        </w:rPr>
        <w:br/>
      </w:r>
      <w:r>
        <w:rPr>
          <w:rFonts w:ascii="Times New Roman" w:hAnsi="Times New Roman"/>
        </w:rPr>
        <w:t>Réf. de publication:____________________</w:t>
      </w:r>
    </w:p>
    <w:p w14:paraId="676E4318"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rPr>
      </w:pPr>
    </w:p>
    <w:p w14:paraId="0C10CD15" w14:textId="77777777" w:rsidR="00832F98" w:rsidRPr="005107DF" w:rsidRDefault="00832F98" w:rsidP="00CA6D80">
      <w:pPr>
        <w:spacing w:before="100" w:beforeAutospacing="1" w:after="100" w:afterAutospacing="1" w:line="240" w:lineRule="auto"/>
        <w:jc w:val="both"/>
        <w:rPr>
          <w:rFonts w:ascii="Times New Roman" w:eastAsia="Times New Roman" w:hAnsi="Times New Roman" w:cs="Times New Roman"/>
        </w:rPr>
      </w:pPr>
    </w:p>
    <w:p w14:paraId="7B985E8A" w14:textId="77777777" w:rsidR="00832F98" w:rsidRPr="005107DF" w:rsidRDefault="00832F98" w:rsidP="00CA6D80">
      <w:pPr>
        <w:spacing w:before="100" w:beforeAutospacing="1" w:after="100" w:afterAutospacing="1" w:line="240" w:lineRule="auto"/>
        <w:jc w:val="both"/>
        <w:rPr>
          <w:rFonts w:ascii="Times New Roman" w:eastAsia="Times New Roman" w:hAnsi="Times New Roman" w:cs="Times New Roman"/>
          <w:u w:val="single"/>
        </w:rPr>
      </w:pPr>
      <w:r>
        <w:rPr>
          <w:rFonts w:ascii="Times New Roman" w:hAnsi="Times New Roman"/>
        </w:rPr>
        <w:t>Je soussigné déclare par la présente accepter de participer à l’évaluation du projet [numéro de référence du projet de jumelage et intitulé du projet] susmentionné. Par cette déclaration, je</w:t>
      </w:r>
      <w:r>
        <w:rPr>
          <w:rFonts w:ascii="Times New Roman" w:hAnsi="Times New Roman"/>
          <w:sz w:val="20"/>
        </w:rPr>
        <w:t xml:space="preserve"> </w:t>
      </w:r>
      <w:r>
        <w:rPr>
          <w:rFonts w:ascii="Times New Roman" w:hAnsi="Times New Roman"/>
        </w:rPr>
        <w:t xml:space="preserve">déclare avoir connaissance des éléments suivants: </w:t>
      </w:r>
    </w:p>
    <w:p w14:paraId="1F6FD204" w14:textId="77777777" w:rsidR="00832F98" w:rsidRPr="005107DF" w:rsidRDefault="00832F98" w:rsidP="00CA6D80">
      <w:pPr>
        <w:spacing w:before="100" w:beforeAutospacing="1" w:after="100" w:afterAutospacing="1" w:line="240" w:lineRule="auto"/>
        <w:ind w:left="426" w:hanging="426"/>
        <w:jc w:val="both"/>
        <w:rPr>
          <w:rFonts w:ascii="Times New Roman" w:eastAsia="Times New Roman" w:hAnsi="Times New Roman" w:cs="Times New Roman"/>
        </w:rPr>
      </w:pPr>
      <w:r w:rsidRPr="00452C1A">
        <w:rPr>
          <w:rFonts w:ascii="Times New Roman" w:hAnsi="Times New Roman"/>
        </w:rPr>
        <w:t>1</w:t>
      </w:r>
      <w:r>
        <w:rPr>
          <w:rFonts w:ascii="Times New Roman" w:hAnsi="Times New Roman"/>
        </w:rPr>
        <w:t>.</w:t>
      </w:r>
      <w:r>
        <w:tab/>
      </w:r>
      <w:r>
        <w:rPr>
          <w:rFonts w:ascii="Times New Roman" w:hAnsi="Times New Roman"/>
        </w:rPr>
        <w:t>Les acteurs financiers et les autres personnes participant à l’exécution et à la gestion du budget, y compris aux actes préparatoires à celui-ci, ainsi qu’à l’audit ou au contrôle, ne prennent aucune mesure à l’occasion de laquelle leurs propres intérêts pourraient être en conflit avec ceux de l’Union européenne.</w:t>
      </w:r>
    </w:p>
    <w:p w14:paraId="1FD89CED" w14:textId="77777777" w:rsidR="00832F98" w:rsidRPr="005107DF" w:rsidRDefault="00832F98" w:rsidP="00CA6D80">
      <w:pPr>
        <w:spacing w:before="100" w:beforeAutospacing="1" w:after="100" w:afterAutospacing="1" w:line="240" w:lineRule="auto"/>
        <w:ind w:left="426" w:hanging="426"/>
        <w:jc w:val="both"/>
        <w:rPr>
          <w:rFonts w:ascii="Times New Roman" w:eastAsia="Times New Roman" w:hAnsi="Times New Roman" w:cs="Times New Roman"/>
        </w:rPr>
      </w:pPr>
      <w:r>
        <w:tab/>
      </w:r>
      <w:r>
        <w:rPr>
          <w:rFonts w:ascii="Times New Roman" w:hAnsi="Times New Roman"/>
        </w:rPr>
        <w:t>Si un tel risque existe, la personne en question a l’obligation de s’abstenir. Elle en réfère à l’ordonnateur délégué et en informe son supérieur hiérarchique. L’ordonnateur confirme par écrit l’existence éventuelle d’un conflit d’intérêts. Lorsque l’existence d’un conflit d’intérêts a été établie, la personne en question cesse toutes ses activités en rapport avec le dossier concerné. L’ordonnateur délégué prend lui-même toute mesure supplémentaire appropriée.</w:t>
      </w:r>
    </w:p>
    <w:p w14:paraId="5408EFC9" w14:textId="77777777" w:rsidR="00832F98" w:rsidRPr="005107DF" w:rsidRDefault="00832F98" w:rsidP="00CA6D80">
      <w:pPr>
        <w:spacing w:before="100" w:beforeAutospacing="1" w:after="100" w:afterAutospacing="1" w:line="240" w:lineRule="auto"/>
        <w:ind w:left="426" w:hanging="426"/>
        <w:jc w:val="both"/>
        <w:rPr>
          <w:rFonts w:ascii="Times New Roman" w:eastAsia="Times New Roman" w:hAnsi="Times New Roman" w:cs="Times New Roman"/>
        </w:rPr>
      </w:pPr>
      <w:r w:rsidRPr="00452C1A">
        <w:rPr>
          <w:rFonts w:ascii="Times New Roman" w:hAnsi="Times New Roman"/>
        </w:rPr>
        <w:t>2</w:t>
      </w:r>
      <w:r>
        <w:rPr>
          <w:rFonts w:ascii="Times New Roman" w:hAnsi="Times New Roman"/>
        </w:rPr>
        <w:t>.</w:t>
      </w:r>
      <w:r>
        <w:tab/>
      </w:r>
      <w:r>
        <w:rPr>
          <w:rFonts w:ascii="Times New Roman" w:hAnsi="Times New Roman"/>
        </w:rPr>
        <w:t>Aux fins du paragraphe </w:t>
      </w:r>
      <w:r w:rsidRPr="00452C1A">
        <w:rPr>
          <w:rFonts w:ascii="Times New Roman" w:hAnsi="Times New Roman"/>
        </w:rPr>
        <w:t>1</w:t>
      </w:r>
      <w:r>
        <w:rPr>
          <w:rFonts w:ascii="Times New Roman" w:hAnsi="Times New Roman"/>
        </w:rPr>
        <w:t>, il y a conflit d’intérêts lorsque l’exercice impartial et objectif des fonctions d’un acteur financier ou d’une autre personne, visés au paragraphe </w:t>
      </w:r>
      <w:r w:rsidRPr="00452C1A">
        <w:rPr>
          <w:rFonts w:ascii="Times New Roman" w:hAnsi="Times New Roman"/>
        </w:rPr>
        <w:t>1</w:t>
      </w:r>
      <w:r>
        <w:rPr>
          <w:rFonts w:ascii="Times New Roman" w:hAnsi="Times New Roman"/>
        </w:rPr>
        <w:t>, est compromis pour des motifs familiaux, affectifs, d’affinité politique ou nationale, d’intérêt économique ou pour tout autre motif de communauté d’intérêt avec le bénéficiaire.</w:t>
      </w:r>
    </w:p>
    <w:p w14:paraId="75E3DAFE" w14:textId="77777777" w:rsidR="00832F98" w:rsidRPr="005107DF" w:rsidRDefault="00832F98" w:rsidP="00CA6D80">
      <w:pPr>
        <w:spacing w:before="100" w:beforeAutospacing="1" w:after="100" w:afterAutospacing="1" w:line="240" w:lineRule="auto"/>
        <w:jc w:val="both"/>
        <w:rPr>
          <w:rFonts w:ascii="Times New Roman" w:eastAsia="Times New Roman" w:hAnsi="Times New Roman" w:cs="Times New Roman"/>
        </w:rPr>
      </w:pPr>
      <w:r>
        <w:rPr>
          <w:rFonts w:ascii="Times New Roman" w:hAnsi="Times New Roman"/>
        </w:rPr>
        <w:t>Je déclare par la présente que, à ma connaissance, je n’ai aucun conflit d’intérêts avec les opérateurs qui ont présenté une demande de participation dans le cadre de ce marché, en ce compris les personnes ou les membres d’un consortium, ou les sous-traitants proposés.</w:t>
      </w:r>
    </w:p>
    <w:p w14:paraId="41552E78" w14:textId="77777777" w:rsidR="00832F98" w:rsidRPr="005107DF" w:rsidRDefault="00832F98" w:rsidP="00CA6D80">
      <w:pPr>
        <w:spacing w:before="100" w:beforeAutospacing="1" w:after="240" w:line="240" w:lineRule="auto"/>
        <w:jc w:val="both"/>
        <w:rPr>
          <w:rFonts w:ascii="Times New Roman" w:eastAsia="Times New Roman" w:hAnsi="Times New Roman" w:cs="Times New Roman"/>
        </w:rPr>
      </w:pPr>
      <w:r>
        <w:rPr>
          <w:rFonts w:ascii="Times New Roman" w:hAnsi="Times New Roman"/>
        </w:rPr>
        <w:t>Je m’engage à signaler immédiatement au président du comité d’évaluation tout conflit d’intérêts réel ou potentiel dont je prendrais connaissance au cours de l’évaluation. Dans le cas où l’existence de ce conflit serait confirmée par le président, j’accepte de mettre fin à ma participation au comité d’évaluation.</w:t>
      </w:r>
    </w:p>
    <w:p w14:paraId="7BE49685" w14:textId="77777777" w:rsidR="00832F98" w:rsidRPr="005107DF" w:rsidRDefault="00832F98" w:rsidP="00CA6D80">
      <w:pPr>
        <w:spacing w:before="100" w:beforeAutospacing="1" w:after="240" w:line="240" w:lineRule="auto"/>
        <w:jc w:val="both"/>
        <w:rPr>
          <w:rFonts w:ascii="Times New Roman" w:eastAsia="Times New Roman" w:hAnsi="Times New Roman" w:cs="Times New Roman"/>
        </w:rPr>
      </w:pPr>
      <w:r>
        <w:rPr>
          <w:rFonts w:ascii="Times New Roman" w:hAnsi="Times New Roman"/>
        </w:rPr>
        <w:t>Je confirme avoir pris connaissance des informations disponibles à ce jour concernant le présent appel à propositions, y compris les dispositions du guide pratique relatif au processus d’évaluation.</w:t>
      </w:r>
      <w:r>
        <w:rPr>
          <w:rFonts w:ascii="Times New Roman" w:hAnsi="Times New Roman"/>
          <w:sz w:val="20"/>
        </w:rPr>
        <w:t xml:space="preserve"> </w:t>
      </w:r>
    </w:p>
    <w:p w14:paraId="0B6F5FDC" w14:textId="77777777" w:rsidR="00832F98" w:rsidRPr="005107DF" w:rsidRDefault="00832F98" w:rsidP="00CA6D80">
      <w:pPr>
        <w:tabs>
          <w:tab w:val="left" w:pos="1701"/>
        </w:tabs>
        <w:spacing w:after="240" w:line="240" w:lineRule="auto"/>
        <w:jc w:val="both"/>
        <w:rPr>
          <w:rFonts w:ascii="Times New Roman" w:eastAsia="Times New Roman" w:hAnsi="Times New Roman" w:cs="Times New Roman"/>
          <w:sz w:val="24"/>
        </w:rPr>
      </w:pPr>
      <w:r>
        <w:rPr>
          <w:rFonts w:ascii="Times New Roman" w:hAnsi="Times New Roman"/>
          <w:sz w:val="24"/>
        </w:rPr>
        <w:t>Je m’engage à m’acquitter de mes responsabilités de manière impartiale et objective. Je déclare également ne pas me trouver, à ma connaissance, dans une situation susceptible de mettre en doute ma capacité à évaluer la ou les demandes.</w:t>
      </w:r>
    </w:p>
    <w:p w14:paraId="4ABD31FE" w14:textId="77777777" w:rsidR="00832F98" w:rsidRPr="005107DF" w:rsidRDefault="00832F98" w:rsidP="00CA6D80">
      <w:pPr>
        <w:autoSpaceDE w:val="0"/>
        <w:autoSpaceDN w:val="0"/>
        <w:adjustRightInd w:val="0"/>
        <w:spacing w:after="240" w:line="240" w:lineRule="auto"/>
        <w:jc w:val="both"/>
        <w:rPr>
          <w:rFonts w:ascii="Times New Roman" w:eastAsia="Times New Roman" w:hAnsi="Times New Roman" w:cs="Times New Roman"/>
          <w:sz w:val="24"/>
        </w:rPr>
      </w:pPr>
      <w:r>
        <w:rPr>
          <w:rFonts w:ascii="Times New Roman" w:hAnsi="Times New Roman"/>
          <w:sz w:val="24"/>
        </w:rPr>
        <w:t>Je m’engage à garder strictement confidentielles toutes les informations obtenues à la suite de ma participation au processus d’évaluation de l’appel susmentionné, ainsi que toutes les informations portant spécifiquement sur l’objet de cet appel.</w:t>
      </w:r>
    </w:p>
    <w:p w14:paraId="5733CA85" w14:textId="77777777" w:rsidR="00832F98" w:rsidRPr="005107DF" w:rsidRDefault="00832F98" w:rsidP="00CA6D80">
      <w:pPr>
        <w:autoSpaceDE w:val="0"/>
        <w:autoSpaceDN w:val="0"/>
        <w:adjustRightInd w:val="0"/>
        <w:spacing w:after="240" w:line="240" w:lineRule="auto"/>
        <w:jc w:val="both"/>
        <w:rPr>
          <w:rFonts w:ascii="Times New Roman" w:eastAsia="Times New Roman" w:hAnsi="Times New Roman" w:cs="Times New Roman"/>
          <w:sz w:val="24"/>
        </w:rPr>
      </w:pPr>
      <w:r>
        <w:rPr>
          <w:rFonts w:ascii="Times New Roman" w:hAnsi="Times New Roman"/>
          <w:sz w:val="24"/>
        </w:rPr>
        <w:lastRenderedPageBreak/>
        <w:t>Je m’engage à ne divulguer ces informations à aucune personne non autorisée à y accéder et à ne pas en discuter dans des lieux publics ou des lieux où d’autres personnes pourraient entendre.</w:t>
      </w:r>
    </w:p>
    <w:p w14:paraId="78ED23B5" w14:textId="77777777" w:rsidR="00832F98" w:rsidRPr="005107DF" w:rsidRDefault="00832F98" w:rsidP="00CA6D80">
      <w:pPr>
        <w:autoSpaceDE w:val="0"/>
        <w:autoSpaceDN w:val="0"/>
        <w:adjustRightInd w:val="0"/>
        <w:spacing w:after="240" w:line="240" w:lineRule="auto"/>
        <w:jc w:val="both"/>
        <w:rPr>
          <w:rFonts w:ascii="Times New Roman" w:eastAsia="Times New Roman" w:hAnsi="Times New Roman" w:cs="Times New Roman"/>
          <w:sz w:val="24"/>
        </w:rPr>
      </w:pPr>
      <w:r>
        <w:rPr>
          <w:rFonts w:ascii="Times New Roman" w:hAnsi="Times New Roman"/>
          <w:sz w:val="24"/>
        </w:rPr>
        <w:t>Je m’engage également à n’utiliser ces informations que dans le contexte de l’évaluation de l’appel en question et pour les besoins de celle-ci.</w:t>
      </w:r>
    </w:p>
    <w:p w14:paraId="3C7FDD53" w14:textId="77777777" w:rsidR="00832F98" w:rsidRPr="005107DF" w:rsidRDefault="00832F98" w:rsidP="00CA6D80">
      <w:pPr>
        <w:autoSpaceDE w:val="0"/>
        <w:autoSpaceDN w:val="0"/>
        <w:adjustRightInd w:val="0"/>
        <w:spacing w:after="240" w:line="240" w:lineRule="auto"/>
        <w:jc w:val="both"/>
        <w:rPr>
          <w:rFonts w:ascii="Times New Roman" w:eastAsia="Times New Roman" w:hAnsi="Times New Roman" w:cs="Times New Roman"/>
          <w:sz w:val="24"/>
        </w:rPr>
      </w:pPr>
      <w:r>
        <w:rPr>
          <w:rFonts w:ascii="Times New Roman" w:hAnsi="Times New Roman"/>
          <w:sz w:val="24"/>
        </w:rPr>
        <w:t>Une fois l’évaluation terminée, je m’engage à ne conserver aucune copie d’informations écrites, ni de modèles utilisés dans le cadre de mes fonctions.</w:t>
      </w:r>
    </w:p>
    <w:p w14:paraId="105A9BB0" w14:textId="77777777" w:rsidR="00832F98" w:rsidRPr="005107DF" w:rsidRDefault="00832F98" w:rsidP="00CA6D80">
      <w:pPr>
        <w:autoSpaceDE w:val="0"/>
        <w:autoSpaceDN w:val="0"/>
        <w:adjustRightInd w:val="0"/>
        <w:spacing w:after="240" w:line="240" w:lineRule="auto"/>
        <w:jc w:val="both"/>
        <w:rPr>
          <w:rFonts w:ascii="Times New Roman" w:eastAsia="Times New Roman" w:hAnsi="Times New Roman" w:cs="Times New Roman"/>
          <w:sz w:val="24"/>
        </w:rPr>
      </w:pPr>
      <w:r>
        <w:rPr>
          <w:rFonts w:ascii="Times New Roman" w:hAnsi="Times New Roman"/>
          <w:sz w:val="24"/>
        </w:rPr>
        <w:t>Je comprends que toute divulgation non autorisée d’informations de ma part mettra fin à mon rôle de membre du comité d’évaluation et peut également m’exposer à des poursuites judiciaires.</w:t>
      </w:r>
    </w:p>
    <w:p w14:paraId="7F135CF1" w14:textId="77777777" w:rsidR="00832F98" w:rsidRPr="005107DF" w:rsidRDefault="00832F98" w:rsidP="00CA6D80">
      <w:pPr>
        <w:autoSpaceDE w:val="0"/>
        <w:autoSpaceDN w:val="0"/>
        <w:adjustRightInd w:val="0"/>
        <w:spacing w:after="240" w:line="240" w:lineRule="auto"/>
        <w:jc w:val="both"/>
        <w:rPr>
          <w:rFonts w:ascii="Times New Roman" w:eastAsia="Times New Roman" w:hAnsi="Times New Roman" w:cs="Times New Roman"/>
          <w:sz w:val="24"/>
        </w:rPr>
      </w:pPr>
      <w:r>
        <w:rPr>
          <w:rFonts w:ascii="Times New Roman" w:hAnsi="Times New Roman"/>
          <w:sz w:val="24"/>
        </w:rPr>
        <w:t>Je m’engage à respecter ce devoir de confidentialité après la fin de mon mandat en tant que membre du comité d’évaluation.</w:t>
      </w:r>
    </w:p>
    <w:p w14:paraId="24E1779F" w14:textId="77777777" w:rsidR="00832F98" w:rsidRPr="005107DF" w:rsidRDefault="00832F98" w:rsidP="00CA6D80">
      <w:pPr>
        <w:autoSpaceDE w:val="0"/>
        <w:autoSpaceDN w:val="0"/>
        <w:adjustRightInd w:val="0"/>
        <w:spacing w:after="240" w:line="240" w:lineRule="auto"/>
        <w:jc w:val="both"/>
        <w:rPr>
          <w:rFonts w:ascii="Times New Roman" w:eastAsia="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2166"/>
        <w:gridCol w:w="2197"/>
        <w:gridCol w:w="2171"/>
      </w:tblGrid>
      <w:tr w:rsidR="00832F98" w:rsidRPr="005107DF" w14:paraId="5B75D0B0" w14:textId="77777777" w:rsidTr="00CA6D80">
        <w:tc>
          <w:tcPr>
            <w:tcW w:w="2145" w:type="dxa"/>
            <w:shd w:val="clear" w:color="auto" w:fill="auto"/>
          </w:tcPr>
          <w:p w14:paraId="78B6E227" w14:textId="77777777" w:rsidR="00832F98" w:rsidRPr="005107DF" w:rsidRDefault="00832F98" w:rsidP="00CA6D80">
            <w:pPr>
              <w:tabs>
                <w:tab w:val="left" w:pos="1701"/>
              </w:tabs>
              <w:spacing w:after="240" w:line="240" w:lineRule="auto"/>
              <w:jc w:val="center"/>
              <w:rPr>
                <w:rFonts w:ascii="Times New Roman" w:eastAsia="Times New Roman" w:hAnsi="Times New Roman" w:cs="Times New Roman"/>
                <w:sz w:val="24"/>
              </w:rPr>
            </w:pPr>
            <w:r>
              <w:rPr>
                <w:rFonts w:ascii="Times New Roman" w:hAnsi="Times New Roman"/>
                <w:sz w:val="24"/>
              </w:rPr>
              <w:t>Nom</w:t>
            </w:r>
          </w:p>
        </w:tc>
        <w:tc>
          <w:tcPr>
            <w:tcW w:w="2166" w:type="dxa"/>
            <w:shd w:val="clear" w:color="auto" w:fill="auto"/>
          </w:tcPr>
          <w:p w14:paraId="1B0EF8BE" w14:textId="77777777" w:rsidR="00832F98" w:rsidRPr="005107DF" w:rsidRDefault="00832F98" w:rsidP="00CA6D80">
            <w:pPr>
              <w:tabs>
                <w:tab w:val="left" w:pos="1701"/>
              </w:tabs>
              <w:spacing w:after="240" w:line="240" w:lineRule="auto"/>
              <w:jc w:val="center"/>
              <w:rPr>
                <w:rFonts w:ascii="Times New Roman" w:eastAsia="Times New Roman" w:hAnsi="Times New Roman" w:cs="Times New Roman"/>
                <w:sz w:val="24"/>
              </w:rPr>
            </w:pPr>
            <w:r>
              <w:rPr>
                <w:rFonts w:ascii="Times New Roman" w:hAnsi="Times New Roman"/>
                <w:sz w:val="24"/>
              </w:rPr>
              <w:t>Fonction</w:t>
            </w:r>
          </w:p>
        </w:tc>
        <w:tc>
          <w:tcPr>
            <w:tcW w:w="2197" w:type="dxa"/>
            <w:shd w:val="clear" w:color="auto" w:fill="auto"/>
          </w:tcPr>
          <w:p w14:paraId="28694D31" w14:textId="77777777" w:rsidR="00832F98" w:rsidRPr="005107DF" w:rsidRDefault="00832F98" w:rsidP="00CA6D80">
            <w:pPr>
              <w:tabs>
                <w:tab w:val="left" w:pos="1701"/>
              </w:tabs>
              <w:spacing w:after="240" w:line="240" w:lineRule="auto"/>
              <w:jc w:val="center"/>
              <w:rPr>
                <w:rFonts w:ascii="Times New Roman" w:eastAsia="Times New Roman" w:hAnsi="Times New Roman" w:cs="Times New Roman"/>
                <w:sz w:val="24"/>
              </w:rPr>
            </w:pPr>
            <w:r>
              <w:rPr>
                <w:rFonts w:ascii="Times New Roman" w:hAnsi="Times New Roman"/>
                <w:sz w:val="24"/>
              </w:rPr>
              <w:t>Représentant</w:t>
            </w:r>
          </w:p>
        </w:tc>
        <w:tc>
          <w:tcPr>
            <w:tcW w:w="2171" w:type="dxa"/>
            <w:shd w:val="clear" w:color="auto" w:fill="auto"/>
          </w:tcPr>
          <w:p w14:paraId="6AC3252B" w14:textId="77777777" w:rsidR="00832F98" w:rsidRPr="005107DF" w:rsidRDefault="00832F98" w:rsidP="00CA6D80">
            <w:pPr>
              <w:tabs>
                <w:tab w:val="left" w:pos="1701"/>
              </w:tabs>
              <w:spacing w:after="240" w:line="240" w:lineRule="auto"/>
              <w:jc w:val="center"/>
              <w:rPr>
                <w:rFonts w:ascii="Times New Roman" w:eastAsia="Times New Roman" w:hAnsi="Times New Roman" w:cs="Times New Roman"/>
                <w:sz w:val="24"/>
              </w:rPr>
            </w:pPr>
            <w:r>
              <w:rPr>
                <w:rFonts w:ascii="Times New Roman" w:hAnsi="Times New Roman"/>
                <w:sz w:val="24"/>
              </w:rPr>
              <w:t>Signature</w:t>
            </w:r>
          </w:p>
        </w:tc>
      </w:tr>
      <w:tr w:rsidR="00832F98" w:rsidRPr="005107DF" w14:paraId="69D0A70F" w14:textId="77777777" w:rsidTr="00CA6D80">
        <w:tc>
          <w:tcPr>
            <w:tcW w:w="2145" w:type="dxa"/>
            <w:shd w:val="clear" w:color="auto" w:fill="auto"/>
          </w:tcPr>
          <w:p w14:paraId="51D3E99F"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c>
          <w:tcPr>
            <w:tcW w:w="2166" w:type="dxa"/>
            <w:shd w:val="clear" w:color="auto" w:fill="auto"/>
          </w:tcPr>
          <w:p w14:paraId="49B65200"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c>
          <w:tcPr>
            <w:tcW w:w="2197" w:type="dxa"/>
            <w:shd w:val="clear" w:color="auto" w:fill="auto"/>
          </w:tcPr>
          <w:p w14:paraId="7274B0A6"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c>
          <w:tcPr>
            <w:tcW w:w="2171" w:type="dxa"/>
            <w:shd w:val="clear" w:color="auto" w:fill="auto"/>
          </w:tcPr>
          <w:p w14:paraId="01A9CAAB"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r>
      <w:tr w:rsidR="00832F98" w:rsidRPr="005107DF" w14:paraId="7B0BAAD2" w14:textId="77777777" w:rsidTr="00CA6D80">
        <w:tc>
          <w:tcPr>
            <w:tcW w:w="2145" w:type="dxa"/>
            <w:shd w:val="clear" w:color="auto" w:fill="auto"/>
          </w:tcPr>
          <w:p w14:paraId="04A5D959"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c>
          <w:tcPr>
            <w:tcW w:w="2166" w:type="dxa"/>
            <w:shd w:val="clear" w:color="auto" w:fill="auto"/>
          </w:tcPr>
          <w:p w14:paraId="698FE3AD"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c>
          <w:tcPr>
            <w:tcW w:w="2197" w:type="dxa"/>
            <w:shd w:val="clear" w:color="auto" w:fill="auto"/>
          </w:tcPr>
          <w:p w14:paraId="501E5477"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c>
          <w:tcPr>
            <w:tcW w:w="2171" w:type="dxa"/>
            <w:shd w:val="clear" w:color="auto" w:fill="auto"/>
          </w:tcPr>
          <w:p w14:paraId="369B334C"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r>
      <w:tr w:rsidR="00832F98" w:rsidRPr="005107DF" w14:paraId="6C11E577" w14:textId="77777777" w:rsidTr="00CA6D80">
        <w:tc>
          <w:tcPr>
            <w:tcW w:w="2145" w:type="dxa"/>
            <w:shd w:val="clear" w:color="auto" w:fill="auto"/>
          </w:tcPr>
          <w:p w14:paraId="09A52DAF"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c>
          <w:tcPr>
            <w:tcW w:w="2166" w:type="dxa"/>
            <w:shd w:val="clear" w:color="auto" w:fill="auto"/>
          </w:tcPr>
          <w:p w14:paraId="20D63B90"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c>
          <w:tcPr>
            <w:tcW w:w="2197" w:type="dxa"/>
            <w:shd w:val="clear" w:color="auto" w:fill="auto"/>
          </w:tcPr>
          <w:p w14:paraId="55B7C480"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c>
          <w:tcPr>
            <w:tcW w:w="2171" w:type="dxa"/>
            <w:shd w:val="clear" w:color="auto" w:fill="auto"/>
          </w:tcPr>
          <w:p w14:paraId="05FA3D64"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r>
    </w:tbl>
    <w:p w14:paraId="059CF2A8" w14:textId="77777777" w:rsidR="00832F98" w:rsidRPr="005107DF" w:rsidRDefault="00832F98" w:rsidP="00CA6D80">
      <w:pPr>
        <w:tabs>
          <w:tab w:val="left" w:pos="1701"/>
        </w:tabs>
        <w:spacing w:before="600" w:after="240" w:line="240" w:lineRule="auto"/>
        <w:rPr>
          <w:rFonts w:ascii="Times New Roman" w:eastAsia="Times New Roman" w:hAnsi="Times New Roman" w:cs="Times New Roman"/>
          <w:sz w:val="24"/>
        </w:rPr>
      </w:pPr>
      <w:r>
        <w:rPr>
          <w:rFonts w:ascii="Times New Roman" w:hAnsi="Times New Roman"/>
          <w:sz w:val="24"/>
        </w:rPr>
        <w:t>Fait à……………… …………………….le …………………………………</w:t>
      </w:r>
    </w:p>
    <w:p w14:paraId="7115C436" w14:textId="77777777" w:rsidR="00832F98" w:rsidRPr="005107DF" w:rsidRDefault="00832F98">
      <w:pPr>
        <w:rPr>
          <w:rFonts w:ascii="Times New Roman" w:eastAsia="Times New Roman" w:hAnsi="Times New Roman" w:cs="Times New Roman"/>
          <w:sz w:val="24"/>
          <w:szCs w:val="24"/>
        </w:rPr>
      </w:pPr>
    </w:p>
    <w:p w14:paraId="6B1539C2" w14:textId="77777777" w:rsidR="00832F98" w:rsidRPr="005107DF" w:rsidRDefault="00832F98">
      <w:pPr>
        <w:rPr>
          <w:rFonts w:ascii="Times New Roman" w:eastAsia="Times New Roman" w:hAnsi="Times New Roman" w:cs="Times New Roman"/>
          <w:sz w:val="24"/>
          <w:szCs w:val="24"/>
        </w:rPr>
      </w:pPr>
    </w:p>
    <w:p w14:paraId="2855C848" w14:textId="77777777" w:rsidR="00832F98" w:rsidRPr="005107DF" w:rsidRDefault="00832F98">
      <w:pPr>
        <w:rPr>
          <w:rFonts w:ascii="Times New Roman" w:eastAsia="Times New Roman" w:hAnsi="Times New Roman" w:cs="Times New Roman"/>
          <w:sz w:val="24"/>
          <w:szCs w:val="24"/>
        </w:rPr>
      </w:pPr>
    </w:p>
    <w:p w14:paraId="7DF12EEB" w14:textId="77777777" w:rsidR="00832F98" w:rsidRPr="005107DF" w:rsidRDefault="00832F98">
      <w:pPr>
        <w:rPr>
          <w:rFonts w:ascii="Times New Roman" w:eastAsia="Times New Roman" w:hAnsi="Times New Roman" w:cs="Times New Roman"/>
          <w:sz w:val="24"/>
          <w:szCs w:val="24"/>
        </w:rPr>
      </w:pPr>
    </w:p>
    <w:p w14:paraId="28A1F97D" w14:textId="77777777" w:rsidR="00832F98" w:rsidRPr="005107DF" w:rsidRDefault="00832F98">
      <w:pPr>
        <w:rPr>
          <w:rFonts w:ascii="Times New Roman" w:eastAsia="Times New Roman" w:hAnsi="Times New Roman" w:cs="Times New Roman"/>
          <w:sz w:val="24"/>
          <w:szCs w:val="24"/>
        </w:rPr>
      </w:pPr>
    </w:p>
    <w:p w14:paraId="68ECFDA9" w14:textId="77777777" w:rsidR="00832F98" w:rsidRPr="005107DF" w:rsidRDefault="00832F98">
      <w:pPr>
        <w:rPr>
          <w:rFonts w:ascii="Times New Roman" w:eastAsia="Times New Roman" w:hAnsi="Times New Roman" w:cs="Times New Roman"/>
          <w:sz w:val="24"/>
          <w:szCs w:val="24"/>
        </w:rPr>
      </w:pPr>
    </w:p>
    <w:p w14:paraId="66CC20A6" w14:textId="77777777" w:rsidR="00832F98" w:rsidRPr="005107DF" w:rsidRDefault="00832F98">
      <w:pPr>
        <w:rPr>
          <w:rFonts w:ascii="Times New Roman" w:eastAsia="Times New Roman" w:hAnsi="Times New Roman" w:cs="Times New Roman"/>
          <w:sz w:val="24"/>
          <w:szCs w:val="24"/>
        </w:rPr>
      </w:pPr>
    </w:p>
    <w:p w14:paraId="400D5B7E" w14:textId="77777777" w:rsidR="00832F98" w:rsidRPr="005107DF" w:rsidRDefault="00832F98">
      <w:pPr>
        <w:rPr>
          <w:rFonts w:ascii="Times New Roman" w:eastAsia="Times New Roman" w:hAnsi="Times New Roman" w:cs="Times New Roman"/>
          <w:sz w:val="24"/>
          <w:szCs w:val="24"/>
        </w:rPr>
      </w:pPr>
    </w:p>
    <w:p w14:paraId="5B7BCCC9" w14:textId="77777777" w:rsidR="00832F98" w:rsidRPr="005107DF" w:rsidRDefault="00832F98">
      <w:pPr>
        <w:rPr>
          <w:rFonts w:ascii="Times New Roman" w:eastAsia="Times New Roman" w:hAnsi="Times New Roman" w:cs="Times New Roman"/>
          <w:sz w:val="24"/>
          <w:szCs w:val="24"/>
        </w:rPr>
      </w:pPr>
    </w:p>
    <w:p w14:paraId="376C16F5" w14:textId="77777777" w:rsidR="00832F98" w:rsidRPr="005107DF" w:rsidRDefault="00832F98">
      <w:pPr>
        <w:rPr>
          <w:rFonts w:ascii="Times New Roman" w:eastAsia="Times New Roman" w:hAnsi="Times New Roman" w:cs="Times New Roman"/>
          <w:sz w:val="24"/>
          <w:szCs w:val="24"/>
        </w:rPr>
      </w:pPr>
    </w:p>
    <w:p w14:paraId="48B989F9" w14:textId="77777777" w:rsidR="00832F98" w:rsidRPr="005107DF" w:rsidRDefault="00832F98">
      <w:pPr>
        <w:rPr>
          <w:rFonts w:ascii="Times New Roman" w:eastAsia="Times New Roman" w:hAnsi="Times New Roman" w:cs="Times New Roman"/>
          <w:sz w:val="24"/>
          <w:szCs w:val="24"/>
        </w:rPr>
      </w:pPr>
    </w:p>
    <w:p w14:paraId="10EEEE8D" w14:textId="77777777" w:rsidR="00832F98" w:rsidRPr="005107DF" w:rsidRDefault="00832F98">
      <w:pPr>
        <w:rPr>
          <w:rFonts w:ascii="Times New Roman" w:eastAsia="Times New Roman" w:hAnsi="Times New Roman" w:cs="Times New Roman"/>
          <w:sz w:val="24"/>
          <w:szCs w:val="24"/>
        </w:rPr>
      </w:pPr>
    </w:p>
    <w:p w14:paraId="39424993"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rFonts w:eastAsia="Times New Roman"/>
          <w:sz w:val="32"/>
          <w:szCs w:val="32"/>
        </w:rPr>
      </w:pPr>
      <w:bookmarkStart w:id="1665" w:name="_Toc517434509"/>
      <w:bookmarkStart w:id="1666" w:name="_Toc2861075"/>
      <w:r>
        <w:rPr>
          <w:sz w:val="32"/>
        </w:rPr>
        <w:lastRenderedPageBreak/>
        <w:t>ANNEXE C</w:t>
      </w:r>
      <w:r w:rsidRPr="00452C1A">
        <w:rPr>
          <w:sz w:val="32"/>
        </w:rPr>
        <w:t>19</w:t>
      </w:r>
      <w:r>
        <w:rPr>
          <w:sz w:val="32"/>
        </w:rPr>
        <w:t>: Modèle de plan de communication et de visibilité</w:t>
      </w:r>
      <w:bookmarkEnd w:id="1665"/>
      <w:bookmarkEnd w:id="1666"/>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32F98" w:rsidRPr="005107DF" w14:paraId="00742610" w14:textId="77777777" w:rsidTr="007338F0">
        <w:tc>
          <w:tcPr>
            <w:tcW w:w="9322" w:type="dxa"/>
            <w:shd w:val="clear" w:color="auto" w:fill="D9D9D9"/>
          </w:tcPr>
          <w:p w14:paraId="3F0D68A4" w14:textId="77777777" w:rsidR="00832F98" w:rsidRPr="005107DF" w:rsidRDefault="00832F98" w:rsidP="007338F0">
            <w:pPr>
              <w:jc w:val="center"/>
              <w:rPr>
                <w:rFonts w:ascii="Times New Roman" w:eastAsia="Calibri" w:hAnsi="Times New Roman" w:cs="Times New Roman"/>
                <w:b/>
                <w:color w:val="000000"/>
                <w:sz w:val="32"/>
                <w:szCs w:val="32"/>
              </w:rPr>
            </w:pPr>
            <w:r>
              <w:rPr>
                <w:rFonts w:ascii="Times New Roman" w:hAnsi="Times New Roman"/>
                <w:b/>
                <w:color w:val="000000"/>
                <w:kern w:val="28"/>
                <w:sz w:val="32"/>
              </w:rPr>
              <w:t>Modèle de plan de communication et de visibilité</w:t>
            </w:r>
            <w:r>
              <w:rPr>
                <w:rFonts w:ascii="Times New Roman" w:hAnsi="Times New Roman"/>
                <w:b/>
                <w:color w:val="000000"/>
                <w:kern w:val="28"/>
                <w:sz w:val="32"/>
                <w:vertAlign w:val="superscript"/>
              </w:rPr>
              <w:footnoteReference w:id="60"/>
            </w:r>
          </w:p>
        </w:tc>
      </w:tr>
      <w:tr w:rsidR="00832F98" w:rsidRPr="005107DF" w14:paraId="1FF4B14E" w14:textId="77777777" w:rsidTr="007338F0">
        <w:tc>
          <w:tcPr>
            <w:tcW w:w="9322" w:type="dxa"/>
            <w:shd w:val="clear" w:color="auto" w:fill="auto"/>
          </w:tcPr>
          <w:p w14:paraId="02E4D60F" w14:textId="77777777" w:rsidR="00832F98" w:rsidRPr="005107DF" w:rsidRDefault="00832F98" w:rsidP="00453D76">
            <w:pPr>
              <w:jc w:val="both"/>
              <w:rPr>
                <w:rFonts w:ascii="Times New Roman" w:eastAsia="Calibri" w:hAnsi="Times New Roman" w:cs="Times New Roman"/>
                <w:b/>
                <w:color w:val="000000"/>
              </w:rPr>
            </w:pPr>
            <w:r>
              <w:rPr>
                <w:rFonts w:ascii="Times New Roman" w:hAnsi="Times New Roman"/>
                <w:b/>
                <w:color w:val="000000"/>
              </w:rPr>
              <w:t xml:space="preserve">Intitulé du projet: </w:t>
            </w:r>
          </w:p>
        </w:tc>
      </w:tr>
      <w:tr w:rsidR="00832F98" w:rsidRPr="005107DF" w14:paraId="5E7EA68E" w14:textId="77777777" w:rsidTr="007338F0">
        <w:tc>
          <w:tcPr>
            <w:tcW w:w="9322" w:type="dxa"/>
            <w:shd w:val="clear" w:color="auto" w:fill="auto"/>
          </w:tcPr>
          <w:p w14:paraId="0942B0A0" w14:textId="77777777" w:rsidR="00832F98" w:rsidRPr="005107DF" w:rsidRDefault="00832F98" w:rsidP="00453D76">
            <w:pPr>
              <w:jc w:val="both"/>
              <w:rPr>
                <w:rFonts w:ascii="Times New Roman" w:eastAsia="Calibri" w:hAnsi="Times New Roman" w:cs="Times New Roman"/>
                <w:b/>
                <w:color w:val="000000"/>
              </w:rPr>
            </w:pPr>
            <w:r>
              <w:rPr>
                <w:rFonts w:ascii="Times New Roman" w:hAnsi="Times New Roman"/>
                <w:b/>
                <w:color w:val="000000"/>
              </w:rPr>
              <w:t>Secteur:</w:t>
            </w:r>
          </w:p>
        </w:tc>
      </w:tr>
      <w:tr w:rsidR="00832F98" w:rsidRPr="005107DF" w14:paraId="084D4314" w14:textId="77777777" w:rsidTr="007338F0">
        <w:tc>
          <w:tcPr>
            <w:tcW w:w="9322" w:type="dxa"/>
            <w:shd w:val="clear" w:color="auto" w:fill="auto"/>
          </w:tcPr>
          <w:p w14:paraId="3BC86F2A" w14:textId="77777777" w:rsidR="00832F98" w:rsidRPr="005107DF" w:rsidRDefault="00832F98" w:rsidP="00453D76">
            <w:pPr>
              <w:jc w:val="both"/>
              <w:rPr>
                <w:rFonts w:ascii="Times New Roman" w:eastAsia="Calibri" w:hAnsi="Times New Roman" w:cs="Times New Roman"/>
                <w:b/>
                <w:color w:val="000000"/>
              </w:rPr>
            </w:pPr>
            <w:r>
              <w:rPr>
                <w:rFonts w:ascii="Times New Roman" w:hAnsi="Times New Roman"/>
                <w:b/>
                <w:color w:val="000000"/>
              </w:rPr>
              <w:t>Participation aux réseaux sur place (le cas échéant)</w:t>
            </w:r>
          </w:p>
          <w:p w14:paraId="135D6AB0"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Groupe(s) de coordination des donateurs concerné(s):</w:t>
            </w:r>
          </w:p>
          <w:p w14:paraId="01D29FE8"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Calibri" w:hAnsi="Times New Roman" w:cs="Times New Roman"/>
                <w:color w:val="000000"/>
              </w:rPr>
            </w:pPr>
            <w:r>
              <w:rPr>
                <w:rFonts w:ascii="Times New Roman" w:hAnsi="Times New Roman"/>
                <w:color w:val="000000"/>
              </w:rPr>
              <w:t>Groupe(s) de travail sectoriel(s) concerné(s):</w:t>
            </w:r>
          </w:p>
        </w:tc>
      </w:tr>
      <w:tr w:rsidR="00832F98" w:rsidRPr="005107DF" w14:paraId="73AB4241" w14:textId="77777777" w:rsidTr="007338F0">
        <w:tc>
          <w:tcPr>
            <w:tcW w:w="9322" w:type="dxa"/>
            <w:shd w:val="clear" w:color="auto" w:fill="auto"/>
          </w:tcPr>
          <w:p w14:paraId="171307CC" w14:textId="77777777" w:rsidR="00832F98" w:rsidRPr="005107DF" w:rsidRDefault="00832F98" w:rsidP="00453D76">
            <w:pPr>
              <w:spacing w:after="0"/>
              <w:jc w:val="both"/>
              <w:rPr>
                <w:rFonts w:ascii="Times New Roman" w:eastAsia="Times New Roman" w:hAnsi="Times New Roman" w:cs="Times New Roman"/>
                <w:color w:val="000000"/>
              </w:rPr>
            </w:pPr>
            <w:r>
              <w:rPr>
                <w:rFonts w:ascii="Times New Roman" w:hAnsi="Times New Roman"/>
                <w:b/>
                <w:color w:val="000000"/>
              </w:rPr>
              <w:t>Des réunions de dialogue politique</w:t>
            </w:r>
            <w:r>
              <w:rPr>
                <w:rFonts w:ascii="Times New Roman" w:hAnsi="Times New Roman"/>
                <w:color w:val="000000"/>
              </w:rPr>
              <w:t xml:space="preserve">  (y compris des sous-comités, etc.) sont prévues pour: </w:t>
            </w:r>
          </w:p>
          <w:p w14:paraId="501EEA0D" w14:textId="77777777" w:rsidR="00832F98" w:rsidRPr="005107DF" w:rsidRDefault="00832F98" w:rsidP="00453D76">
            <w:pPr>
              <w:spacing w:after="0"/>
              <w:jc w:val="both"/>
              <w:rPr>
                <w:rFonts w:ascii="Times New Roman" w:eastAsia="Times New Roman" w:hAnsi="Times New Roman" w:cs="Times New Roman"/>
                <w:color w:val="000000"/>
              </w:rPr>
            </w:pPr>
          </w:p>
          <w:p w14:paraId="4D05D438" w14:textId="77777777" w:rsidR="00832F98" w:rsidRPr="005107DF" w:rsidRDefault="00832F98" w:rsidP="00453D76">
            <w:pPr>
              <w:spacing w:after="0"/>
              <w:jc w:val="both"/>
              <w:rPr>
                <w:rFonts w:ascii="Times New Roman" w:eastAsia="Times New Roman" w:hAnsi="Times New Roman" w:cs="Times New Roman"/>
                <w:color w:val="000000"/>
              </w:rPr>
            </w:pPr>
            <w:r>
              <w:rPr>
                <w:rFonts w:ascii="Times New Roman" w:hAnsi="Times New Roman"/>
                <w:color w:val="000000"/>
              </w:rPr>
              <w:t>&lt;préciser&gt;</w:t>
            </w:r>
          </w:p>
        </w:tc>
      </w:tr>
      <w:tr w:rsidR="00832F98" w:rsidRPr="005107DF" w14:paraId="517FA0BE" w14:textId="77777777" w:rsidTr="007338F0">
        <w:tc>
          <w:tcPr>
            <w:tcW w:w="9322" w:type="dxa"/>
            <w:shd w:val="clear" w:color="auto" w:fill="D9D9D9"/>
          </w:tcPr>
          <w:p w14:paraId="0C19B69F" w14:textId="77777777" w:rsidR="00832F98" w:rsidRPr="005107DF" w:rsidRDefault="00832F98" w:rsidP="00453D76">
            <w:pPr>
              <w:jc w:val="center"/>
              <w:rPr>
                <w:rFonts w:ascii="Times New Roman" w:eastAsia="Calibri" w:hAnsi="Times New Roman" w:cs="Times New Roman"/>
                <w:b/>
                <w:color w:val="000000"/>
                <w:sz w:val="28"/>
                <w:szCs w:val="28"/>
              </w:rPr>
            </w:pPr>
            <w:r>
              <w:rPr>
                <w:rFonts w:ascii="Times New Roman" w:hAnsi="Times New Roman"/>
                <w:b/>
                <w:color w:val="000000"/>
                <w:sz w:val="28"/>
              </w:rPr>
              <w:t>Stratégie générale de communication</w:t>
            </w:r>
          </w:p>
        </w:tc>
      </w:tr>
      <w:tr w:rsidR="00832F98" w:rsidRPr="005107DF" w14:paraId="310D8154" w14:textId="77777777" w:rsidTr="007338F0">
        <w:tc>
          <w:tcPr>
            <w:tcW w:w="9322" w:type="dxa"/>
            <w:shd w:val="clear" w:color="auto" w:fill="D9D9D9"/>
          </w:tcPr>
          <w:p w14:paraId="28466E98" w14:textId="77777777" w:rsidR="00832F98" w:rsidRPr="005107DF" w:rsidRDefault="00832F98" w:rsidP="00453D76">
            <w:pPr>
              <w:jc w:val="center"/>
              <w:rPr>
                <w:rFonts w:ascii="Times New Roman" w:eastAsia="Calibri" w:hAnsi="Times New Roman" w:cs="Times New Roman"/>
                <w:b/>
                <w:color w:val="000000"/>
              </w:rPr>
            </w:pPr>
            <w:r>
              <w:rPr>
                <w:rFonts w:ascii="Times New Roman" w:hAnsi="Times New Roman"/>
                <w:b/>
                <w:color w:val="000000"/>
              </w:rPr>
              <w:t>Objectifs</w:t>
            </w:r>
          </w:p>
        </w:tc>
      </w:tr>
      <w:tr w:rsidR="00832F98" w:rsidRPr="005107DF" w14:paraId="278350C9" w14:textId="77777777" w:rsidTr="007338F0">
        <w:tc>
          <w:tcPr>
            <w:tcW w:w="9322" w:type="dxa"/>
            <w:shd w:val="clear" w:color="auto" w:fill="auto"/>
          </w:tcPr>
          <w:p w14:paraId="6E2751A0" w14:textId="77777777" w:rsidR="00832F98" w:rsidRPr="005107DF" w:rsidRDefault="00832F98"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rPr>
            </w:pPr>
            <w:r>
              <w:rPr>
                <w:rFonts w:ascii="Times New Roman" w:hAnsi="Times New Roman"/>
                <w:b/>
                <w:color w:val="000000"/>
              </w:rPr>
              <w:t>Objectifs généraux en matière de communication</w:t>
            </w:r>
          </w:p>
          <w:p w14:paraId="7573465B" w14:textId="77777777" w:rsidR="00832F98" w:rsidRPr="005107DF" w:rsidRDefault="00832F98" w:rsidP="00453D76">
            <w:pPr>
              <w:widowControl w:val="0"/>
              <w:autoSpaceDE w:val="0"/>
              <w:autoSpaceDN w:val="0"/>
              <w:adjustRightInd w:val="0"/>
              <w:spacing w:after="0"/>
              <w:ind w:left="460"/>
              <w:jc w:val="both"/>
              <w:rPr>
                <w:rFonts w:ascii="Times New Roman" w:eastAsia="Times New Roman" w:hAnsi="Times New Roman" w:cs="Times New Roman"/>
                <w:color w:val="000000"/>
              </w:rPr>
            </w:pPr>
          </w:p>
          <w:p w14:paraId="625F0C2A"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 xml:space="preserve">Les messages clés de l’UE relatifs au domaine/secteur d’intervention/à l’objectif global se trouvent: </w:t>
            </w:r>
          </w:p>
          <w:p w14:paraId="736291E1" w14:textId="77777777" w:rsidR="00832F98" w:rsidRPr="005107DF" w:rsidRDefault="00832F98"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rPr>
            </w:pPr>
            <w:r>
              <w:rPr>
                <w:rFonts w:ascii="Times New Roman" w:hAnsi="Times New Roman"/>
                <w:color w:val="000000"/>
              </w:rPr>
              <w:t>&lt;préciser&gt;</w:t>
            </w:r>
          </w:p>
        </w:tc>
      </w:tr>
      <w:tr w:rsidR="00832F98" w:rsidRPr="005107DF" w14:paraId="1349AFD0" w14:textId="77777777" w:rsidTr="007338F0">
        <w:tc>
          <w:tcPr>
            <w:tcW w:w="9322" w:type="dxa"/>
            <w:shd w:val="clear" w:color="auto" w:fill="auto"/>
          </w:tcPr>
          <w:p w14:paraId="73BF0629" w14:textId="77777777" w:rsidR="00832F98" w:rsidRPr="005107DF" w:rsidRDefault="00832F98"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rPr>
            </w:pPr>
            <w:r>
              <w:rPr>
                <w:rFonts w:ascii="Times New Roman" w:hAnsi="Times New Roman"/>
                <w:b/>
                <w:color w:val="000000"/>
              </w:rPr>
              <w:t xml:space="preserve">Groupes cibles </w:t>
            </w:r>
          </w:p>
          <w:p w14:paraId="025C3641"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p>
          <w:p w14:paraId="269A09B2"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Dans le ou les pays où l’action est mise en œuvre</w:t>
            </w:r>
          </w:p>
          <w:p w14:paraId="7E72C056"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 xml:space="preserve">Dans l’UE (le cas échéant). </w:t>
            </w:r>
          </w:p>
        </w:tc>
      </w:tr>
      <w:tr w:rsidR="00832F98" w:rsidRPr="005107DF" w14:paraId="04853839" w14:textId="77777777" w:rsidTr="007338F0">
        <w:tc>
          <w:tcPr>
            <w:tcW w:w="9322" w:type="dxa"/>
            <w:shd w:val="clear" w:color="auto" w:fill="auto"/>
          </w:tcPr>
          <w:p w14:paraId="0CEA68C0" w14:textId="77777777" w:rsidR="00832F98" w:rsidRPr="005107DF" w:rsidRDefault="00832F98"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rPr>
            </w:pPr>
            <w:r>
              <w:rPr>
                <w:rFonts w:ascii="Times New Roman" w:hAnsi="Times New Roman"/>
                <w:b/>
                <w:color w:val="000000"/>
              </w:rPr>
              <w:t>Objectifs spécifiques pour chaque groupe cible</w:t>
            </w:r>
            <w:r>
              <w:rPr>
                <w:rFonts w:ascii="Times New Roman" w:hAnsi="Times New Roman"/>
                <w:color w:val="000000"/>
              </w:rPr>
              <w:t xml:space="preserve">, en rapport avec les objectifs de l’action et les phases du cycle de projet </w:t>
            </w:r>
          </w:p>
          <w:p w14:paraId="17C14B58" w14:textId="77777777" w:rsidR="00832F98" w:rsidRPr="005107DF" w:rsidRDefault="00832F98" w:rsidP="00453D76">
            <w:pPr>
              <w:widowControl w:val="0"/>
              <w:overflowPunct w:val="0"/>
              <w:autoSpaceDE w:val="0"/>
              <w:autoSpaceDN w:val="0"/>
              <w:adjustRightInd w:val="0"/>
              <w:spacing w:after="0"/>
              <w:ind w:left="820"/>
              <w:jc w:val="both"/>
              <w:rPr>
                <w:rFonts w:ascii="Times New Roman" w:eastAsia="Times New Roman" w:hAnsi="Times New Roman" w:cs="Times New Roman"/>
                <w:b/>
                <w:color w:val="000000"/>
              </w:rPr>
            </w:pPr>
          </w:p>
          <w:p w14:paraId="6D742E48"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r>
              <w:rPr>
                <w:rFonts w:ascii="Times New Roman" w:hAnsi="Times New Roman"/>
                <w:color w:val="000000"/>
              </w:rPr>
              <w:t>Exemples d’objectifs en matière de communication:</w:t>
            </w:r>
          </w:p>
          <w:p w14:paraId="1D206CA8"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 xml:space="preserve">veiller à ce que la population bénéficiaire ait connaissance du partenaire et du rôle joué par l’UE dans l’activité; </w:t>
            </w:r>
          </w:p>
          <w:p w14:paraId="7FF51D1A"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 xml:space="preserve">sensibiliser la population du pays d’accueil ou d’Europe aux rôles du partenaire et de l’UE pour ce qui est de fournir l’aide dans un contexte particulier; </w:t>
            </w:r>
          </w:p>
          <w:p w14:paraId="796A77DC"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sensibiliser l’opinion à la manière dont l’UE et le partenaire travaillent ensemble pour soutenir l’éducation, la santé, l’environnement, etc.</w:t>
            </w:r>
          </w:p>
        </w:tc>
      </w:tr>
      <w:tr w:rsidR="00832F98" w:rsidRPr="005107DF" w14:paraId="48BF516F" w14:textId="77777777" w:rsidTr="007338F0">
        <w:tc>
          <w:tcPr>
            <w:tcW w:w="9322" w:type="dxa"/>
            <w:shd w:val="clear" w:color="auto" w:fill="D9D9D9"/>
          </w:tcPr>
          <w:p w14:paraId="05CA9B95" w14:textId="77777777" w:rsidR="00832F98" w:rsidRPr="005107DF" w:rsidRDefault="00832F98" w:rsidP="00453D76">
            <w:pPr>
              <w:jc w:val="center"/>
              <w:rPr>
                <w:rFonts w:ascii="Times New Roman" w:eastAsia="Calibri" w:hAnsi="Times New Roman" w:cs="Times New Roman"/>
                <w:b/>
                <w:color w:val="000000"/>
                <w:sz w:val="28"/>
                <w:szCs w:val="28"/>
              </w:rPr>
            </w:pPr>
            <w:r>
              <w:rPr>
                <w:rFonts w:ascii="Times New Roman" w:hAnsi="Times New Roman"/>
                <w:b/>
                <w:color w:val="000000"/>
                <w:sz w:val="28"/>
              </w:rPr>
              <w:t>Activités et outils de communication</w:t>
            </w:r>
          </w:p>
        </w:tc>
      </w:tr>
      <w:tr w:rsidR="00832F98" w:rsidRPr="005107DF" w14:paraId="688E77FD" w14:textId="77777777" w:rsidTr="007338F0">
        <w:tc>
          <w:tcPr>
            <w:tcW w:w="9322" w:type="dxa"/>
            <w:shd w:val="clear" w:color="auto" w:fill="auto"/>
          </w:tcPr>
          <w:p w14:paraId="6EA3F2E7" w14:textId="77777777" w:rsidR="00832F98" w:rsidRPr="005107DF" w:rsidRDefault="00832F98" w:rsidP="00453D76">
            <w:pPr>
              <w:widowControl w:val="0"/>
              <w:numPr>
                <w:ilvl w:val="0"/>
                <w:numId w:val="253"/>
              </w:numPr>
              <w:tabs>
                <w:tab w:val="num" w:pos="820"/>
              </w:tabs>
              <w:autoSpaceDE w:val="0"/>
              <w:autoSpaceDN w:val="0"/>
              <w:adjustRightInd w:val="0"/>
              <w:spacing w:after="0" w:line="240" w:lineRule="auto"/>
              <w:jc w:val="both"/>
              <w:rPr>
                <w:rFonts w:ascii="Times New Roman" w:eastAsia="Times New Roman" w:hAnsi="Times New Roman" w:cs="Times New Roman"/>
                <w:b/>
                <w:color w:val="000000"/>
              </w:rPr>
            </w:pPr>
            <w:r>
              <w:rPr>
                <w:rFonts w:ascii="Times New Roman" w:hAnsi="Times New Roman"/>
                <w:b/>
                <w:color w:val="000000"/>
              </w:rPr>
              <w:t>Principales activités</w:t>
            </w:r>
            <w:r>
              <w:rPr>
                <w:rFonts w:ascii="Times New Roman" w:hAnsi="Times New Roman"/>
                <w:color w:val="000000"/>
              </w:rPr>
              <w:t xml:space="preserve"> qui seront réalisées durant la période couverte par le plan.</w:t>
            </w:r>
            <w:r>
              <w:rPr>
                <w:rFonts w:ascii="Times New Roman" w:hAnsi="Times New Roman"/>
                <w:b/>
                <w:color w:val="000000"/>
              </w:rPr>
              <w:t xml:space="preserve"> </w:t>
            </w:r>
            <w:r>
              <w:rPr>
                <w:rFonts w:ascii="Times New Roman" w:hAnsi="Times New Roman"/>
                <w:color w:val="000000"/>
              </w:rPr>
              <w:t xml:space="preserve">Précisez: </w:t>
            </w:r>
          </w:p>
          <w:p w14:paraId="22AA711F"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p>
          <w:p w14:paraId="7FC266A2"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 xml:space="preserve">la nature des activités; </w:t>
            </w:r>
          </w:p>
          <w:p w14:paraId="5FE853C7"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 xml:space="preserve">les responsabilités quant à leur mise en œuvre. </w:t>
            </w:r>
          </w:p>
          <w:p w14:paraId="6EE2EE1B"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r>
              <w:rPr>
                <w:rFonts w:ascii="Times New Roman" w:hAnsi="Times New Roman"/>
                <w:color w:val="000000"/>
              </w:rPr>
              <w:t>Exemples d’activités de communication:</w:t>
            </w:r>
          </w:p>
          <w:p w14:paraId="12D56278"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b/>
                <w:color w:val="000000"/>
              </w:rPr>
              <w:t>Présentations à la direction et au personnel des délégations de l’UE et des pays partenaires</w:t>
            </w:r>
            <w:r>
              <w:rPr>
                <w:rFonts w:ascii="Times New Roman" w:hAnsi="Times New Roman"/>
                <w:color w:val="000000"/>
              </w:rPr>
              <w:t xml:space="preserve"> prévues pour:</w:t>
            </w:r>
          </w:p>
          <w:p w14:paraId="1F2F555C" w14:textId="77777777" w:rsidR="00832F98" w:rsidRPr="005107DF" w:rsidRDefault="00832F98" w:rsidP="00453D76">
            <w:pPr>
              <w:numPr>
                <w:ilvl w:val="0"/>
                <w:numId w:val="252"/>
              </w:numPr>
              <w:spacing w:after="0" w:line="240" w:lineRule="auto"/>
              <w:contextualSpacing/>
              <w:jc w:val="both"/>
              <w:rPr>
                <w:rFonts w:ascii="Times New Roman" w:eastAsia="Calibri" w:hAnsi="Times New Roman" w:cs="Times New Roman"/>
                <w:color w:val="000000"/>
              </w:rPr>
            </w:pPr>
            <w:r>
              <w:rPr>
                <w:rFonts w:ascii="Times New Roman" w:hAnsi="Times New Roman"/>
                <w:color w:val="000000"/>
              </w:rPr>
              <w:t>______________________________________</w:t>
            </w:r>
          </w:p>
          <w:p w14:paraId="75EA7400" w14:textId="77777777" w:rsidR="00832F98" w:rsidRPr="005107DF" w:rsidRDefault="00832F98"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rPr>
            </w:pPr>
            <w:r>
              <w:rPr>
                <w:rFonts w:ascii="Times New Roman" w:hAnsi="Times New Roman"/>
                <w:b/>
                <w:color w:val="000000"/>
              </w:rPr>
              <w:t>Autres présentations</w:t>
            </w:r>
            <w:r>
              <w:rPr>
                <w:rFonts w:ascii="Times New Roman" w:hAnsi="Times New Roman"/>
                <w:color w:val="000000"/>
              </w:rPr>
              <w:t xml:space="preserve"> convenues (réunions des chefs de mission, réunions en rapport </w:t>
            </w:r>
            <w:r>
              <w:rPr>
                <w:rFonts w:ascii="Times New Roman" w:hAnsi="Times New Roman"/>
                <w:color w:val="000000"/>
              </w:rPr>
              <w:lastRenderedPageBreak/>
              <w:t>avec le dialogue politique entre l’UE et le pays partenaire, présentations pour un groupe spécifique/faisant suite à une demande particulière, etc.):</w:t>
            </w:r>
          </w:p>
          <w:p w14:paraId="3E710C13" w14:textId="77777777" w:rsidR="00832F98" w:rsidRPr="005107DF" w:rsidRDefault="00832F98" w:rsidP="00453D76">
            <w:pPr>
              <w:numPr>
                <w:ilvl w:val="0"/>
                <w:numId w:val="252"/>
              </w:numPr>
              <w:spacing w:after="0" w:line="240" w:lineRule="auto"/>
              <w:contextualSpacing/>
              <w:jc w:val="both"/>
              <w:rPr>
                <w:rFonts w:ascii="Times New Roman" w:eastAsia="Calibri" w:hAnsi="Times New Roman" w:cs="Times New Roman"/>
                <w:color w:val="000000"/>
              </w:rPr>
            </w:pPr>
            <w:r>
              <w:rPr>
                <w:rFonts w:ascii="Times New Roman" w:hAnsi="Times New Roman"/>
                <w:color w:val="000000"/>
              </w:rPr>
              <w:t>______________________________________</w:t>
            </w:r>
          </w:p>
          <w:p w14:paraId="11E91A49"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rPr>
            </w:pPr>
            <w:r>
              <w:rPr>
                <w:rFonts w:ascii="Times New Roman" w:hAnsi="Times New Roman"/>
                <w:b/>
                <w:color w:val="000000"/>
              </w:rPr>
              <w:t>Événements de sensibilisation au projet</w:t>
            </w:r>
          </w:p>
          <w:p w14:paraId="36A20CC8" w14:textId="77777777" w:rsidR="00832F98" w:rsidRPr="005107DF" w:rsidRDefault="00832F98"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rPr>
            </w:pPr>
            <w:r>
              <w:rPr>
                <w:rFonts w:ascii="Times New Roman" w:hAnsi="Times New Roman"/>
                <w:color w:val="000000"/>
              </w:rPr>
              <w:t>Ces événements ne doivent être organisés que s’ils sont pertinents et interviennent en temps utile. Ils seront dans tous les cas convenus au préalable avec la délégation de l’UE, en fonction du programme de communication de celle-ci. Les événements doivent être compatibles avec la nature technique ou politique/technique du projet. En cas d’intervention politique, les dates et un programme détaillé doivent être convenus au cas par cas avec la délégation de l’UE.</w:t>
            </w:r>
          </w:p>
          <w:p w14:paraId="01D11938" w14:textId="77777777" w:rsidR="00832F98" w:rsidRPr="005107DF" w:rsidRDefault="00832F98" w:rsidP="00453D76">
            <w:pPr>
              <w:numPr>
                <w:ilvl w:val="0"/>
                <w:numId w:val="252"/>
              </w:numPr>
              <w:spacing w:after="0" w:line="240" w:lineRule="auto"/>
              <w:contextualSpacing/>
              <w:jc w:val="both"/>
              <w:rPr>
                <w:rFonts w:ascii="Times New Roman" w:eastAsia="Calibri" w:hAnsi="Times New Roman" w:cs="Times New Roman"/>
                <w:color w:val="000000"/>
              </w:rPr>
            </w:pPr>
            <w:r>
              <w:rPr>
                <w:rFonts w:ascii="Times New Roman" w:hAnsi="Times New Roman"/>
                <w:color w:val="000000"/>
              </w:rPr>
              <w:t xml:space="preserve">Événement de lancement </w:t>
            </w:r>
          </w:p>
          <w:p w14:paraId="4DC13489" w14:textId="77777777" w:rsidR="00832F98" w:rsidRPr="005107DF" w:rsidRDefault="00832F98" w:rsidP="00453D76">
            <w:pPr>
              <w:numPr>
                <w:ilvl w:val="0"/>
                <w:numId w:val="252"/>
              </w:numPr>
              <w:spacing w:after="0" w:line="240" w:lineRule="auto"/>
              <w:contextualSpacing/>
              <w:jc w:val="both"/>
              <w:rPr>
                <w:rFonts w:ascii="Times New Roman" w:eastAsia="Calibri" w:hAnsi="Times New Roman" w:cs="Times New Roman"/>
                <w:color w:val="000000"/>
              </w:rPr>
            </w:pPr>
            <w:r>
              <w:rPr>
                <w:rFonts w:ascii="Times New Roman" w:hAnsi="Times New Roman"/>
                <w:color w:val="000000"/>
              </w:rPr>
              <w:t>Autres événements spécifiques (dans le cadre de la mise en œuvre)</w:t>
            </w:r>
          </w:p>
          <w:p w14:paraId="080958A5" w14:textId="77777777" w:rsidR="00832F98" w:rsidRPr="005107DF" w:rsidRDefault="00832F98" w:rsidP="00453D76">
            <w:pPr>
              <w:numPr>
                <w:ilvl w:val="0"/>
                <w:numId w:val="252"/>
              </w:numPr>
              <w:spacing w:after="0" w:line="240" w:lineRule="auto"/>
              <w:contextualSpacing/>
              <w:jc w:val="both"/>
              <w:rPr>
                <w:rFonts w:ascii="Times New Roman" w:eastAsia="Calibri" w:hAnsi="Times New Roman" w:cs="Times New Roman"/>
                <w:color w:val="000000"/>
              </w:rPr>
            </w:pPr>
            <w:r>
              <w:rPr>
                <w:rFonts w:ascii="Times New Roman" w:hAnsi="Times New Roman"/>
                <w:color w:val="000000"/>
              </w:rPr>
              <w:t>Événement de clôture</w:t>
            </w:r>
          </w:p>
          <w:p w14:paraId="699A797F"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rPr>
            </w:pPr>
            <w:r>
              <w:rPr>
                <w:rFonts w:ascii="Times New Roman" w:hAnsi="Times New Roman"/>
                <w:b/>
                <w:color w:val="000000"/>
              </w:rPr>
              <w:t>Apparitions publiques/publications</w:t>
            </w:r>
          </w:p>
          <w:p w14:paraId="6633E8E2" w14:textId="77777777" w:rsidR="00832F98" w:rsidRPr="005107DF" w:rsidRDefault="00832F98"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rPr>
            </w:pPr>
            <w:r>
              <w:rPr>
                <w:rFonts w:ascii="Times New Roman" w:hAnsi="Times New Roman"/>
                <w:color w:val="000000"/>
              </w:rPr>
              <w:t>Veuillez noter que ni le CRJ, ni les experts ne sont autorisés à s’exprimer au nom de l’UE. Ils ne peuvent faire part de leur avis d’expert dans un média et/ou une autre forme de publication qu’à condition d’avoir reçu l’accord écrit spécifique du chef de délégation/de la délégation de l’UE.</w:t>
            </w:r>
          </w:p>
          <w:p w14:paraId="707A0795" w14:textId="77777777" w:rsidR="00832F98" w:rsidRPr="005107DF" w:rsidRDefault="00832F98"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rPr>
            </w:pPr>
          </w:p>
          <w:p w14:paraId="1481C509" w14:textId="77777777" w:rsidR="00832F98" w:rsidRPr="005107DF" w:rsidRDefault="00832F98"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rPr>
            </w:pPr>
            <w:r>
              <w:rPr>
                <w:rFonts w:ascii="Times New Roman" w:hAnsi="Times New Roman"/>
                <w:color w:val="000000"/>
              </w:rPr>
              <w:t>Les apparitions publiques/publications suivantes sont prévues et ont été approuvées par le chef de délégation/la délégation de l’UE:</w:t>
            </w:r>
          </w:p>
          <w:p w14:paraId="51709EF2" w14:textId="77777777" w:rsidR="00832F98" w:rsidRPr="005107DF" w:rsidRDefault="00832F98" w:rsidP="00453D76">
            <w:pPr>
              <w:numPr>
                <w:ilvl w:val="0"/>
                <w:numId w:val="252"/>
              </w:numPr>
              <w:spacing w:after="0" w:line="240" w:lineRule="auto"/>
              <w:contextualSpacing/>
              <w:jc w:val="both"/>
              <w:rPr>
                <w:rFonts w:ascii="Times New Roman" w:eastAsia="Calibri" w:hAnsi="Times New Roman" w:cs="Times New Roman"/>
                <w:color w:val="000000"/>
              </w:rPr>
            </w:pPr>
            <w:r>
              <w:rPr>
                <w:rFonts w:ascii="Times New Roman" w:hAnsi="Times New Roman"/>
                <w:color w:val="000000"/>
              </w:rPr>
              <w:t>______________________________________</w:t>
            </w:r>
          </w:p>
        </w:tc>
      </w:tr>
      <w:tr w:rsidR="00832F98" w:rsidRPr="005107DF" w14:paraId="53DE1240" w14:textId="77777777" w:rsidTr="007338F0">
        <w:tc>
          <w:tcPr>
            <w:tcW w:w="9322" w:type="dxa"/>
            <w:shd w:val="clear" w:color="auto" w:fill="auto"/>
          </w:tcPr>
          <w:p w14:paraId="3C9E0917" w14:textId="77777777" w:rsidR="00832F98" w:rsidRPr="005107DF" w:rsidRDefault="00832F98" w:rsidP="00453D76">
            <w:pPr>
              <w:widowControl w:val="0"/>
              <w:numPr>
                <w:ilvl w:val="0"/>
                <w:numId w:val="253"/>
              </w:numPr>
              <w:tabs>
                <w:tab w:val="num" w:pos="820"/>
              </w:tabs>
              <w:autoSpaceDE w:val="0"/>
              <w:autoSpaceDN w:val="0"/>
              <w:adjustRightInd w:val="0"/>
              <w:spacing w:after="0" w:line="240" w:lineRule="auto"/>
              <w:jc w:val="both"/>
              <w:rPr>
                <w:rFonts w:ascii="Times New Roman" w:eastAsia="Times New Roman" w:hAnsi="Times New Roman" w:cs="Times New Roman"/>
                <w:b/>
                <w:color w:val="000000"/>
              </w:rPr>
            </w:pPr>
            <w:r>
              <w:rPr>
                <w:rFonts w:ascii="Times New Roman" w:hAnsi="Times New Roman"/>
                <w:b/>
                <w:color w:val="000000"/>
              </w:rPr>
              <w:lastRenderedPageBreak/>
              <w:t>Outils de communication</w:t>
            </w:r>
          </w:p>
          <w:p w14:paraId="15CF8B94"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sz w:val="16"/>
                <w:szCs w:val="16"/>
              </w:rPr>
            </w:pPr>
          </w:p>
          <w:p w14:paraId="562A6689"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r>
              <w:rPr>
                <w:rFonts w:ascii="Times New Roman" w:hAnsi="Times New Roman"/>
                <w:color w:val="000000"/>
              </w:rPr>
              <w:t>Expliquer les avantages de certains instruments (médias, publicité, manifestations, etc.) dans le contexte local.</w:t>
            </w:r>
          </w:p>
          <w:p w14:paraId="33AC7155"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r>
              <w:rPr>
                <w:rFonts w:ascii="Times New Roman" w:hAnsi="Times New Roman"/>
                <w:color w:val="000000"/>
              </w:rPr>
              <w:t>Exemples d’outils de communication:</w:t>
            </w:r>
          </w:p>
          <w:p w14:paraId="7984A25E" w14:textId="77777777" w:rsidR="00832F98" w:rsidRPr="005107DF" w:rsidRDefault="00832F98" w:rsidP="00453D76">
            <w:pPr>
              <w:widowControl w:val="0"/>
              <w:overflowPunct w:val="0"/>
              <w:autoSpaceDE w:val="0"/>
              <w:autoSpaceDN w:val="0"/>
              <w:adjustRightInd w:val="0"/>
              <w:spacing w:after="0"/>
              <w:ind w:left="820"/>
              <w:jc w:val="both"/>
              <w:rPr>
                <w:rFonts w:ascii="Times New Roman" w:eastAsia="Times New Roman" w:hAnsi="Times New Roman" w:cs="Times New Roman"/>
                <w:i/>
                <w:iCs/>
                <w:color w:val="000000"/>
              </w:rPr>
            </w:pPr>
          </w:p>
          <w:p w14:paraId="7055DDD7"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rPr>
            </w:pPr>
            <w:r>
              <w:rPr>
                <w:rFonts w:ascii="Times New Roman" w:hAnsi="Times New Roman"/>
                <w:b/>
                <w:color w:val="000000"/>
              </w:rPr>
              <w:t>Plates-formes de communication</w:t>
            </w:r>
          </w:p>
          <w:p w14:paraId="292C7E50" w14:textId="77777777" w:rsidR="00832F98" w:rsidRPr="005107DF" w:rsidRDefault="00832F98"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rPr>
            </w:pPr>
            <w:r>
              <w:rPr>
                <w:rFonts w:ascii="Times New Roman" w:hAnsi="Times New Roman"/>
                <w:color w:val="000000"/>
              </w:rPr>
              <w:t>La coopération avec la délégation de l’UE doit être assurée afin de mettre en lien dans les plus brefs délais la page web du projet avec celle de la délégation de l’UE. Les droits d’accès et de publication sur le site web et les profils de réseaux sociaux ne sont accordés qu’à quelques personnes; une personne de contact est nommée responsable de ces droits.</w:t>
            </w:r>
          </w:p>
          <w:p w14:paraId="2AF68A9F" w14:textId="77777777" w:rsidR="00832F98" w:rsidRPr="005107DF" w:rsidRDefault="00832F98"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sz w:val="16"/>
                <w:szCs w:val="16"/>
              </w:rPr>
            </w:pPr>
          </w:p>
          <w:p w14:paraId="4F30BB25" w14:textId="77777777" w:rsidR="00832F98" w:rsidRPr="005107DF" w:rsidRDefault="00832F98" w:rsidP="00453D76">
            <w:pPr>
              <w:numPr>
                <w:ilvl w:val="0"/>
                <w:numId w:val="252"/>
              </w:numPr>
              <w:spacing w:after="0" w:line="240" w:lineRule="auto"/>
              <w:contextualSpacing/>
              <w:jc w:val="both"/>
              <w:rPr>
                <w:rFonts w:ascii="Times New Roman" w:eastAsia="Calibri" w:hAnsi="Times New Roman" w:cs="Times New Roman"/>
                <w:color w:val="000000"/>
              </w:rPr>
            </w:pPr>
            <w:r>
              <w:rPr>
                <w:rFonts w:ascii="Times New Roman" w:hAnsi="Times New Roman"/>
                <w:color w:val="000000"/>
              </w:rPr>
              <w:t>Nom de la personne de contact responsable des droits d’accès et de connexion: préciser&gt;</w:t>
            </w:r>
          </w:p>
          <w:p w14:paraId="1B885BED" w14:textId="77777777" w:rsidR="00832F98" w:rsidRPr="005107DF" w:rsidRDefault="00832F98" w:rsidP="00453D76">
            <w:pPr>
              <w:numPr>
                <w:ilvl w:val="0"/>
                <w:numId w:val="252"/>
              </w:numPr>
              <w:spacing w:after="0" w:line="240" w:lineRule="auto"/>
              <w:contextualSpacing/>
              <w:jc w:val="both"/>
              <w:rPr>
                <w:rFonts w:ascii="Times New Roman" w:eastAsia="Calibri" w:hAnsi="Times New Roman" w:cs="Times New Roman"/>
                <w:color w:val="000000"/>
              </w:rPr>
            </w:pPr>
            <w:r>
              <w:rPr>
                <w:rFonts w:ascii="Times New Roman" w:hAnsi="Times New Roman"/>
                <w:color w:val="000000"/>
              </w:rPr>
              <w:t>La ou les pages web suivantes sont prévues pour la présentation du projet et de ses activités: préciser&gt;</w:t>
            </w:r>
          </w:p>
          <w:p w14:paraId="593B52A3" w14:textId="77777777" w:rsidR="00832F98" w:rsidRPr="005107DF" w:rsidRDefault="00832F98" w:rsidP="00453D76">
            <w:pPr>
              <w:numPr>
                <w:ilvl w:val="0"/>
                <w:numId w:val="252"/>
              </w:numPr>
              <w:spacing w:after="0" w:line="240" w:lineRule="auto"/>
              <w:contextualSpacing/>
              <w:jc w:val="both"/>
              <w:rPr>
                <w:rFonts w:ascii="Times New Roman" w:eastAsia="Calibri" w:hAnsi="Times New Roman" w:cs="Times New Roman"/>
                <w:color w:val="000000"/>
              </w:rPr>
            </w:pPr>
            <w:r>
              <w:rPr>
                <w:rFonts w:ascii="Times New Roman" w:hAnsi="Times New Roman"/>
                <w:color w:val="000000"/>
              </w:rPr>
              <w:t>Les profils de réseaux sociaux suivants seront créés/sont prévus: préciser&gt;</w:t>
            </w:r>
          </w:p>
        </w:tc>
      </w:tr>
      <w:tr w:rsidR="00832F98" w:rsidRPr="005107DF" w14:paraId="059FE51F" w14:textId="77777777" w:rsidTr="007338F0">
        <w:tc>
          <w:tcPr>
            <w:tcW w:w="9322" w:type="dxa"/>
            <w:shd w:val="clear" w:color="auto" w:fill="D9D9D9"/>
          </w:tcPr>
          <w:p w14:paraId="096F15B1" w14:textId="77777777" w:rsidR="00832F98" w:rsidRPr="005107DF" w:rsidRDefault="00832F98" w:rsidP="00453D76">
            <w:pPr>
              <w:jc w:val="center"/>
              <w:rPr>
                <w:rFonts w:ascii="Times New Roman" w:eastAsia="Calibri" w:hAnsi="Times New Roman" w:cs="Times New Roman"/>
                <w:b/>
                <w:color w:val="000000"/>
                <w:sz w:val="28"/>
                <w:szCs w:val="28"/>
              </w:rPr>
            </w:pPr>
            <w:r>
              <w:rPr>
                <w:rFonts w:ascii="Times New Roman" w:hAnsi="Times New Roman"/>
                <w:b/>
                <w:color w:val="000000"/>
                <w:sz w:val="28"/>
              </w:rPr>
              <w:t>Réalisations et résultats</w:t>
            </w:r>
          </w:p>
        </w:tc>
      </w:tr>
      <w:tr w:rsidR="00832F98" w:rsidRPr="005107DF" w14:paraId="42603578" w14:textId="77777777" w:rsidTr="007338F0">
        <w:tc>
          <w:tcPr>
            <w:tcW w:w="9322" w:type="dxa"/>
            <w:shd w:val="clear" w:color="auto" w:fill="auto"/>
          </w:tcPr>
          <w:p w14:paraId="6225841E" w14:textId="77777777" w:rsidR="00832F98" w:rsidRPr="005107DF" w:rsidRDefault="00832F98"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rPr>
            </w:pPr>
            <w:r>
              <w:rPr>
                <w:rFonts w:ascii="Times New Roman" w:hAnsi="Times New Roman"/>
                <w:b/>
                <w:color w:val="000000"/>
              </w:rPr>
              <w:t>Indicateurs de résultats</w:t>
            </w:r>
            <w:r>
              <w:rPr>
                <w:rFonts w:ascii="Times New Roman" w:hAnsi="Times New Roman"/>
                <w:b/>
                <w:color w:val="000000"/>
                <w:sz w:val="16"/>
              </w:rPr>
              <w:footnoteReference w:id="61"/>
            </w:r>
          </w:p>
          <w:p w14:paraId="544A5308" w14:textId="77777777" w:rsidR="00832F98" w:rsidRPr="005107DF" w:rsidRDefault="00832F98" w:rsidP="00453D76">
            <w:pPr>
              <w:widowControl w:val="0"/>
              <w:overflowPunct w:val="0"/>
              <w:autoSpaceDE w:val="0"/>
              <w:autoSpaceDN w:val="0"/>
              <w:adjustRightInd w:val="0"/>
              <w:spacing w:after="0"/>
              <w:ind w:left="820"/>
              <w:jc w:val="both"/>
              <w:rPr>
                <w:rFonts w:ascii="Times New Roman" w:eastAsia="Calibri" w:hAnsi="Times New Roman" w:cs="Times New Roman"/>
                <w:color w:val="000000"/>
              </w:rPr>
            </w:pPr>
          </w:p>
        </w:tc>
      </w:tr>
      <w:tr w:rsidR="00832F98" w:rsidRPr="005107DF" w14:paraId="30C3AAFF" w14:textId="77777777" w:rsidTr="007338F0">
        <w:tc>
          <w:tcPr>
            <w:tcW w:w="9322" w:type="dxa"/>
            <w:shd w:val="clear" w:color="auto" w:fill="auto"/>
          </w:tcPr>
          <w:p w14:paraId="7FF01515"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 xml:space="preserve">Réalisation des objectifs de communication </w:t>
            </w:r>
          </w:p>
          <w:p w14:paraId="3865B453" w14:textId="77777777" w:rsidR="00832F98" w:rsidRPr="005107DF" w:rsidRDefault="00832F98"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rPr>
            </w:pPr>
            <w:r>
              <w:rPr>
                <w:rFonts w:ascii="Times New Roman" w:hAnsi="Times New Roman"/>
                <w:color w:val="000000"/>
              </w:rPr>
              <w:t xml:space="preserve">Inclure des indicateurs de résultats pour les différents outils proposés </w:t>
            </w:r>
          </w:p>
        </w:tc>
      </w:tr>
      <w:tr w:rsidR="00832F98" w:rsidRPr="005107DF" w14:paraId="765B8973" w14:textId="77777777" w:rsidTr="007338F0">
        <w:tc>
          <w:tcPr>
            <w:tcW w:w="9322" w:type="dxa"/>
            <w:shd w:val="clear" w:color="auto" w:fill="auto"/>
          </w:tcPr>
          <w:p w14:paraId="5D83C01E"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 xml:space="preserve">Dispositions concernant le retour d’informations (le cas échéant) </w:t>
            </w:r>
          </w:p>
          <w:p w14:paraId="226E23AE" w14:textId="77777777" w:rsidR="00832F98" w:rsidRPr="005107DF" w:rsidRDefault="00832F98"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rPr>
            </w:pPr>
            <w:r>
              <w:rPr>
                <w:rFonts w:ascii="Times New Roman" w:hAnsi="Times New Roman"/>
                <w:color w:val="000000"/>
              </w:rPr>
              <w:t xml:space="preserve">Fournir des informations sur les formulaires d’évaluation ou les autres moyens utilisés pour obtenir un retour d’informations des participants au sujet des activités. </w:t>
            </w:r>
          </w:p>
        </w:tc>
      </w:tr>
      <w:tr w:rsidR="00832F98" w:rsidRPr="005107DF" w14:paraId="26F41CF9" w14:textId="77777777" w:rsidTr="007338F0">
        <w:tc>
          <w:tcPr>
            <w:tcW w:w="9322" w:type="dxa"/>
            <w:shd w:val="clear" w:color="auto" w:fill="D9D9D9"/>
          </w:tcPr>
          <w:p w14:paraId="30B4E64E" w14:textId="77777777" w:rsidR="00832F98" w:rsidRPr="005107DF" w:rsidRDefault="00832F98" w:rsidP="00453D76">
            <w:pPr>
              <w:jc w:val="center"/>
              <w:rPr>
                <w:rFonts w:ascii="Times New Roman" w:eastAsia="Calibri" w:hAnsi="Times New Roman" w:cs="Times New Roman"/>
                <w:b/>
                <w:color w:val="000000"/>
                <w:sz w:val="28"/>
                <w:szCs w:val="28"/>
              </w:rPr>
            </w:pPr>
            <w:r>
              <w:rPr>
                <w:rFonts w:ascii="Times New Roman" w:hAnsi="Times New Roman"/>
                <w:b/>
                <w:color w:val="000000"/>
                <w:sz w:val="28"/>
              </w:rPr>
              <w:t>Ressources et budget</w:t>
            </w:r>
          </w:p>
        </w:tc>
      </w:tr>
      <w:tr w:rsidR="00832F98" w:rsidRPr="005107DF" w14:paraId="4818B392" w14:textId="77777777" w:rsidTr="007338F0">
        <w:tc>
          <w:tcPr>
            <w:tcW w:w="9322" w:type="dxa"/>
            <w:shd w:val="clear" w:color="auto" w:fill="auto"/>
          </w:tcPr>
          <w:p w14:paraId="7E083FBD" w14:textId="77777777" w:rsidR="00832F98" w:rsidRPr="005107DF" w:rsidRDefault="00832F98"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rPr>
            </w:pPr>
            <w:r>
              <w:rPr>
                <w:rFonts w:ascii="Times New Roman" w:hAnsi="Times New Roman"/>
                <w:b/>
                <w:color w:val="000000"/>
              </w:rPr>
              <w:t xml:space="preserve">Ressources humaines </w:t>
            </w:r>
          </w:p>
          <w:p w14:paraId="1D823A36"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p>
          <w:p w14:paraId="27FFE988"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 xml:space="preserve">Jours-homme nécessaires à la mise en œuvre de chaque activité de communication </w:t>
            </w:r>
          </w:p>
          <w:p w14:paraId="1FAEDDED"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Membres de l’équipe de gestion responsables des activités de communication/personne de contact responsable des droits d’accès au site web et aux réseaux sociaux</w:t>
            </w:r>
          </w:p>
          <w:p w14:paraId="12848692"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p>
          <w:p w14:paraId="012B4EBB" w14:textId="77777777" w:rsidR="00832F98" w:rsidRPr="005107DF" w:rsidRDefault="00832F98"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rPr>
            </w:pPr>
            <w:r>
              <w:rPr>
                <w:rFonts w:ascii="Times New Roman" w:hAnsi="Times New Roman"/>
                <w:b/>
                <w:color w:val="000000"/>
              </w:rPr>
              <w:t xml:space="preserve">Ressources financières </w:t>
            </w:r>
          </w:p>
          <w:p w14:paraId="75781E8B" w14:textId="77777777" w:rsidR="00832F98" w:rsidRPr="005107DF" w:rsidRDefault="00832F98" w:rsidP="00453D76">
            <w:pPr>
              <w:widowControl w:val="0"/>
              <w:autoSpaceDE w:val="0"/>
              <w:autoSpaceDN w:val="0"/>
              <w:adjustRightInd w:val="0"/>
              <w:spacing w:after="0"/>
              <w:ind w:left="360"/>
              <w:jc w:val="both"/>
              <w:rPr>
                <w:rFonts w:ascii="Times New Roman" w:eastAsia="Times New Roman" w:hAnsi="Times New Roman" w:cs="Times New Roman"/>
                <w:b/>
                <w:color w:val="000000"/>
              </w:rPr>
            </w:pPr>
          </w:p>
          <w:p w14:paraId="1C38A6B2"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 xml:space="preserve">Budget nécessaire pour mettre en œuvre les activités de communication (en chiffres absolus et en pourcentage du budget global de l’action). </w:t>
            </w:r>
          </w:p>
          <w:p w14:paraId="445FC4C5" w14:textId="77777777" w:rsidR="00832F98" w:rsidRPr="005107DF" w:rsidRDefault="00832F98" w:rsidP="00453D76">
            <w:pPr>
              <w:widowControl w:val="0"/>
              <w:overflowPunct w:val="0"/>
              <w:autoSpaceDE w:val="0"/>
              <w:autoSpaceDN w:val="0"/>
              <w:adjustRightInd w:val="0"/>
              <w:spacing w:after="0"/>
              <w:ind w:left="1180" w:right="480" w:hanging="360"/>
              <w:jc w:val="both"/>
              <w:rPr>
                <w:rFonts w:ascii="Times New Roman" w:eastAsia="Times New Roman" w:hAnsi="Times New Roman" w:cs="Times New Roman"/>
                <w:color w:val="000000"/>
              </w:rPr>
            </w:pPr>
          </w:p>
          <w:p w14:paraId="290C85B2"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r>
              <w:rPr>
                <w:rFonts w:ascii="Times New Roman" w:hAnsi="Times New Roman"/>
                <w:color w:val="000000"/>
              </w:rPr>
              <w:t xml:space="preserve">La limite absolue fixée pour les activités de communication et de visibilité est de </w:t>
            </w:r>
            <w:r w:rsidRPr="00452C1A">
              <w:rPr>
                <w:rFonts w:ascii="Times New Roman" w:hAnsi="Times New Roman"/>
                <w:color w:val="000000"/>
              </w:rPr>
              <w:t>3</w:t>
            </w:r>
            <w:r>
              <w:rPr>
                <w:rFonts w:ascii="Times New Roman" w:hAnsi="Times New Roman"/>
                <w:color w:val="000000"/>
              </w:rPr>
              <w:t xml:space="preserve"> %. Les partenaires doivent analyser attentivement les besoins en matière de communication/visibilité, inclure dans un plan global toutes les actions découlant de cette analyse des besoins et déterminer en détail le coût de ce plan. Lorsqu’ils acquièrent des services, de quelque nature que ce soit, en vue de la mise en œuvre du plan, les partenaires doivent réfléchir attentivement aux possibilités pour une même entité de fournir plusieurs services - bien qu’à des moments différents - de manière à obtenir le meilleur rapport coûts-bénéfices sans contourner les règles relatives aux marchés.  </w:t>
            </w:r>
          </w:p>
          <w:p w14:paraId="6071C61E"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p>
          <w:p w14:paraId="07CA5F8B"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r>
              <w:rPr>
                <w:rFonts w:ascii="Times New Roman" w:hAnsi="Times New Roman"/>
                <w:color w:val="000000"/>
              </w:rPr>
              <w:t xml:space="preserve">Il est peu probable que les experts des États membres de l’UE associés au plan parlent la langue du pays partenaire; les coûts de traduction et d’interprétation devront donc être dûment pris en considération et les partenaires devront examiner d’entrée de jeu s’il ne serait pas plus rentable de confier les tâches de traduction et d’interprétation à des assistants du CRJ engagés sur la base d’un contrat à plein-temps. </w:t>
            </w:r>
          </w:p>
          <w:p w14:paraId="79C00786"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p>
          <w:p w14:paraId="56ED8A14"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r>
              <w:rPr>
                <w:rFonts w:ascii="Times New Roman" w:hAnsi="Times New Roman"/>
                <w:color w:val="000000"/>
              </w:rPr>
              <w:t>Le projet devra bien entendu obligatoirement respecter les lignes directrices en matière de visibilité relatives aux projets financés ou cofinancés par l’UE qui figurent dans le manuel de jumelage</w:t>
            </w:r>
            <w:r>
              <w:rPr>
                <w:rFonts w:ascii="Times New Roman" w:hAnsi="Times New Roman"/>
                <w:color w:val="000000"/>
                <w:vertAlign w:val="superscript"/>
              </w:rPr>
              <w:footnoteReference w:id="62"/>
            </w:r>
            <w:r>
              <w:rPr>
                <w:rFonts w:ascii="Times New Roman" w:hAnsi="Times New Roman"/>
                <w:color w:val="000000"/>
              </w:rPr>
              <w:t>.</w:t>
            </w:r>
          </w:p>
          <w:p w14:paraId="71D6F868"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p>
          <w:p w14:paraId="5F049122"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r>
              <w:rPr>
                <w:rFonts w:ascii="Times New Roman" w:hAnsi="Times New Roman"/>
                <w:color w:val="000000"/>
              </w:rPr>
              <w:t>Le budget détaillé est joint au plan de communication et de visibilité.</w:t>
            </w:r>
          </w:p>
          <w:p w14:paraId="4D40C029" w14:textId="77777777" w:rsidR="00832F98" w:rsidRPr="005107DF" w:rsidRDefault="00832F98" w:rsidP="00453D76">
            <w:pPr>
              <w:widowControl w:val="0"/>
              <w:tabs>
                <w:tab w:val="num" w:pos="820"/>
              </w:tabs>
              <w:overflowPunct w:val="0"/>
              <w:autoSpaceDE w:val="0"/>
              <w:autoSpaceDN w:val="0"/>
              <w:adjustRightInd w:val="0"/>
              <w:spacing w:after="0"/>
              <w:ind w:left="820"/>
              <w:jc w:val="both"/>
              <w:rPr>
                <w:rFonts w:ascii="Times New Roman" w:eastAsia="Times New Roman" w:hAnsi="Times New Roman" w:cs="Times New Roman"/>
                <w:color w:val="000000"/>
              </w:rPr>
            </w:pPr>
          </w:p>
        </w:tc>
      </w:tr>
    </w:tbl>
    <w:p w14:paraId="76ADB73C" w14:textId="77777777" w:rsidR="00832F98" w:rsidRPr="005107DF" w:rsidRDefault="00832F98" w:rsidP="00453D76">
      <w:pPr>
        <w:jc w:val="both"/>
        <w:rPr>
          <w:rFonts w:ascii="Times New Roman" w:eastAsia="Calibri" w:hAnsi="Times New Roman" w:cs="Times New Roman"/>
          <w:color w:val="000000"/>
        </w:rPr>
      </w:pPr>
    </w:p>
    <w:p w14:paraId="015B78C7" w14:textId="77777777" w:rsidR="00832F98" w:rsidRPr="005107DF" w:rsidRDefault="00832F98" w:rsidP="00453D76">
      <w:pPr>
        <w:jc w:val="both"/>
        <w:rPr>
          <w:rFonts w:ascii="Times New Roman" w:eastAsia="Calibri" w:hAnsi="Times New Roman" w:cs="Times New Roman"/>
          <w:color w:val="000000"/>
        </w:rPr>
      </w:pPr>
      <w:r>
        <w:rPr>
          <w:rFonts w:ascii="Times New Roman" w:hAnsi="Times New Roman"/>
          <w:color w:val="000000"/>
        </w:rPr>
        <w:t xml:space="preserve">Signé par </w:t>
      </w:r>
    </w:p>
    <w:p w14:paraId="2D352710" w14:textId="77777777" w:rsidR="00832F98" w:rsidRPr="005107DF" w:rsidRDefault="00832F98" w:rsidP="00453D76">
      <w:pPr>
        <w:jc w:val="both"/>
        <w:rPr>
          <w:rFonts w:ascii="Times New Roman" w:eastAsia="Calibri" w:hAnsi="Times New Roman" w:cs="Times New Roman"/>
          <w:color w:val="000000"/>
        </w:rPr>
      </w:pPr>
      <w:r>
        <w:rPr>
          <w:rFonts w:ascii="Times New Roman" w:hAnsi="Times New Roman"/>
          <w:color w:val="000000"/>
        </w:rPr>
        <w:t>Chef de projet de l’État membre</w:t>
      </w:r>
      <w:r>
        <w:tab/>
      </w:r>
      <w:r>
        <w:rPr>
          <w:rFonts w:ascii="Times New Roman" w:hAnsi="Times New Roman"/>
          <w:color w:val="000000"/>
        </w:rPr>
        <w:t xml:space="preserve">  Chef de projet du pays bénéficiaire:</w:t>
      </w:r>
      <w:r>
        <w:tab/>
      </w:r>
      <w:r>
        <w:tab/>
      </w:r>
      <w:r>
        <w:rPr>
          <w:rFonts w:ascii="Times New Roman" w:hAnsi="Times New Roman"/>
          <w:color w:val="000000"/>
        </w:rPr>
        <w:t>Délégation de l’UE</w:t>
      </w:r>
    </w:p>
    <w:p w14:paraId="6B285033" w14:textId="77777777" w:rsidR="00832F98" w:rsidRPr="005107DF" w:rsidRDefault="00832F98" w:rsidP="00453D76">
      <w:pPr>
        <w:spacing w:after="0"/>
        <w:rPr>
          <w:rFonts w:ascii="Times New Roman" w:eastAsia="Times New Roman" w:hAnsi="Times New Roman" w:cs="Times New Roman"/>
          <w:color w:val="000000"/>
        </w:rPr>
      </w:pPr>
      <w:r>
        <w:rPr>
          <w:rFonts w:ascii="Times New Roman" w:hAnsi="Times New Roman"/>
          <w:color w:val="000000"/>
        </w:rPr>
        <w:t>______________________           ________________                  ________________________</w:t>
      </w:r>
    </w:p>
    <w:p w14:paraId="0499B37F" w14:textId="77777777" w:rsidR="00832F98" w:rsidRPr="005107DF" w:rsidRDefault="00832F98" w:rsidP="00453D76">
      <w:pPr>
        <w:spacing w:after="0"/>
        <w:rPr>
          <w:rFonts w:ascii="Times New Roman" w:eastAsia="Times New Roman" w:hAnsi="Times New Roman" w:cs="Times New Roman"/>
          <w:color w:val="000000"/>
        </w:rPr>
      </w:pPr>
    </w:p>
    <w:p w14:paraId="1787CDDB" w14:textId="77777777" w:rsidR="00832F98" w:rsidRPr="005107DF" w:rsidRDefault="00832F98" w:rsidP="00453D76">
      <w:pPr>
        <w:spacing w:after="0"/>
        <w:rPr>
          <w:rFonts w:ascii="Times New Roman" w:eastAsia="Times New Roman" w:hAnsi="Times New Roman" w:cs="Times New Roman"/>
          <w:color w:val="000000"/>
        </w:rPr>
      </w:pPr>
      <w:r>
        <w:rPr>
          <w:rFonts w:ascii="Times New Roman" w:hAnsi="Times New Roman"/>
          <w:color w:val="000000"/>
        </w:rPr>
        <w:t>Date/lieu</w:t>
      </w:r>
    </w:p>
    <w:p w14:paraId="4FF0FF4F" w14:textId="77777777" w:rsidR="00832F98" w:rsidRPr="005107DF" w:rsidRDefault="00832F98" w:rsidP="005300AD">
      <w:pPr>
        <w:rPr>
          <w:rFonts w:ascii="Times New Roman" w:hAnsi="Times New Roman" w:cs="Times New Roman"/>
        </w:rPr>
      </w:pPr>
    </w:p>
    <w:p w14:paraId="4D1F66E3" w14:textId="77777777" w:rsidR="006321AB" w:rsidRPr="00E668DA" w:rsidRDefault="006321AB" w:rsidP="000D1F2A">
      <w:pPr>
        <w:numPr>
          <w:ilvl w:val="12"/>
          <w:numId w:val="0"/>
        </w:numPr>
        <w:spacing w:after="0" w:line="240" w:lineRule="auto"/>
        <w:jc w:val="both"/>
        <w:rPr>
          <w:rFonts w:ascii="Times New Roman" w:hAnsi="Times New Roman" w:cs="Times New Roman"/>
        </w:rPr>
      </w:pPr>
    </w:p>
    <w:sectPr w:rsidR="006321AB" w:rsidRPr="00E668DA" w:rsidSect="007A4201">
      <w:headerReference w:type="even" r:id="rId61"/>
      <w:headerReference w:type="default" r:id="rId62"/>
      <w:footerReference w:type="even" r:id="rId63"/>
      <w:footerReference w:type="default" r:id="rId64"/>
      <w:headerReference w:type="first" r:id="rId65"/>
      <w:pgSz w:w="11910" w:h="16840"/>
      <w:pgMar w:top="1060" w:right="1420" w:bottom="980" w:left="1480" w:header="720" w:footer="797" w:gutter="0"/>
      <w:pgNumType w:start="23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217D3" w14:textId="77777777" w:rsidR="00EB5D31" w:rsidRDefault="00EB5D31" w:rsidP="001F7F17">
      <w:pPr>
        <w:spacing w:after="0" w:line="240" w:lineRule="auto"/>
      </w:pPr>
      <w:r>
        <w:separator/>
      </w:r>
    </w:p>
  </w:endnote>
  <w:endnote w:type="continuationSeparator" w:id="0">
    <w:p w14:paraId="4DEEE541" w14:textId="77777777" w:rsidR="00EB5D31" w:rsidRDefault="00EB5D31" w:rsidP="001F7F17">
      <w:pPr>
        <w:spacing w:after="0" w:line="240" w:lineRule="auto"/>
      </w:pPr>
      <w:r>
        <w:continuationSeparator/>
      </w:r>
    </w:p>
  </w:endnote>
  <w:endnote w:id="1">
    <w:p w14:paraId="229F2995" w14:textId="77777777" w:rsidR="00EB5D31" w:rsidRDefault="00EB5D31"/>
    <w:p w14:paraId="4F0AF1ED" w14:textId="77777777" w:rsidR="00EB5D31" w:rsidRDefault="00EB5D31" w:rsidP="00866A0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51A88" w14:textId="3ADDAC3D" w:rsidR="00EB5D31" w:rsidRDefault="00EB5D31">
    <w:pPr>
      <w:pStyle w:val="Footer"/>
      <w:jc w:val="center"/>
    </w:pPr>
  </w:p>
  <w:p w14:paraId="34A141B6" w14:textId="77777777" w:rsidR="00EB5D31" w:rsidRDefault="00EB5D31">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D0D7D" w14:textId="77777777" w:rsidR="00EB5D31" w:rsidRDefault="00EB5D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14:paraId="24BB5299" w14:textId="77777777" w:rsidR="00EB5D31" w:rsidRDefault="00EB5D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E3AC9" w14:textId="26BC70DA" w:rsidR="00EB5D31" w:rsidRPr="007338F0" w:rsidRDefault="00EB5D31">
    <w:pPr>
      <w:pStyle w:val="Footer"/>
      <w:framePr w:wrap="around" w:vAnchor="text" w:hAnchor="margin" w:xAlign="center" w:y="1"/>
      <w:jc w:val="center"/>
      <w:rPr>
        <w:noProof/>
      </w:rPr>
    </w:pPr>
    <w:r w:rsidRPr="007338F0">
      <w:rPr>
        <w:noProof/>
      </w:rPr>
      <w:fldChar w:fldCharType="begin"/>
    </w:r>
    <w:r w:rsidRPr="007338F0">
      <w:rPr>
        <w:noProof/>
      </w:rPr>
      <w:instrText xml:space="preserve">PAGE  </w:instrText>
    </w:r>
    <w:r w:rsidRPr="007338F0">
      <w:rPr>
        <w:noProof/>
      </w:rPr>
      <w:fldChar w:fldCharType="separate"/>
    </w:r>
    <w:r w:rsidR="00CC09A6">
      <w:rPr>
        <w:noProof/>
      </w:rPr>
      <w:t>347</w:t>
    </w:r>
    <w:r w:rsidRPr="007338F0">
      <w:rPr>
        <w:noProof/>
      </w:rPr>
      <w:fldChar w:fldCharType="end"/>
    </w:r>
  </w:p>
  <w:p w14:paraId="2101EE9D" w14:textId="77777777" w:rsidR="00EB5D31" w:rsidRDefault="00EB5D31">
    <w:pPr>
      <w:pStyle w:val="Footer"/>
      <w:framePr w:wrap="around" w:vAnchor="text" w:hAnchor="margin" w:xAlign="center" w:y="1"/>
      <w:rPr>
        <w:rStyle w:val="PageNumber"/>
      </w:rPr>
    </w:pPr>
  </w:p>
  <w:p w14:paraId="622BBC59" w14:textId="77777777" w:rsidR="00EB5D31" w:rsidRDefault="00EB5D31">
    <w:pPr>
      <w:pStyle w:val="Footer"/>
      <w:rPr>
        <w:rFonts w:ascii="Arial" w:hAnsi="Arial"/>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ABD82" w14:textId="77777777" w:rsidR="00EB5D31" w:rsidRDefault="00EB5D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14:paraId="058502DD" w14:textId="77777777" w:rsidR="00EB5D31" w:rsidRDefault="00EB5D3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0E39" w14:textId="77777777" w:rsidR="00EB5D31" w:rsidRDefault="00EB5D31">
    <w:pPr>
      <w:pStyle w:val="Footer"/>
      <w:framePr w:wrap="around" w:vAnchor="text" w:hAnchor="margin" w:xAlign="center" w:y="1"/>
      <w:rPr>
        <w:rStyle w:val="PageNumber"/>
      </w:rPr>
    </w:pPr>
  </w:p>
  <w:p w14:paraId="5F5A86E8" w14:textId="3DA28918" w:rsidR="00EB5D31" w:rsidRDefault="00EB5D31" w:rsidP="00A92DE1">
    <w:pPr>
      <w:pStyle w:val="Footer"/>
      <w:jc w:val="center"/>
    </w:pPr>
    <w:r>
      <w:rPr>
        <w:rStyle w:val="PageNumber"/>
      </w:rPr>
      <w:fldChar w:fldCharType="begin"/>
    </w:r>
    <w:r>
      <w:rPr>
        <w:rStyle w:val="PageNumber"/>
      </w:rPr>
      <w:instrText xml:space="preserve"> PAGE </w:instrText>
    </w:r>
    <w:r>
      <w:rPr>
        <w:rStyle w:val="PageNumber"/>
      </w:rPr>
      <w:fldChar w:fldCharType="separate"/>
    </w:r>
    <w:r w:rsidR="00CC09A6">
      <w:rPr>
        <w:rStyle w:val="PageNumber"/>
        <w:noProof/>
      </w:rPr>
      <w:t>359</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2063" w14:textId="77777777" w:rsidR="00EB5D31" w:rsidRDefault="00EB5D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14:paraId="792E4FBA" w14:textId="77777777" w:rsidR="00EB5D31" w:rsidRDefault="00EB5D3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A5A06" w14:textId="77777777" w:rsidR="00EB5D31" w:rsidRDefault="00EB5D31">
    <w:pPr>
      <w:pStyle w:val="Footer"/>
      <w:framePr w:wrap="around" w:vAnchor="text" w:hAnchor="margin" w:xAlign="center" w:y="1"/>
      <w:rPr>
        <w:rStyle w:val="PageNumber"/>
      </w:rPr>
    </w:pPr>
  </w:p>
  <w:p w14:paraId="0C5C66DC" w14:textId="61F96203" w:rsidR="00EB5D31" w:rsidRDefault="00EB5D31" w:rsidP="00A92DE1">
    <w:pPr>
      <w:pStyle w:val="Footer"/>
      <w:jc w:val="center"/>
    </w:pPr>
    <w:r>
      <w:rPr>
        <w:rStyle w:val="PageNumber"/>
      </w:rPr>
      <w:fldChar w:fldCharType="begin"/>
    </w:r>
    <w:r>
      <w:rPr>
        <w:rStyle w:val="PageNumber"/>
      </w:rPr>
      <w:instrText xml:space="preserve"> PAGE </w:instrText>
    </w:r>
    <w:r>
      <w:rPr>
        <w:rStyle w:val="PageNumber"/>
      </w:rPr>
      <w:fldChar w:fldCharType="separate"/>
    </w:r>
    <w:r w:rsidR="00CC09A6">
      <w:rPr>
        <w:rStyle w:val="PageNumber"/>
        <w:noProof/>
      </w:rPr>
      <w:t>279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6CACF8" w14:textId="77777777" w:rsidR="00EB5D31" w:rsidRDefault="00EB5D31" w:rsidP="001F7F17">
      <w:pPr>
        <w:spacing w:after="0" w:line="240" w:lineRule="auto"/>
      </w:pPr>
      <w:r>
        <w:separator/>
      </w:r>
    </w:p>
  </w:footnote>
  <w:footnote w:type="continuationSeparator" w:id="0">
    <w:p w14:paraId="1DCB6F92" w14:textId="77777777" w:rsidR="00EB5D31" w:rsidRDefault="00EB5D31" w:rsidP="001F7F17">
      <w:pPr>
        <w:spacing w:after="0" w:line="240" w:lineRule="auto"/>
      </w:pPr>
      <w:r>
        <w:continuationSeparator/>
      </w:r>
    </w:p>
  </w:footnote>
  <w:footnote w:id="1">
    <w:p w14:paraId="49AEF61B" w14:textId="357935E3" w:rsidR="00EB5D31" w:rsidRPr="0007576B" w:rsidRDefault="00EB5D31" w:rsidP="001F7F17">
      <w:pPr>
        <w:pStyle w:val="FootnoteText"/>
        <w:rPr>
          <w:sz w:val="18"/>
          <w:szCs w:val="18"/>
        </w:rPr>
      </w:pPr>
      <w:r w:rsidRPr="0007576B">
        <w:rPr>
          <w:rStyle w:val="FootnoteReference"/>
          <w:sz w:val="18"/>
          <w:szCs w:val="18"/>
        </w:rPr>
        <w:footnoteRef/>
      </w:r>
      <w:r w:rsidRPr="0007576B">
        <w:rPr>
          <w:sz w:val="18"/>
          <w:szCs w:val="18"/>
        </w:rPr>
        <w:t xml:space="preserve"> Règlement (UE, Euratom) 2018/1046 du Parlement européen et du Conseil du 18 juillet 2018 relatif aux règles financières applicables au budget général de l’Union, modifiant les règlements (UE) nº 1296/2013, (UE) nº 1301/2013, (UE) nº 1303/2013, (UE) nº 1304/2013, (UE) nº 1309/2013, (UE) no 1316/2013, (UE) no 223/2014, (UE) nº 283/2014 et la décision no 541/2014/UE, et abrogeant le règlement (UE, Euratom) nº 966/2012. </w:t>
      </w:r>
    </w:p>
  </w:footnote>
  <w:footnote w:id="2">
    <w:p w14:paraId="58244046" w14:textId="77777777" w:rsidR="00EB5D31" w:rsidRPr="0007576B" w:rsidRDefault="00EB5D31">
      <w:pPr>
        <w:pStyle w:val="FootnoteText"/>
        <w:rPr>
          <w:sz w:val="18"/>
          <w:szCs w:val="18"/>
        </w:rPr>
      </w:pPr>
      <w:r w:rsidRPr="0007576B">
        <w:rPr>
          <w:rStyle w:val="FootnoteReference"/>
          <w:sz w:val="18"/>
          <w:szCs w:val="18"/>
        </w:rPr>
        <w:footnoteRef/>
      </w:r>
      <w:r w:rsidRPr="0007576B">
        <w:rPr>
          <w:sz w:val="18"/>
          <w:szCs w:val="18"/>
        </w:rPr>
        <w:t xml:space="preserve"> L’établissement et le renforcement de processus politiques inclusifs constituent l’une des cibles de l’objectif de développement durable 16 et sont promus au niveau de l’Union par l’approche visant à améliorer la réglementation.</w:t>
      </w:r>
    </w:p>
  </w:footnote>
  <w:footnote w:id="3">
    <w:p w14:paraId="01C2AECD" w14:textId="77777777" w:rsidR="00EB5D31" w:rsidRPr="0007576B" w:rsidRDefault="00EB5D31">
      <w:pPr>
        <w:pStyle w:val="FootnoteText"/>
        <w:rPr>
          <w:sz w:val="18"/>
          <w:szCs w:val="18"/>
        </w:rPr>
      </w:pPr>
      <w:r w:rsidRPr="0007576B">
        <w:rPr>
          <w:rStyle w:val="FootnoteReference"/>
          <w:sz w:val="18"/>
          <w:szCs w:val="18"/>
        </w:rPr>
        <w:footnoteRef/>
      </w:r>
      <w:r w:rsidRPr="0007576B">
        <w:rPr>
          <w:sz w:val="18"/>
          <w:szCs w:val="18"/>
        </w:rPr>
        <w:t xml:space="preserve"> Lors de la notification des résultats, veuillez inclure, jusqu’à nouvel ordre, l’avertissement suivant: </w:t>
      </w:r>
      <w:r w:rsidRPr="0007576B">
        <w:rPr>
          <w:i/>
          <w:sz w:val="18"/>
          <w:szCs w:val="18"/>
        </w:rPr>
        <w:t>«Pour les demandeurs du Royaume-Uni: veuillez noter que les critères d’éligibilité doivent être respectés pendant toute la durée de la convention de subvention. Si le Royaume-Uni se retire de l’Union au cours de la période de subvention sans conclure avec l’Union un accord veillant notamment à ce que les demandeurs du Royaume-Uni continuent à être éligibles, vous cesserez de recevoir un financement de l’Union (tout en continuant, si c’est possible, à participer au projet) ou serez contraint de quitter le projet sur la base de l’article 12.2 des conditions générales de la convention de subvention».</w:t>
      </w:r>
    </w:p>
  </w:footnote>
  <w:footnote w:id="4">
    <w:p w14:paraId="24B89B22" w14:textId="77777777" w:rsidR="00EB5D31" w:rsidRPr="00B37694" w:rsidRDefault="00EB5D31">
      <w:pPr>
        <w:pStyle w:val="FootnoteText"/>
        <w:rPr>
          <w:sz w:val="18"/>
          <w:szCs w:val="18"/>
        </w:rPr>
      </w:pPr>
      <w:r w:rsidRPr="00B37694">
        <w:rPr>
          <w:rStyle w:val="FootnoteReference"/>
          <w:sz w:val="18"/>
          <w:szCs w:val="18"/>
        </w:rPr>
        <w:footnoteRef/>
      </w:r>
      <w:r w:rsidRPr="00B37694">
        <w:rPr>
          <w:sz w:val="18"/>
          <w:szCs w:val="18"/>
        </w:rPr>
        <w:t xml:space="preserve"> </w:t>
      </w:r>
      <w:r w:rsidRPr="00B37694">
        <w:rPr>
          <w:color w:val="000000"/>
          <w:sz w:val="18"/>
          <w:szCs w:val="18"/>
        </w:rPr>
        <w:t>Les liens vers le FEL et le signalétique financier figurent à l’annexe </w:t>
      </w:r>
      <w:r w:rsidRPr="00B37694">
        <w:rPr>
          <w:sz w:val="18"/>
          <w:szCs w:val="18"/>
        </w:rPr>
        <w:t>A5.</w:t>
      </w:r>
    </w:p>
  </w:footnote>
  <w:footnote w:id="5">
    <w:p w14:paraId="592424B8" w14:textId="72C0AC1E" w:rsidR="00EB5D31" w:rsidRPr="00B37694" w:rsidRDefault="00EB5D31">
      <w:pPr>
        <w:pStyle w:val="FootnoteText"/>
        <w:rPr>
          <w:sz w:val="18"/>
          <w:szCs w:val="18"/>
        </w:rPr>
      </w:pPr>
      <w:r w:rsidRPr="00B37694">
        <w:rPr>
          <w:rStyle w:val="FootnoteReference"/>
          <w:sz w:val="18"/>
          <w:szCs w:val="18"/>
        </w:rPr>
        <w:footnoteRef/>
      </w:r>
      <w:r w:rsidRPr="00B37694">
        <w:rPr>
          <w:sz w:val="18"/>
          <w:szCs w:val="18"/>
        </w:rPr>
        <w:t xml:space="preserve"> Cette approbation par l’administration contractante ne préjuge pas de l’éligibilité des experts ni des autres postes de dépenses, qui ne seront contrôlés qu’au stade de la vérification des dépenses ou dans le cadre d’audits ultérieurs. Les parties au contrat doivent analyser attentivement l’éligibilité et la conformité de tous les postes de dépenses avec les critères définis, étant donné que la mise en œuvre des projets de jumelage est une responsabilité conjointe.</w:t>
      </w:r>
    </w:p>
  </w:footnote>
  <w:footnote w:id="6">
    <w:p w14:paraId="5AA18E9E" w14:textId="77777777" w:rsidR="00EB5D31" w:rsidRPr="005D336D" w:rsidRDefault="00EB5D31" w:rsidP="0014758D">
      <w:pPr>
        <w:pStyle w:val="FootnoteText"/>
      </w:pPr>
      <w:r w:rsidRPr="00B37694">
        <w:rPr>
          <w:rStyle w:val="FootnoteReference"/>
          <w:sz w:val="18"/>
          <w:szCs w:val="18"/>
        </w:rPr>
        <w:footnoteRef/>
      </w:r>
      <w:r w:rsidRPr="00B37694">
        <w:rPr>
          <w:sz w:val="18"/>
          <w:szCs w:val="18"/>
        </w:rPr>
        <w:t xml:space="preserve"> Voir ci-dessus.</w:t>
      </w:r>
    </w:p>
  </w:footnote>
  <w:footnote w:id="7">
    <w:p w14:paraId="02E93332" w14:textId="77777777" w:rsidR="00EB5D31" w:rsidRPr="00011970" w:rsidRDefault="00EB5D31">
      <w:pPr>
        <w:pStyle w:val="FootnoteText"/>
        <w:rPr>
          <w:sz w:val="18"/>
          <w:szCs w:val="18"/>
        </w:rPr>
      </w:pPr>
      <w:r w:rsidRPr="00011970">
        <w:rPr>
          <w:rStyle w:val="FootnoteReference"/>
          <w:sz w:val="18"/>
          <w:szCs w:val="18"/>
        </w:rPr>
        <w:footnoteRef/>
      </w:r>
      <w:r w:rsidRPr="00011970">
        <w:rPr>
          <w:sz w:val="18"/>
          <w:szCs w:val="18"/>
        </w:rPr>
        <w:t xml:space="preserve"> Voir ci-dessus.</w:t>
      </w:r>
    </w:p>
  </w:footnote>
  <w:footnote w:id="8">
    <w:p w14:paraId="475DB8F0" w14:textId="77777777" w:rsidR="00EB5D31" w:rsidRPr="005D336D" w:rsidRDefault="00EB5D31" w:rsidP="00D0198E">
      <w:pPr>
        <w:pStyle w:val="FootnoteText"/>
      </w:pPr>
      <w:r w:rsidRPr="00011970">
        <w:rPr>
          <w:rStyle w:val="FootnoteReference"/>
          <w:sz w:val="18"/>
          <w:szCs w:val="18"/>
        </w:rPr>
        <w:footnoteRef/>
      </w:r>
      <w:r w:rsidRPr="00011970">
        <w:rPr>
          <w:sz w:val="18"/>
          <w:szCs w:val="18"/>
        </w:rPr>
        <w:t xml:space="preserve"> </w:t>
      </w:r>
      <w:hyperlink r:id="rId1">
        <w:r w:rsidRPr="00011970">
          <w:rPr>
            <w:rStyle w:val="Hyperlink"/>
            <w:sz w:val="18"/>
            <w:szCs w:val="18"/>
          </w:rPr>
          <w:t>https://europass.cedefop.europa.eu/</w:t>
        </w:r>
      </w:hyperlink>
      <w:r>
        <w:t xml:space="preserve"> </w:t>
      </w:r>
    </w:p>
  </w:footnote>
  <w:footnote w:id="9">
    <w:p w14:paraId="718CBCBB" w14:textId="77777777" w:rsidR="00EB5D31" w:rsidRPr="00011970" w:rsidRDefault="00EB5D31" w:rsidP="00446588">
      <w:pPr>
        <w:pStyle w:val="FootnoteText"/>
        <w:rPr>
          <w:sz w:val="18"/>
          <w:szCs w:val="18"/>
        </w:rPr>
      </w:pPr>
      <w:r w:rsidRPr="00011970">
        <w:rPr>
          <w:rStyle w:val="FootnoteReference"/>
          <w:sz w:val="18"/>
          <w:szCs w:val="18"/>
        </w:rPr>
        <w:footnoteRef/>
      </w:r>
      <w:r w:rsidRPr="00011970">
        <w:rPr>
          <w:sz w:val="18"/>
          <w:szCs w:val="18"/>
        </w:rPr>
        <w:t xml:space="preserve"> À cette fin, le budget (à l’exclusion des provisions pour imprévus/réserves et services fournis par le secteur privé et sous-traités par l’administration contractante) sera divisé par le nombre de mois, puis multiplié par</w:t>
      </w:r>
      <w:r>
        <w:t xml:space="preserve"> douze: la formule à utiliser </w:t>
      </w:r>
      <w:r w:rsidRPr="00011970">
        <w:rPr>
          <w:sz w:val="18"/>
          <w:szCs w:val="18"/>
        </w:rPr>
        <w:t>est la suivante: MONTANT TOTAL - PROVISIONS POUR IMPRÉVUS/RÉSERVES (- services fournis par le secteur privé, le cas échéant) / MOIS DE MISE EN ŒUVRE.</w:t>
      </w:r>
    </w:p>
  </w:footnote>
  <w:footnote w:id="10">
    <w:p w14:paraId="3F315835" w14:textId="77777777" w:rsidR="00EB5D31" w:rsidRPr="00D76B38" w:rsidRDefault="00EB5D31">
      <w:pPr>
        <w:pStyle w:val="FootnoteText"/>
      </w:pPr>
      <w:r w:rsidRPr="00011970">
        <w:rPr>
          <w:rStyle w:val="FootnoteReference"/>
          <w:sz w:val="18"/>
          <w:szCs w:val="18"/>
        </w:rPr>
        <w:footnoteRef/>
      </w:r>
      <w:r w:rsidRPr="00011970">
        <w:rPr>
          <w:sz w:val="18"/>
          <w:szCs w:val="18"/>
        </w:rPr>
        <w:t xml:space="preserve"> Dans ce cas, il est recommandé d’informer les PCN concernés.</w:t>
      </w:r>
    </w:p>
  </w:footnote>
  <w:footnote w:id="11">
    <w:p w14:paraId="75F9C17F" w14:textId="77777777" w:rsidR="00EB5D31" w:rsidRPr="00703EAC" w:rsidRDefault="00EB5D31" w:rsidP="006B1CCF">
      <w:pPr>
        <w:pStyle w:val="FootnoteText"/>
        <w:rPr>
          <w:sz w:val="18"/>
          <w:szCs w:val="18"/>
        </w:rPr>
      </w:pPr>
      <w:r w:rsidRPr="00703EAC">
        <w:rPr>
          <w:rStyle w:val="FootnoteReference"/>
          <w:sz w:val="18"/>
          <w:szCs w:val="18"/>
        </w:rPr>
        <w:footnoteRef/>
      </w:r>
      <w:r w:rsidRPr="00703EAC">
        <w:rPr>
          <w:sz w:val="18"/>
          <w:szCs w:val="18"/>
        </w:rPr>
        <w:t xml:space="preserve"> </w:t>
      </w:r>
      <w:hyperlink r:id="rId2">
        <w:r w:rsidRPr="00703EAC">
          <w:rPr>
            <w:rStyle w:val="Hyperlink"/>
            <w:sz w:val="18"/>
            <w:szCs w:val="18"/>
          </w:rPr>
          <w:t>https://ec.europa.eu/neighbourhood-enlargement/tenders/twinning_en</w:t>
        </w:r>
      </w:hyperlink>
      <w:r w:rsidRPr="00703EAC">
        <w:rPr>
          <w:sz w:val="18"/>
          <w:szCs w:val="18"/>
        </w:rPr>
        <w:t xml:space="preserve"> </w:t>
      </w:r>
    </w:p>
  </w:footnote>
  <w:footnote w:id="12">
    <w:p w14:paraId="38966280" w14:textId="77777777" w:rsidR="00EB5D31" w:rsidRPr="00703EAC" w:rsidRDefault="00EB5D31" w:rsidP="00D0198E">
      <w:pPr>
        <w:pStyle w:val="FootnoteText"/>
        <w:rPr>
          <w:sz w:val="18"/>
          <w:szCs w:val="18"/>
        </w:rPr>
      </w:pPr>
      <w:r w:rsidRPr="00703EAC">
        <w:rPr>
          <w:rStyle w:val="FootnoteReference"/>
          <w:sz w:val="18"/>
          <w:szCs w:val="18"/>
        </w:rPr>
        <w:footnoteRef/>
      </w:r>
      <w:r w:rsidRPr="00703EAC">
        <w:rPr>
          <w:sz w:val="18"/>
          <w:szCs w:val="18"/>
        </w:rPr>
        <w:t xml:space="preserve"> La fonction de PCN du pays bénéficiaire peut être assurée par le coordinateur IAP national ou l’UGP.</w:t>
      </w:r>
    </w:p>
  </w:footnote>
  <w:footnote w:id="13">
    <w:p w14:paraId="7C4D8EB4" w14:textId="77777777" w:rsidR="00EB5D31" w:rsidRPr="00DA4E51" w:rsidRDefault="00EB5D31" w:rsidP="000A67D6">
      <w:pPr>
        <w:pStyle w:val="FootnoteText"/>
        <w:ind w:right="2"/>
        <w:rPr>
          <w:sz w:val="18"/>
          <w:szCs w:val="18"/>
        </w:rPr>
      </w:pPr>
      <w:r w:rsidRPr="00DA4E51">
        <w:rPr>
          <w:rStyle w:val="FootnoteReference"/>
          <w:sz w:val="18"/>
          <w:szCs w:val="18"/>
        </w:rPr>
        <w:footnoteRef/>
      </w:r>
      <w:r w:rsidRPr="00DA4E51">
        <w:rPr>
          <w:sz w:val="18"/>
          <w:szCs w:val="18"/>
        </w:rPr>
        <w:t xml:space="preserve"> Il convient de noter qu’en fonction des besoins spécifiques, des indicateurs supplémentaires peuvent être définis.</w:t>
      </w:r>
    </w:p>
  </w:footnote>
  <w:footnote w:id="14">
    <w:p w14:paraId="46689729" w14:textId="655AA370" w:rsidR="00EB5D31" w:rsidRPr="00DA4E51" w:rsidRDefault="00EB5D31" w:rsidP="000A67D6">
      <w:pPr>
        <w:pStyle w:val="FootnoteText"/>
        <w:ind w:right="2"/>
        <w:jc w:val="left"/>
        <w:rPr>
          <w:sz w:val="18"/>
          <w:szCs w:val="18"/>
        </w:rPr>
      </w:pPr>
      <w:r w:rsidRPr="00DA4E51">
        <w:rPr>
          <w:rStyle w:val="FootnoteReference"/>
          <w:sz w:val="18"/>
          <w:szCs w:val="18"/>
        </w:rPr>
        <w:footnoteRef/>
      </w:r>
      <w:r>
        <w:rPr>
          <w:rStyle w:val="Hyperlink"/>
          <w:sz w:val="18"/>
          <w:szCs w:val="18"/>
        </w:rPr>
        <w:t xml:space="preserve"> </w:t>
      </w:r>
      <w:hyperlink r:id="rId3">
        <w:r w:rsidRPr="00DA4E51">
          <w:rPr>
            <w:rStyle w:val="Hyperlink"/>
            <w:sz w:val="18"/>
            <w:szCs w:val="18"/>
          </w:rPr>
          <w:t>http://ec.europa.eu/europeaid/manuel-de-comm-unication-et-de-visibilite-pour-les-actions-exterieures-de-lunion-europeenne_fr</w:t>
        </w:r>
      </w:hyperlink>
    </w:p>
  </w:footnote>
  <w:footnote w:id="15">
    <w:p w14:paraId="357BDED4" w14:textId="05EB0152" w:rsidR="00EB5D31" w:rsidRDefault="00EB5D31" w:rsidP="000A67D6">
      <w:pPr>
        <w:pStyle w:val="FootnoteText"/>
        <w:ind w:right="2"/>
      </w:pPr>
      <w:r w:rsidRPr="00DA4E51">
        <w:rPr>
          <w:rStyle w:val="FootnoteReference"/>
          <w:sz w:val="18"/>
          <w:szCs w:val="18"/>
        </w:rPr>
        <w:footnoteRef/>
      </w:r>
      <w:r w:rsidRPr="00DA4E51">
        <w:rPr>
          <w:sz w:val="18"/>
          <w:szCs w:val="18"/>
        </w:rPr>
        <w:t xml:space="preserve"> </w:t>
      </w:r>
      <w:hyperlink r:id="rId4" w:history="1">
        <w:r w:rsidRPr="00DA4E51">
          <w:rPr>
            <w:rStyle w:val="Hyperlink"/>
            <w:sz w:val="18"/>
            <w:szCs w:val="18"/>
          </w:rPr>
          <w:t>https://ec.europa.eu/europeaid/sites/devco/files/requirements-published_fr.pdf</w:t>
        </w:r>
      </w:hyperlink>
      <w:r>
        <w:t xml:space="preserve"> </w:t>
      </w:r>
    </w:p>
  </w:footnote>
  <w:footnote w:id="16">
    <w:p w14:paraId="2DCA6E0D" w14:textId="77777777" w:rsidR="00EB5D31" w:rsidRPr="001204A0" w:rsidRDefault="00EB5D31" w:rsidP="005A5556">
      <w:pPr>
        <w:autoSpaceDE w:val="0"/>
        <w:autoSpaceDN w:val="0"/>
        <w:adjustRightInd w:val="0"/>
        <w:spacing w:after="0" w:line="240" w:lineRule="auto"/>
        <w:jc w:val="both"/>
        <w:rPr>
          <w:sz w:val="18"/>
          <w:szCs w:val="18"/>
        </w:rPr>
      </w:pPr>
      <w:r w:rsidRPr="001204A0">
        <w:rPr>
          <w:rStyle w:val="FootnoteReference"/>
          <w:rFonts w:ascii="Times New Roman" w:hAnsi="Times New Roman"/>
          <w:sz w:val="18"/>
          <w:szCs w:val="18"/>
        </w:rPr>
        <w:footnoteRef/>
      </w:r>
      <w:r w:rsidRPr="001204A0">
        <w:rPr>
          <w:sz w:val="18"/>
          <w:szCs w:val="18"/>
        </w:rPr>
        <w:t xml:space="preserve"> </w:t>
      </w:r>
      <w:r w:rsidRPr="001204A0">
        <w:rPr>
          <w:rFonts w:ascii="Times New Roman" w:hAnsi="Times New Roman"/>
          <w:sz w:val="18"/>
          <w:szCs w:val="18"/>
        </w:rPr>
        <w:t>Compte tenu de l’avertissement relatif aux demandeurs britanniques, les critères d’éligibilité doivent être respectés pendant toute la durée de la subvention. Cela signifie que si le Royaume-Uni se retire de l’UE au cours de la période de subvention sans qu’un accord de retrait ratifié avec l’UE ne soit entré en vigueur, afin de garantir notamment que les demandeurs britanniques demeurent éligibles, ces demandeurs cesseront de recevoir un financement ou seront contraints de quitter la convention de subvention (résiliation).</w:t>
      </w:r>
    </w:p>
    <w:p w14:paraId="49ECAA23" w14:textId="77777777" w:rsidR="00EB5D31" w:rsidRPr="00A2557B" w:rsidRDefault="00EB5D31">
      <w:pPr>
        <w:pStyle w:val="FootnoteText"/>
      </w:pPr>
    </w:p>
  </w:footnote>
  <w:footnote w:id="17">
    <w:p w14:paraId="1747CA26" w14:textId="77777777" w:rsidR="00EB5D31" w:rsidRPr="005A5556" w:rsidRDefault="00EB5D31" w:rsidP="00D0198E">
      <w:pPr>
        <w:pStyle w:val="FootnoteText"/>
        <w:rPr>
          <w:sz w:val="18"/>
          <w:szCs w:val="18"/>
          <w:lang w:val="fr-BE"/>
        </w:rPr>
      </w:pPr>
      <w:r w:rsidRPr="001204A0">
        <w:rPr>
          <w:rStyle w:val="FootnoteReference"/>
          <w:sz w:val="18"/>
          <w:szCs w:val="18"/>
        </w:rPr>
        <w:footnoteRef/>
      </w:r>
      <w:r w:rsidRPr="001204A0">
        <w:rPr>
          <w:sz w:val="18"/>
          <w:szCs w:val="18"/>
        </w:rPr>
        <w:t xml:space="preserve"> </w:t>
      </w:r>
      <w:r w:rsidRPr="001204A0">
        <w:rPr>
          <w:snapToGrid w:val="0"/>
          <w:color w:val="000000"/>
          <w:sz w:val="18"/>
          <w:szCs w:val="18"/>
        </w:rPr>
        <w:t>TAIEX (Assistance technique et échange d’informations) est un instrument destiné à fournir une assistance technique à court terme pour le rapprochement/la mise en œuvre et l’application de</w:t>
      </w:r>
      <w:r w:rsidRPr="001204A0">
        <w:rPr>
          <w:i/>
          <w:snapToGrid w:val="0"/>
          <w:color w:val="000000"/>
          <w:sz w:val="18"/>
          <w:szCs w:val="18"/>
        </w:rPr>
        <w:t xml:space="preserve"> </w:t>
      </w:r>
      <w:r w:rsidRPr="001204A0">
        <w:rPr>
          <w:snapToGrid w:val="0"/>
          <w:color w:val="000000"/>
          <w:sz w:val="18"/>
          <w:szCs w:val="18"/>
        </w:rPr>
        <w:t>l’acquis de l’UE ainsi que</w:t>
      </w:r>
      <w:r w:rsidRPr="00AD258F">
        <w:rPr>
          <w:snapToGrid w:val="0"/>
          <w:color w:val="000000"/>
        </w:rPr>
        <w:t xml:space="preserve"> </w:t>
      </w:r>
      <w:r w:rsidRPr="001204A0">
        <w:rPr>
          <w:snapToGrid w:val="0"/>
          <w:color w:val="000000"/>
          <w:sz w:val="18"/>
          <w:szCs w:val="18"/>
        </w:rPr>
        <w:t>pour le développement</w:t>
      </w:r>
      <w:r w:rsidRPr="00AD258F">
        <w:rPr>
          <w:snapToGrid w:val="0"/>
          <w:color w:val="000000"/>
        </w:rPr>
        <w:t xml:space="preserve"> </w:t>
      </w:r>
      <w:r w:rsidRPr="001204A0">
        <w:rPr>
          <w:snapToGrid w:val="0"/>
          <w:color w:val="000000"/>
          <w:sz w:val="18"/>
          <w:szCs w:val="18"/>
        </w:rPr>
        <w:t xml:space="preserve">des infrastructures administratives requises. À l’heure actuelle, tous les pays relevant de l’IAP et de l’IEV bénéficient de l’assistance de TAIEX. Pour plus d’informations, voir </w:t>
      </w:r>
      <w:hyperlink r:id="rId5">
        <w:r w:rsidRPr="001204A0">
          <w:rPr>
            <w:rStyle w:val="Hyperlink"/>
            <w:sz w:val="18"/>
            <w:szCs w:val="18"/>
          </w:rPr>
          <w:t>http://ec.europa.eu/taiex/</w:t>
        </w:r>
      </w:hyperlink>
      <w:r w:rsidRPr="001204A0">
        <w:rPr>
          <w:sz w:val="18"/>
          <w:szCs w:val="18"/>
        </w:rPr>
        <w:t>.</w:t>
      </w:r>
    </w:p>
  </w:footnote>
  <w:footnote w:id="18">
    <w:p w14:paraId="6614D3F7" w14:textId="77777777" w:rsidR="00EB5D31" w:rsidRPr="00651BA4" w:rsidRDefault="00EB5D31" w:rsidP="00D0198E">
      <w:pPr>
        <w:pStyle w:val="FootnoteText"/>
        <w:rPr>
          <w:sz w:val="18"/>
          <w:szCs w:val="18"/>
        </w:rPr>
      </w:pPr>
      <w:r w:rsidRPr="00651BA4">
        <w:rPr>
          <w:rStyle w:val="FootnoteReference"/>
          <w:sz w:val="18"/>
          <w:szCs w:val="18"/>
        </w:rPr>
        <w:footnoteRef/>
      </w:r>
      <w:r w:rsidRPr="00651BA4">
        <w:rPr>
          <w:sz w:val="18"/>
          <w:szCs w:val="18"/>
        </w:rPr>
        <w:t xml:space="preserve"> </w:t>
      </w:r>
      <w:r w:rsidRPr="00651BA4">
        <w:rPr>
          <w:color w:val="000000"/>
          <w:sz w:val="18"/>
          <w:szCs w:val="18"/>
        </w:rPr>
        <w:t>La Cour des comptes européenne (CCE) est indépendante de la Commission. Elle a pour mission de vérifier les dépenses de l’Union européenne sur le plan de leur conformité avec les dispositions et principes juridiques, du respect du principe de saine gestion financière et de la réalisation des objectifs.</w:t>
      </w:r>
    </w:p>
  </w:footnote>
  <w:footnote w:id="19">
    <w:p w14:paraId="4814A0D1" w14:textId="77777777" w:rsidR="00EB5D31" w:rsidRDefault="00EB5D31" w:rsidP="00D0198E">
      <w:pPr>
        <w:pStyle w:val="FootnoteText"/>
      </w:pPr>
      <w:r w:rsidRPr="00651BA4">
        <w:rPr>
          <w:rStyle w:val="FootnoteReference"/>
          <w:sz w:val="18"/>
          <w:szCs w:val="18"/>
        </w:rPr>
        <w:footnoteRef/>
      </w:r>
      <w:r w:rsidRPr="00651BA4">
        <w:rPr>
          <w:sz w:val="18"/>
          <w:szCs w:val="18"/>
        </w:rPr>
        <w:t xml:space="preserve"> L’</w:t>
      </w:r>
      <w:r w:rsidRPr="00651BA4">
        <w:rPr>
          <w:color w:val="000000"/>
          <w:sz w:val="18"/>
          <w:szCs w:val="18"/>
        </w:rPr>
        <w:t>Office européen de lutte antifraude (OLAF) est un service de la Commission ayant pour mission de combattre la fraude, la corruption et toute autre activité illégale, y compris au sein des institutions européennes. L’OLAF accomplit sa mission en menant des enquêtes internes et externes en toute indépendance.</w:t>
      </w:r>
    </w:p>
  </w:footnote>
  <w:footnote w:id="20">
    <w:p w14:paraId="1CBABD11" w14:textId="77777777" w:rsidR="00EB5D31" w:rsidRPr="00651BA4" w:rsidRDefault="00EB5D31" w:rsidP="00866A0B">
      <w:pPr>
        <w:pStyle w:val="FootnoteText"/>
        <w:rPr>
          <w:sz w:val="18"/>
          <w:szCs w:val="18"/>
        </w:rPr>
      </w:pPr>
      <w:r w:rsidRPr="00651BA4">
        <w:rPr>
          <w:rStyle w:val="FootnoteReference"/>
          <w:sz w:val="18"/>
          <w:szCs w:val="18"/>
        </w:rPr>
        <w:footnoteRef/>
      </w:r>
      <w:r w:rsidRPr="00651BA4">
        <w:rPr>
          <w:sz w:val="18"/>
          <w:szCs w:val="18"/>
        </w:rPr>
        <w:t xml:space="preserve"> </w:t>
      </w:r>
      <w:r w:rsidRPr="00651BA4">
        <w:rPr>
          <w:color w:val="000000"/>
          <w:sz w:val="18"/>
          <w:szCs w:val="18"/>
        </w:rPr>
        <w:t>Préciser, selon le cas: unité gestionnaire, unité gestionnaire de programme ou autre.</w:t>
      </w:r>
    </w:p>
  </w:footnote>
  <w:footnote w:id="21">
    <w:p w14:paraId="42F3FE62" w14:textId="77777777" w:rsidR="00EB5D31" w:rsidRPr="00651BA4" w:rsidRDefault="00EB5D31" w:rsidP="00866A0B">
      <w:pPr>
        <w:pStyle w:val="FootnoteText"/>
        <w:rPr>
          <w:sz w:val="18"/>
          <w:szCs w:val="18"/>
        </w:rPr>
      </w:pPr>
      <w:r w:rsidRPr="00651BA4">
        <w:rPr>
          <w:rStyle w:val="FootnoteReference"/>
          <w:sz w:val="18"/>
          <w:szCs w:val="18"/>
        </w:rPr>
        <w:footnoteRef/>
      </w:r>
      <w:r w:rsidRPr="00651BA4">
        <w:rPr>
          <w:sz w:val="18"/>
          <w:szCs w:val="18"/>
        </w:rPr>
        <w:t xml:space="preserve"> Dans le cas d’un consortium d’États membres partenaires.</w:t>
      </w:r>
    </w:p>
  </w:footnote>
  <w:footnote w:id="22">
    <w:p w14:paraId="2572BAD6" w14:textId="77777777" w:rsidR="00EB5D31" w:rsidRPr="00651BA4" w:rsidRDefault="00EB5D31" w:rsidP="00866A0B">
      <w:pPr>
        <w:pStyle w:val="FootnoteText"/>
        <w:rPr>
          <w:sz w:val="18"/>
          <w:szCs w:val="18"/>
        </w:rPr>
      </w:pPr>
      <w:r w:rsidRPr="00651BA4">
        <w:rPr>
          <w:rStyle w:val="FootnoteReference"/>
          <w:sz w:val="18"/>
          <w:szCs w:val="18"/>
        </w:rPr>
        <w:footnoteRef/>
      </w:r>
      <w:r w:rsidRPr="00651BA4">
        <w:rPr>
          <w:sz w:val="18"/>
          <w:szCs w:val="18"/>
        </w:rPr>
        <w:t xml:space="preserve"> Il doit s’agir de l’adresse d’enregistrement officielle - l’adresse postale/physique est indiquée à l’article 5 - Adresses de contact</w:t>
      </w:r>
    </w:p>
  </w:footnote>
  <w:footnote w:id="23">
    <w:p w14:paraId="3D76774A" w14:textId="77777777" w:rsidR="00EB5D31" w:rsidRPr="00651BA4" w:rsidRDefault="00EB5D31" w:rsidP="00866A0B">
      <w:pPr>
        <w:pStyle w:val="FootnoteText"/>
        <w:rPr>
          <w:sz w:val="18"/>
          <w:szCs w:val="18"/>
        </w:rPr>
      </w:pPr>
      <w:r w:rsidRPr="00651BA4">
        <w:rPr>
          <w:rStyle w:val="FootnoteReference"/>
          <w:sz w:val="18"/>
          <w:szCs w:val="18"/>
        </w:rPr>
        <w:footnoteRef/>
      </w:r>
      <w:r w:rsidRPr="00651BA4">
        <w:rPr>
          <w:sz w:val="18"/>
          <w:szCs w:val="18"/>
        </w:rPr>
        <w:t xml:space="preserve"> Dans le cas d’un consortium d’États membres partenaires.</w:t>
      </w:r>
    </w:p>
  </w:footnote>
  <w:footnote w:id="24">
    <w:p w14:paraId="04CB19AB" w14:textId="77777777" w:rsidR="00EB5D31" w:rsidRPr="00D13CA2" w:rsidRDefault="00EB5D31" w:rsidP="00866A0B">
      <w:pPr>
        <w:pStyle w:val="FootnoteText"/>
      </w:pPr>
      <w:r w:rsidRPr="00651BA4">
        <w:rPr>
          <w:rStyle w:val="FootnoteReference"/>
          <w:sz w:val="18"/>
          <w:szCs w:val="18"/>
        </w:rPr>
        <w:footnoteRef/>
      </w:r>
      <w:r w:rsidRPr="00651BA4">
        <w:rPr>
          <w:sz w:val="18"/>
          <w:szCs w:val="18"/>
        </w:rPr>
        <w:t xml:space="preserve"> Modèle de procuration figurant à l’annexe A8.</w:t>
      </w:r>
    </w:p>
  </w:footnote>
  <w:footnote w:id="25">
    <w:p w14:paraId="7EA4690B" w14:textId="77777777" w:rsidR="00EB5D31" w:rsidRPr="00651BA4" w:rsidRDefault="00EB5D31" w:rsidP="00866A0B">
      <w:pPr>
        <w:pStyle w:val="FootnoteText"/>
        <w:rPr>
          <w:sz w:val="18"/>
          <w:szCs w:val="18"/>
        </w:rPr>
      </w:pPr>
      <w:r w:rsidRPr="00651BA4">
        <w:rPr>
          <w:rStyle w:val="FootnoteReference"/>
          <w:sz w:val="18"/>
          <w:szCs w:val="18"/>
        </w:rPr>
        <w:footnoteRef/>
      </w:r>
      <w:r w:rsidRPr="00651BA4">
        <w:rPr>
          <w:sz w:val="18"/>
          <w:szCs w:val="18"/>
        </w:rPr>
        <w:t xml:space="preserve"> Nom du bénéficiaire et de l’administration bénéficiaire du contrat de subvention de jumelage.</w:t>
      </w:r>
    </w:p>
  </w:footnote>
  <w:footnote w:id="26">
    <w:p w14:paraId="045EC67B" w14:textId="77777777" w:rsidR="00EB5D31" w:rsidRPr="00651BA4" w:rsidRDefault="00EB5D31" w:rsidP="00866A0B">
      <w:pPr>
        <w:pStyle w:val="FootnoteText"/>
        <w:rPr>
          <w:sz w:val="18"/>
          <w:szCs w:val="18"/>
        </w:rPr>
      </w:pPr>
      <w:r w:rsidRPr="00651BA4">
        <w:rPr>
          <w:rStyle w:val="FootnoteReference"/>
          <w:sz w:val="18"/>
          <w:szCs w:val="18"/>
        </w:rPr>
        <w:footnoteRef/>
      </w:r>
      <w:r w:rsidRPr="00651BA4">
        <w:rPr>
          <w:sz w:val="18"/>
          <w:szCs w:val="18"/>
        </w:rPr>
        <w:t xml:space="preserve"> Dans le cas d’un consortium d’États membres partenaires.</w:t>
      </w:r>
    </w:p>
  </w:footnote>
  <w:footnote w:id="27">
    <w:p w14:paraId="42F11D59" w14:textId="77777777" w:rsidR="00EB5D31" w:rsidRPr="00651BA4" w:rsidRDefault="00EB5D31">
      <w:pPr>
        <w:pStyle w:val="FootnoteText"/>
        <w:rPr>
          <w:sz w:val="18"/>
          <w:szCs w:val="18"/>
        </w:rPr>
      </w:pPr>
      <w:r w:rsidRPr="00651BA4">
        <w:rPr>
          <w:rStyle w:val="FootnoteReference"/>
          <w:sz w:val="18"/>
          <w:szCs w:val="18"/>
        </w:rPr>
        <w:footnoteRef/>
      </w:r>
      <w:r w:rsidRPr="00651BA4">
        <w:rPr>
          <w:sz w:val="18"/>
          <w:szCs w:val="18"/>
        </w:rPr>
        <w:t xml:space="preserve"> Dans le cas où l’auditeur ne serait sélectionné qu’à un stade ultérieur, en faire la mention à l’article 5.2 en indiquant «sera identifié et notifié ultérieurement»</w:t>
      </w:r>
    </w:p>
  </w:footnote>
  <w:footnote w:id="28">
    <w:p w14:paraId="36FFAFCE" w14:textId="77777777" w:rsidR="00EB5D31" w:rsidRPr="00651BA4" w:rsidRDefault="00EB5D31" w:rsidP="00866A0B">
      <w:pPr>
        <w:pStyle w:val="FootnoteText"/>
        <w:rPr>
          <w:sz w:val="18"/>
          <w:szCs w:val="18"/>
        </w:rPr>
      </w:pPr>
      <w:r w:rsidRPr="00651BA4">
        <w:rPr>
          <w:rStyle w:val="FootnoteReference"/>
          <w:sz w:val="18"/>
          <w:szCs w:val="18"/>
        </w:rPr>
        <w:footnoteRef/>
      </w:r>
      <w:r w:rsidRPr="00651BA4">
        <w:rPr>
          <w:sz w:val="18"/>
          <w:szCs w:val="18"/>
        </w:rPr>
        <w:t xml:space="preserve"> Pour les contrats de subvention de jumelage financés par l’IAP I, les taxes, y compris la TVA, les droits et les charges et tous les autres coûts indiqués à l’article 34, paragraphe 3, du règlement [(CE) n° 718/2007 du 12 juin 2007, tel que modifié)] portant application de l’instrument d’aide de préadhésion (IAP) ne sont pas éligibles pour les activités décrites à l’annexe A1. Prière d’adapter en fonction de toutes les dérogations en vigueur (déjà autorisées) basées sur l’article 66, paragraphe 3, des modalités d’exécution de l’IAP.</w:t>
      </w:r>
    </w:p>
  </w:footnote>
  <w:footnote w:id="29">
    <w:p w14:paraId="0A084ED3" w14:textId="77777777" w:rsidR="00EB5D31" w:rsidRPr="00C903AB" w:rsidRDefault="00EB5D31" w:rsidP="00866A0B">
      <w:pPr>
        <w:pStyle w:val="FootnoteText"/>
        <w:rPr>
          <w:sz w:val="18"/>
          <w:szCs w:val="18"/>
        </w:rPr>
      </w:pPr>
      <w:r w:rsidRPr="00C903AB">
        <w:rPr>
          <w:rStyle w:val="FootnoteReference"/>
          <w:sz w:val="18"/>
          <w:szCs w:val="18"/>
        </w:rPr>
        <w:footnoteRef/>
      </w:r>
      <w:r w:rsidRPr="00C903AB">
        <w:rPr>
          <w:sz w:val="18"/>
          <w:szCs w:val="18"/>
        </w:rPr>
        <w:t xml:space="preserve"> Dans le cas d’un consortium de projets d’États membres.</w:t>
      </w:r>
    </w:p>
  </w:footnote>
  <w:footnote w:id="30">
    <w:p w14:paraId="7BC4B816" w14:textId="77777777" w:rsidR="00EB5D31" w:rsidRPr="00C903AB" w:rsidRDefault="00EB5D31" w:rsidP="00866A0B">
      <w:pPr>
        <w:pStyle w:val="CommentText"/>
        <w:rPr>
          <w:sz w:val="18"/>
          <w:szCs w:val="18"/>
        </w:rPr>
      </w:pPr>
      <w:r w:rsidRPr="00C903AB">
        <w:rPr>
          <w:rStyle w:val="FootnoteReference"/>
          <w:sz w:val="18"/>
          <w:szCs w:val="18"/>
        </w:rPr>
        <w:footnoteRef/>
      </w:r>
      <w:r w:rsidRPr="00C903AB">
        <w:rPr>
          <w:sz w:val="18"/>
          <w:szCs w:val="18"/>
        </w:rPr>
        <w:t xml:space="preserve"> Nom de la ou des personnes habilitées à signer.</w:t>
      </w:r>
    </w:p>
  </w:footnote>
  <w:footnote w:id="31">
    <w:p w14:paraId="44D7101D" w14:textId="77777777" w:rsidR="00EB5D31" w:rsidRPr="00C903AB" w:rsidRDefault="00EB5D31" w:rsidP="00866A0B">
      <w:pPr>
        <w:pStyle w:val="CommentText"/>
        <w:rPr>
          <w:sz w:val="18"/>
          <w:szCs w:val="18"/>
        </w:rPr>
      </w:pPr>
      <w:r w:rsidRPr="00C903AB">
        <w:rPr>
          <w:rStyle w:val="FootnoteReference"/>
          <w:sz w:val="18"/>
          <w:szCs w:val="18"/>
        </w:rPr>
        <w:footnoteRef/>
      </w:r>
      <w:r w:rsidRPr="00C903AB">
        <w:rPr>
          <w:sz w:val="18"/>
          <w:szCs w:val="18"/>
        </w:rPr>
        <w:t xml:space="preserve"> Nom du ou des fonctionnaires habilités à signer.</w:t>
      </w:r>
    </w:p>
  </w:footnote>
  <w:footnote w:id="32">
    <w:p w14:paraId="09920693" w14:textId="77777777" w:rsidR="00EB5D31" w:rsidRPr="00C903AB" w:rsidRDefault="00EB5D31" w:rsidP="00866A0B">
      <w:pPr>
        <w:pStyle w:val="FootnoteText"/>
        <w:rPr>
          <w:sz w:val="18"/>
          <w:szCs w:val="18"/>
        </w:rPr>
      </w:pPr>
      <w:r w:rsidRPr="00C903AB">
        <w:rPr>
          <w:rStyle w:val="FootnoteReference"/>
          <w:sz w:val="18"/>
          <w:szCs w:val="18"/>
        </w:rPr>
        <w:footnoteRef/>
      </w:r>
      <w:r w:rsidRPr="00C903AB">
        <w:rPr>
          <w:sz w:val="18"/>
          <w:szCs w:val="18"/>
        </w:rPr>
        <w:t xml:space="preserve"> Titre de la ou des personnes habilitées à signer.</w:t>
      </w:r>
    </w:p>
  </w:footnote>
  <w:footnote w:id="33">
    <w:p w14:paraId="4212E74E" w14:textId="77777777" w:rsidR="00EB5D31" w:rsidRPr="00C903AB" w:rsidRDefault="00EB5D31" w:rsidP="00866A0B">
      <w:pPr>
        <w:pStyle w:val="FootnoteText"/>
        <w:rPr>
          <w:sz w:val="18"/>
          <w:szCs w:val="18"/>
        </w:rPr>
      </w:pPr>
      <w:r w:rsidRPr="00C903AB">
        <w:rPr>
          <w:rStyle w:val="FootnoteReference"/>
          <w:sz w:val="18"/>
          <w:szCs w:val="18"/>
        </w:rPr>
        <w:footnoteRef/>
      </w:r>
      <w:r w:rsidRPr="00C903AB">
        <w:rPr>
          <w:sz w:val="18"/>
          <w:szCs w:val="18"/>
        </w:rPr>
        <w:t xml:space="preserve"> Titre du ou des fonctionnaires habilités à signer.</w:t>
      </w:r>
    </w:p>
  </w:footnote>
  <w:footnote w:id="34">
    <w:p w14:paraId="6A407420" w14:textId="77777777" w:rsidR="00EB5D31" w:rsidRPr="00C903AB" w:rsidRDefault="00EB5D31" w:rsidP="00866A0B">
      <w:pPr>
        <w:pStyle w:val="CommentText"/>
        <w:rPr>
          <w:sz w:val="18"/>
          <w:szCs w:val="18"/>
        </w:rPr>
      </w:pPr>
      <w:r w:rsidRPr="00C903AB">
        <w:rPr>
          <w:rStyle w:val="FootnoteReference"/>
          <w:sz w:val="18"/>
          <w:szCs w:val="18"/>
        </w:rPr>
        <w:footnoteRef/>
      </w:r>
      <w:r w:rsidRPr="00C903AB">
        <w:rPr>
          <w:sz w:val="18"/>
          <w:szCs w:val="18"/>
        </w:rPr>
        <w:t xml:space="preserve"> Nom du ou des fonctionnaires habilités à signer.</w:t>
      </w:r>
    </w:p>
  </w:footnote>
  <w:footnote w:id="35">
    <w:p w14:paraId="45B3D2D4" w14:textId="77777777" w:rsidR="00EB5D31" w:rsidRPr="004550EF" w:rsidRDefault="00EB5D31" w:rsidP="00866A0B">
      <w:pPr>
        <w:pStyle w:val="FootnoteText"/>
      </w:pPr>
      <w:r w:rsidRPr="00C903AB">
        <w:rPr>
          <w:rStyle w:val="FootnoteReference"/>
          <w:sz w:val="18"/>
          <w:szCs w:val="18"/>
        </w:rPr>
        <w:footnoteRef/>
      </w:r>
      <w:r w:rsidRPr="00C903AB">
        <w:rPr>
          <w:sz w:val="18"/>
          <w:szCs w:val="18"/>
        </w:rPr>
        <w:t xml:space="preserve"> Titre du ou des fonctionnaires habilités à signer.</w:t>
      </w:r>
    </w:p>
  </w:footnote>
  <w:footnote w:id="36">
    <w:p w14:paraId="1EABFBBD" w14:textId="77777777" w:rsidR="00EB5D31" w:rsidRPr="00B43DD5" w:rsidRDefault="00EB5D31" w:rsidP="006C5F2F">
      <w:pPr>
        <w:jc w:val="both"/>
        <w:rPr>
          <w:rFonts w:ascii="Times New Roman" w:hAnsi="Times New Roman" w:cs="Times New Roman"/>
          <w:bCs/>
          <w:sz w:val="18"/>
          <w:szCs w:val="18"/>
        </w:rPr>
      </w:pPr>
      <w:r w:rsidRPr="00B43DD5">
        <w:rPr>
          <w:rStyle w:val="FootnoteReference"/>
          <w:rFonts w:ascii="Times New Roman" w:hAnsi="Times New Roman"/>
          <w:sz w:val="18"/>
          <w:szCs w:val="18"/>
        </w:rPr>
        <w:footnoteRef/>
      </w:r>
      <w:r w:rsidRPr="00B43DD5">
        <w:rPr>
          <w:rFonts w:ascii="Times New Roman" w:hAnsi="Times New Roman" w:cs="Times New Roman"/>
          <w:sz w:val="18"/>
          <w:szCs w:val="18"/>
        </w:rPr>
        <w:t xml:space="preserve">  La valeur de ces coûts unitaires sera déterminée par la Commission. </w:t>
      </w:r>
    </w:p>
    <w:p w14:paraId="46E54AA4" w14:textId="77777777" w:rsidR="00EB5D31" w:rsidRPr="006C5F2F" w:rsidRDefault="00EB5D31">
      <w:pPr>
        <w:pStyle w:val="FootnoteText"/>
      </w:pPr>
    </w:p>
  </w:footnote>
  <w:footnote w:id="37">
    <w:p w14:paraId="656D4C45" w14:textId="77777777" w:rsidR="00EB5D31" w:rsidRPr="00CC3DFC" w:rsidRDefault="00EB5D31" w:rsidP="00F0650C">
      <w:pPr>
        <w:pStyle w:val="FootnoteText"/>
        <w:rPr>
          <w:sz w:val="18"/>
          <w:szCs w:val="18"/>
        </w:rPr>
      </w:pPr>
      <w:r w:rsidRPr="00CC3DFC">
        <w:rPr>
          <w:rStyle w:val="FootnoteReference"/>
          <w:sz w:val="18"/>
          <w:szCs w:val="18"/>
        </w:rPr>
        <w:footnoteRef/>
      </w:r>
      <w:r w:rsidRPr="00CC3DFC">
        <w:rPr>
          <w:sz w:val="18"/>
          <w:szCs w:val="18"/>
        </w:rPr>
        <w:t xml:space="preserve"> En vertu du règlement commun de mise en œuvre (pas l’IAP I) et du FED, les fournitures peuvent provenir de tout pays si le montant des fournitures faisant l’objet du marché est inférieur à 100 000 EUR par achat. </w:t>
      </w:r>
    </w:p>
  </w:footnote>
  <w:footnote w:id="38">
    <w:p w14:paraId="2D13D2FA" w14:textId="77777777" w:rsidR="00EB5D31" w:rsidRPr="00C97C61" w:rsidRDefault="00EB5D31" w:rsidP="00F0650C">
      <w:pPr>
        <w:pStyle w:val="FootnoteText"/>
      </w:pPr>
      <w:r w:rsidRPr="00CC3DFC">
        <w:rPr>
          <w:rStyle w:val="FootnoteReference"/>
          <w:sz w:val="18"/>
          <w:szCs w:val="18"/>
        </w:rPr>
        <w:footnoteRef/>
      </w:r>
      <w:r w:rsidRPr="00CC3DFC">
        <w:rPr>
          <w:sz w:val="18"/>
          <w:szCs w:val="18"/>
        </w:rPr>
        <w:t xml:space="preserve"> Dans le cadre de la présente annexe, le terme «origine» est défini au chapitre 2 du règlement (CE) nº 450/2008 du Parlement européen et du Conseil du 23 avril 2008 établissant le code des douanes communautaire (code des douanes modernisé).</w:t>
      </w:r>
    </w:p>
  </w:footnote>
  <w:footnote w:id="39">
    <w:p w14:paraId="6C91877A" w14:textId="3F06B849" w:rsidR="00EB5D31" w:rsidRPr="00CC3DFC" w:rsidRDefault="00EB5D31" w:rsidP="00EB5D31">
      <w:pPr>
        <w:pStyle w:val="FootnoteText"/>
        <w:rPr>
          <w:sz w:val="18"/>
          <w:szCs w:val="18"/>
        </w:rPr>
      </w:pPr>
      <w:r w:rsidRPr="00CC3DFC">
        <w:rPr>
          <w:rStyle w:val="FootnoteReference"/>
          <w:sz w:val="18"/>
          <w:szCs w:val="18"/>
        </w:rPr>
        <w:footnoteRef/>
      </w:r>
      <w:r>
        <w:rPr>
          <w:sz w:val="18"/>
          <w:szCs w:val="18"/>
        </w:rPr>
        <w:t xml:space="preserve"> </w:t>
      </w:r>
      <w:r w:rsidRPr="00CC3DFC">
        <w:rPr>
          <w:sz w:val="18"/>
          <w:szCs w:val="18"/>
        </w:rPr>
        <w:t xml:space="preserve">Ne pas oublier d’adresser copie de cette lettre, le cas échéant, aux entités mentionnées à l’article 5.1 des conditions particulières du </w:t>
      </w:r>
      <w:r w:rsidRPr="00CC3DFC">
        <w:rPr>
          <w:color w:val="000000"/>
          <w:sz w:val="18"/>
          <w:szCs w:val="18"/>
        </w:rPr>
        <w:t>contrat de subvention de jumelage</w:t>
      </w:r>
      <w:r w:rsidRPr="00CC3DFC">
        <w:rPr>
          <w:sz w:val="18"/>
          <w:szCs w:val="18"/>
        </w:rPr>
        <w:t>.</w:t>
      </w:r>
    </w:p>
  </w:footnote>
  <w:footnote w:id="40">
    <w:p w14:paraId="2607382D" w14:textId="2249B209" w:rsidR="00EB5D31" w:rsidRPr="00CC3DFC" w:rsidRDefault="00EB5D31" w:rsidP="00EB5D31">
      <w:pPr>
        <w:pStyle w:val="FootnoteText"/>
        <w:rPr>
          <w:sz w:val="18"/>
          <w:szCs w:val="18"/>
        </w:rPr>
      </w:pPr>
      <w:r w:rsidRPr="00CC3DFC">
        <w:rPr>
          <w:rStyle w:val="FootnoteReference"/>
          <w:sz w:val="18"/>
          <w:szCs w:val="18"/>
        </w:rPr>
        <w:footnoteRef/>
      </w:r>
      <w:r>
        <w:rPr>
          <w:sz w:val="18"/>
          <w:szCs w:val="18"/>
        </w:rPr>
        <w:t xml:space="preserve"> </w:t>
      </w:r>
      <w:r w:rsidRPr="00CC3DFC">
        <w:rPr>
          <w:sz w:val="18"/>
          <w:szCs w:val="18"/>
        </w:rPr>
        <w:t>Dans le cas d’un consortium d’États membres. Les parties peuvent avoir convenu d’un organisme délégué chargé de la gestion des paiements.</w:t>
      </w:r>
    </w:p>
  </w:footnote>
  <w:footnote w:id="41">
    <w:p w14:paraId="7E02DCB4" w14:textId="3A771737" w:rsidR="00EB5D31" w:rsidRPr="00CD3840" w:rsidRDefault="00EB5D31" w:rsidP="00EB5D31">
      <w:pPr>
        <w:pStyle w:val="FootnoteText"/>
      </w:pPr>
      <w:r w:rsidRPr="00CC3DFC">
        <w:rPr>
          <w:rStyle w:val="FootnoteReference"/>
          <w:sz w:val="18"/>
          <w:szCs w:val="18"/>
        </w:rPr>
        <w:footnoteRef/>
      </w:r>
      <w:r>
        <w:rPr>
          <w:sz w:val="18"/>
          <w:szCs w:val="18"/>
        </w:rPr>
        <w:t xml:space="preserve"> </w:t>
      </w:r>
      <w:r w:rsidRPr="00CC3DFC">
        <w:rPr>
          <w:sz w:val="18"/>
          <w:szCs w:val="18"/>
        </w:rPr>
        <w:t>Si un compte bancaire différent doit être utilisé, un nouveau signalétique financier doit être fourni en temps utile.</w:t>
      </w:r>
    </w:p>
  </w:footnote>
  <w:footnote w:id="42">
    <w:p w14:paraId="4ED9D4BC" w14:textId="77777777" w:rsidR="00EB5D31" w:rsidRPr="000F59B0" w:rsidRDefault="00EB5D31" w:rsidP="00D0198E">
      <w:pPr>
        <w:ind w:left="284" w:hanging="284"/>
        <w:jc w:val="both"/>
        <w:rPr>
          <w:sz w:val="20"/>
        </w:rPr>
      </w:pPr>
      <w:r>
        <w:rPr>
          <w:rStyle w:val="FootnoteReference"/>
          <w:sz w:val="20"/>
        </w:rPr>
        <w:footnoteRef/>
      </w:r>
      <w:r>
        <w:tab/>
      </w:r>
      <w:r>
        <w:rPr>
          <w:rFonts w:ascii="Times New Roman" w:hAnsi="Times New Roman"/>
          <w:sz w:val="20"/>
        </w:rPr>
        <w:t>Directive 2006/43/CE du Parlement européen et du Conseil du 17 mai 2006 concernant les contrôles légaux des comptes annuels et des comptes consolidés et modifiant les directives 78/660/CEE et 83/349/CEE du Conseil, et abrogeant la directive 84/253/CEE du Conseil.</w:t>
      </w:r>
    </w:p>
    <w:p w14:paraId="15C30724" w14:textId="77777777" w:rsidR="00EB5D31" w:rsidRPr="000F59B0" w:rsidRDefault="00EB5D31" w:rsidP="00D0198E">
      <w:pPr>
        <w:pStyle w:val="FootnoteText"/>
      </w:pPr>
    </w:p>
  </w:footnote>
  <w:footnote w:id="43">
    <w:p w14:paraId="75F5B78F" w14:textId="77777777" w:rsidR="00EB5D31" w:rsidRPr="00D15721" w:rsidRDefault="00EB5D31" w:rsidP="00D0198E">
      <w:pPr>
        <w:pStyle w:val="FootnoteText"/>
        <w:ind w:left="284" w:hanging="284"/>
        <w:rPr>
          <w:sz w:val="18"/>
          <w:szCs w:val="18"/>
        </w:rPr>
      </w:pPr>
      <w:r>
        <w:rPr>
          <w:rStyle w:val="FootnoteReference"/>
          <w:sz w:val="18"/>
        </w:rPr>
        <w:footnoteRef/>
      </w:r>
      <w:r>
        <w:tab/>
      </w:r>
      <w:r>
        <w:rPr>
          <w:sz w:val="18"/>
        </w:rPr>
        <w:t>Se reporter à l’annexe «E3a2 Liste de contrôle pour les options de coûts simplifiés» du PRAG pour obtenir des informations complémentaires.</w:t>
      </w:r>
    </w:p>
  </w:footnote>
  <w:footnote w:id="44">
    <w:p w14:paraId="6E8FCDBA" w14:textId="77777777" w:rsidR="00EB5D31" w:rsidRPr="004946B7" w:rsidRDefault="00EB5D31" w:rsidP="003947FF">
      <w:pPr>
        <w:pStyle w:val="FootnoteText"/>
        <w:rPr>
          <w:sz w:val="18"/>
          <w:szCs w:val="18"/>
        </w:rPr>
      </w:pPr>
      <w:r w:rsidRPr="004946B7">
        <w:rPr>
          <w:rStyle w:val="FootnoteReference"/>
          <w:sz w:val="18"/>
          <w:szCs w:val="18"/>
        </w:rPr>
        <w:footnoteRef/>
      </w:r>
      <w:r w:rsidRPr="004946B7">
        <w:rPr>
          <w:sz w:val="18"/>
          <w:szCs w:val="18"/>
        </w:rPr>
        <w:t xml:space="preserve"> </w:t>
      </w:r>
      <w:hyperlink r:id="rId6">
        <w:r w:rsidRPr="004946B7">
          <w:rPr>
            <w:rStyle w:val="Hyperlink"/>
            <w:sz w:val="18"/>
            <w:szCs w:val="18"/>
          </w:rPr>
          <w:t>http://ec.europa.eu/europeaid/diem-rates-applicable-eu-funded-external-aid-contracts-17032017_en</w:t>
        </w:r>
      </w:hyperlink>
      <w:r w:rsidRPr="004946B7">
        <w:rPr>
          <w:sz w:val="18"/>
          <w:szCs w:val="18"/>
        </w:rPr>
        <w:t xml:space="preserve"> </w:t>
      </w:r>
    </w:p>
  </w:footnote>
  <w:footnote w:id="45">
    <w:p w14:paraId="1DD43E40" w14:textId="77777777" w:rsidR="00EB5D31" w:rsidRPr="004946B7" w:rsidRDefault="00EB5D31" w:rsidP="003947FF">
      <w:pPr>
        <w:pStyle w:val="FootnoteText"/>
        <w:rPr>
          <w:sz w:val="18"/>
          <w:szCs w:val="18"/>
        </w:rPr>
      </w:pPr>
      <w:r w:rsidRPr="004946B7">
        <w:rPr>
          <w:rStyle w:val="FootnoteReference"/>
          <w:sz w:val="18"/>
          <w:szCs w:val="18"/>
        </w:rPr>
        <w:footnoteRef/>
      </w:r>
      <w:r w:rsidRPr="004946B7">
        <w:rPr>
          <w:sz w:val="18"/>
          <w:szCs w:val="18"/>
        </w:rPr>
        <w:t xml:space="preserve"> </w:t>
      </w:r>
      <w:hyperlink r:id="rId7">
        <w:r w:rsidRPr="004946B7">
          <w:rPr>
            <w:rStyle w:val="Hyperlink"/>
            <w:sz w:val="18"/>
            <w:szCs w:val="18"/>
          </w:rPr>
          <w:t>http://ec.europa.eu/europeaid/diem-rates-applicable-eu-funded-external-aid-contracts-17032017_en</w:t>
        </w:r>
      </w:hyperlink>
      <w:r w:rsidRPr="004946B7">
        <w:rPr>
          <w:sz w:val="18"/>
          <w:szCs w:val="18"/>
        </w:rPr>
        <w:t xml:space="preserve"> </w:t>
      </w:r>
    </w:p>
  </w:footnote>
  <w:footnote w:id="46">
    <w:p w14:paraId="7264E374" w14:textId="77777777" w:rsidR="00EB5D31" w:rsidRPr="004946B7" w:rsidRDefault="00EB5D31" w:rsidP="003947FF">
      <w:pPr>
        <w:pStyle w:val="FootnoteText"/>
        <w:rPr>
          <w:sz w:val="18"/>
          <w:szCs w:val="18"/>
        </w:rPr>
      </w:pPr>
      <w:r w:rsidRPr="004946B7">
        <w:rPr>
          <w:rStyle w:val="FootnoteReference"/>
          <w:sz w:val="18"/>
          <w:szCs w:val="18"/>
        </w:rPr>
        <w:footnoteRef/>
      </w:r>
      <w:r w:rsidRPr="004946B7">
        <w:rPr>
          <w:sz w:val="18"/>
          <w:szCs w:val="18"/>
        </w:rPr>
        <w:t xml:space="preserve"> À l’exception des frais de voyage financés au titre de l’IAP I.</w:t>
      </w:r>
    </w:p>
  </w:footnote>
  <w:footnote w:id="47">
    <w:p w14:paraId="2376E0EA" w14:textId="77777777" w:rsidR="00EB5D31" w:rsidRPr="004946B7" w:rsidRDefault="00EB5D31" w:rsidP="00D0198E">
      <w:pPr>
        <w:pStyle w:val="FootnoteText"/>
        <w:ind w:left="284" w:hanging="284"/>
        <w:rPr>
          <w:sz w:val="18"/>
          <w:szCs w:val="18"/>
        </w:rPr>
      </w:pPr>
      <w:r w:rsidRPr="004946B7">
        <w:rPr>
          <w:rStyle w:val="FootnoteReference"/>
          <w:sz w:val="18"/>
          <w:szCs w:val="18"/>
        </w:rPr>
        <w:footnoteRef/>
      </w:r>
      <w:r w:rsidRPr="004946B7">
        <w:rPr>
          <w:sz w:val="18"/>
          <w:szCs w:val="18"/>
          <w:vertAlign w:val="superscript"/>
        </w:rPr>
        <w:t xml:space="preserve"> </w:t>
      </w:r>
      <w:r w:rsidRPr="004946B7">
        <w:rPr>
          <w:sz w:val="18"/>
          <w:szCs w:val="18"/>
        </w:rPr>
        <w:tab/>
        <w:t>À compléter par le CRJ.</w:t>
      </w:r>
    </w:p>
  </w:footnote>
  <w:footnote w:id="48">
    <w:p w14:paraId="64FC8E69" w14:textId="77777777" w:rsidR="00EB5D31" w:rsidRPr="004946B7" w:rsidRDefault="00EB5D31">
      <w:pPr>
        <w:pStyle w:val="FootnoteText"/>
        <w:rPr>
          <w:sz w:val="18"/>
          <w:szCs w:val="18"/>
        </w:rPr>
      </w:pPr>
      <w:r w:rsidRPr="004946B7">
        <w:rPr>
          <w:rStyle w:val="FootnoteReference"/>
          <w:sz w:val="18"/>
          <w:szCs w:val="18"/>
        </w:rPr>
        <w:footnoteRef/>
      </w:r>
      <w:r w:rsidRPr="004946B7">
        <w:rPr>
          <w:sz w:val="18"/>
          <w:szCs w:val="18"/>
        </w:rPr>
        <w:t xml:space="preserve"> S’il existe plusieurs versions linguistiques de la fiche de jumelage, il convient d’indiquer clairement la version qui prévaut.</w:t>
      </w:r>
    </w:p>
  </w:footnote>
  <w:footnote w:id="49">
    <w:p w14:paraId="47F02F48" w14:textId="77777777" w:rsidR="00EB5D31" w:rsidRPr="004946B7" w:rsidRDefault="00EB5D31">
      <w:pPr>
        <w:pStyle w:val="FootnoteText"/>
        <w:rPr>
          <w:sz w:val="18"/>
          <w:szCs w:val="18"/>
        </w:rPr>
      </w:pPr>
      <w:r w:rsidRPr="004946B7">
        <w:rPr>
          <w:rStyle w:val="FootnoteReference"/>
          <w:sz w:val="18"/>
          <w:szCs w:val="18"/>
        </w:rPr>
        <w:footnoteRef/>
      </w:r>
      <w:r w:rsidRPr="004946B7">
        <w:rPr>
          <w:sz w:val="18"/>
          <w:szCs w:val="18"/>
        </w:rPr>
        <w:t xml:space="preserve"> Les points 7.1 à 7.3 doivent être conservés inchangés dans toutes les fiches de jumelage.</w:t>
      </w:r>
    </w:p>
  </w:footnote>
  <w:footnote w:id="50">
    <w:p w14:paraId="6452AE87" w14:textId="77777777" w:rsidR="00EB5D31" w:rsidRPr="004946B7" w:rsidRDefault="00EB5D31">
      <w:pPr>
        <w:pStyle w:val="FootnoteText"/>
        <w:rPr>
          <w:sz w:val="18"/>
          <w:szCs w:val="18"/>
        </w:rPr>
      </w:pPr>
      <w:r w:rsidRPr="004946B7">
        <w:rPr>
          <w:rStyle w:val="FootnoteReference"/>
          <w:sz w:val="18"/>
          <w:szCs w:val="18"/>
        </w:rPr>
        <w:footnoteRef/>
      </w:r>
      <w:r w:rsidRPr="004946B7">
        <w:rPr>
          <w:sz w:val="18"/>
          <w:szCs w:val="18"/>
        </w:rPr>
        <w:t xml:space="preserve"> La fiche d’un projet de jumelage léger devrait être détaillée dès lors qu’elle constituera une annexe au contrat de subvention de jumelage léger au même titre que la proposition de jumelage sélectionnée de l’État membre. La fiche de projet de jumelage léger, outre toutes les données et informations mentionnées au point 2.1.1, fournit également des indications concrètes sur la manière dont le plan de travail devrait être élaboré, sur le programme d’activités proposé, sur le profil des experts à court terme et sur les objectifs et indicateurs qui devraient être définis pour assurer l’obtention en temps opportun des résultats obligatoires.</w:t>
      </w:r>
    </w:p>
  </w:footnote>
  <w:footnote w:id="51">
    <w:p w14:paraId="52FE54EC" w14:textId="77777777" w:rsidR="00EB5D31" w:rsidRPr="004946B7" w:rsidRDefault="00EB5D31" w:rsidP="00D177B1">
      <w:pPr>
        <w:rPr>
          <w:rFonts w:ascii="Times New Roman" w:hAnsi="Times New Roman" w:cs="Times New Roman"/>
          <w:sz w:val="18"/>
          <w:szCs w:val="18"/>
        </w:rPr>
      </w:pPr>
      <w:r w:rsidRPr="004946B7">
        <w:rPr>
          <w:rStyle w:val="FootnoteReference"/>
          <w:rFonts w:ascii="Times New Roman" w:hAnsi="Times New Roman"/>
          <w:sz w:val="18"/>
          <w:szCs w:val="18"/>
        </w:rPr>
        <w:footnoteRef/>
      </w:r>
      <w:r w:rsidRPr="004946B7">
        <w:rPr>
          <w:rFonts w:ascii="Times New Roman" w:hAnsi="Times New Roman" w:cs="Times New Roman"/>
          <w:sz w:val="18"/>
          <w:szCs w:val="18"/>
        </w:rPr>
        <w:t xml:space="preserve"> </w:t>
      </w:r>
      <w:hyperlink r:id="rId8">
        <w:r w:rsidRPr="004946B7">
          <w:rPr>
            <w:rStyle w:val="Hyperlink"/>
            <w:rFonts w:ascii="Times New Roman" w:hAnsi="Times New Roman"/>
            <w:sz w:val="18"/>
            <w:szCs w:val="18"/>
          </w:rPr>
          <w:t>https://europass.cedefop.europa.eu/fr/documents/curriculum-vitae</w:t>
        </w:r>
      </w:hyperlink>
    </w:p>
  </w:footnote>
  <w:footnote w:id="52">
    <w:p w14:paraId="020CC073" w14:textId="77777777" w:rsidR="00EB5D31" w:rsidRPr="004946B7" w:rsidRDefault="00EB5D31" w:rsidP="00204469">
      <w:pPr>
        <w:rPr>
          <w:rFonts w:ascii="Times New Roman" w:hAnsi="Times New Roman" w:cs="Times New Roman"/>
          <w:sz w:val="18"/>
          <w:szCs w:val="18"/>
        </w:rPr>
      </w:pPr>
      <w:r w:rsidRPr="004946B7">
        <w:rPr>
          <w:rStyle w:val="FootnoteReference"/>
          <w:rFonts w:ascii="Times New Roman" w:hAnsi="Times New Roman"/>
          <w:sz w:val="18"/>
          <w:szCs w:val="18"/>
        </w:rPr>
        <w:footnoteRef/>
      </w:r>
      <w:r w:rsidRPr="004946B7">
        <w:rPr>
          <w:rFonts w:ascii="Times New Roman" w:hAnsi="Times New Roman"/>
          <w:sz w:val="18"/>
          <w:szCs w:val="18"/>
        </w:rPr>
        <w:t xml:space="preserve"> </w:t>
      </w:r>
      <w:hyperlink r:id="rId9">
        <w:r w:rsidRPr="004946B7">
          <w:rPr>
            <w:rStyle w:val="Hyperlink"/>
            <w:rFonts w:ascii="Times New Roman" w:hAnsi="Times New Roman"/>
            <w:sz w:val="18"/>
            <w:szCs w:val="18"/>
          </w:rPr>
          <w:t>https://europass.cedefop.europa.eu/fr/documents/curriculum-vitae</w:t>
        </w:r>
      </w:hyperlink>
    </w:p>
  </w:footnote>
  <w:footnote w:id="53">
    <w:p w14:paraId="3E3F9FAB" w14:textId="77777777" w:rsidR="00EB5D31" w:rsidRPr="004946B7" w:rsidRDefault="00EB5D31">
      <w:pPr>
        <w:pStyle w:val="FootnoteText"/>
        <w:rPr>
          <w:sz w:val="18"/>
          <w:szCs w:val="18"/>
        </w:rPr>
      </w:pPr>
      <w:r w:rsidRPr="004946B7">
        <w:rPr>
          <w:rStyle w:val="FootnoteReference"/>
          <w:sz w:val="18"/>
          <w:szCs w:val="18"/>
        </w:rPr>
        <w:footnoteRef/>
      </w:r>
      <w:r w:rsidRPr="004946B7">
        <w:rPr>
          <w:sz w:val="18"/>
          <w:szCs w:val="18"/>
        </w:rPr>
        <w:t xml:space="preserve"> Il est à noter que les chefs de projet de l’État membre et du pays bénéficiaire pourraient, de plein droit, convenir de ne pas soumettre de rapport descriptif exhaustif au comité de pilotage tous les trimestres, mais uniquement tous les semestres.</w:t>
      </w:r>
    </w:p>
  </w:footnote>
  <w:footnote w:id="54">
    <w:p w14:paraId="29DD3D30" w14:textId="77777777" w:rsidR="00EB5D31" w:rsidRPr="00434C10" w:rsidRDefault="00EB5D31" w:rsidP="00EC773D">
      <w:pPr>
        <w:pStyle w:val="FootnoteText"/>
        <w:rPr>
          <w:sz w:val="18"/>
          <w:szCs w:val="18"/>
        </w:rPr>
      </w:pPr>
      <w:r w:rsidRPr="00434C10">
        <w:rPr>
          <w:rStyle w:val="FootnoteReference"/>
          <w:sz w:val="18"/>
          <w:szCs w:val="18"/>
        </w:rPr>
        <w:footnoteRef/>
      </w:r>
      <w:r w:rsidRPr="00434C10">
        <w:rPr>
          <w:sz w:val="18"/>
          <w:szCs w:val="18"/>
        </w:rPr>
        <w:t xml:space="preserve"> Le cas échéant, dans le cas de consortiums encore plus vastes, insérez des lignes supplémentaires pour l’évaluation d’autres États membres juniors.</w:t>
      </w:r>
    </w:p>
  </w:footnote>
  <w:footnote w:id="55">
    <w:p w14:paraId="278131A8" w14:textId="77777777" w:rsidR="00EB5D31" w:rsidRPr="00B50C50" w:rsidRDefault="00EB5D31">
      <w:pPr>
        <w:pStyle w:val="FootnoteText"/>
      </w:pPr>
      <w:r w:rsidRPr="00434C10">
        <w:rPr>
          <w:rStyle w:val="FootnoteReference"/>
          <w:sz w:val="18"/>
          <w:szCs w:val="18"/>
        </w:rPr>
        <w:footnoteRef/>
      </w:r>
      <w:r w:rsidRPr="00434C10">
        <w:rPr>
          <w:sz w:val="18"/>
          <w:szCs w:val="18"/>
        </w:rPr>
        <w:t xml:space="preserve"> En cas d’informations incomplètes, d’autres informations et/ou documents peuvent être demandés.</w:t>
      </w:r>
    </w:p>
  </w:footnote>
  <w:footnote w:id="56">
    <w:p w14:paraId="225ABDFE" w14:textId="77777777" w:rsidR="00EB5D31" w:rsidRPr="00A73350" w:rsidRDefault="00EB5D31" w:rsidP="00B50C50">
      <w:pPr>
        <w:pStyle w:val="FootnoteText"/>
        <w:rPr>
          <w:sz w:val="18"/>
          <w:szCs w:val="18"/>
        </w:rPr>
      </w:pPr>
      <w:r w:rsidRPr="00A73350">
        <w:rPr>
          <w:rStyle w:val="FootnoteReference"/>
          <w:sz w:val="18"/>
          <w:szCs w:val="18"/>
        </w:rPr>
        <w:footnoteRef/>
      </w:r>
      <w:r w:rsidRPr="00A73350">
        <w:rPr>
          <w:sz w:val="18"/>
          <w:szCs w:val="18"/>
        </w:rPr>
        <w:t xml:space="preserve"> En cas d’informations incomplètes, d’autres informations et/ou documents peuvent être demandés.</w:t>
      </w:r>
    </w:p>
    <w:p w14:paraId="0E378973" w14:textId="77777777" w:rsidR="00EB5D31" w:rsidRPr="00B50C50" w:rsidRDefault="00EB5D31">
      <w:pPr>
        <w:pStyle w:val="FootnoteText"/>
      </w:pPr>
    </w:p>
  </w:footnote>
  <w:footnote w:id="57">
    <w:p w14:paraId="03A0C1E5" w14:textId="77777777" w:rsidR="00EB5D31" w:rsidRPr="00A73350" w:rsidRDefault="00EB5D31">
      <w:pPr>
        <w:pStyle w:val="FootnoteText"/>
        <w:rPr>
          <w:sz w:val="18"/>
          <w:szCs w:val="18"/>
        </w:rPr>
      </w:pPr>
      <w:r w:rsidRPr="00A73350">
        <w:rPr>
          <w:rStyle w:val="FootnoteReference"/>
          <w:sz w:val="18"/>
          <w:szCs w:val="18"/>
        </w:rPr>
        <w:footnoteRef/>
      </w:r>
      <w:r w:rsidRPr="00A73350">
        <w:rPr>
          <w:sz w:val="18"/>
          <w:szCs w:val="18"/>
        </w:rPr>
        <w:t xml:space="preserve"> Le cas échéant, dans le cas de consortiums encore plus vastes, insérez des lignes supplémentaires pour l’évaluation d’autres États membres juniors. </w:t>
      </w:r>
    </w:p>
  </w:footnote>
  <w:footnote w:id="58">
    <w:p w14:paraId="493B1BBF" w14:textId="77777777" w:rsidR="00EB5D31" w:rsidRPr="00434C10" w:rsidRDefault="00EB5D31" w:rsidP="001A78F7">
      <w:pPr>
        <w:pStyle w:val="FootnoteText"/>
        <w:rPr>
          <w:sz w:val="18"/>
          <w:szCs w:val="18"/>
        </w:rPr>
      </w:pPr>
      <w:r w:rsidRPr="00434C10">
        <w:rPr>
          <w:rStyle w:val="FootnoteReference"/>
          <w:sz w:val="18"/>
          <w:szCs w:val="18"/>
        </w:rPr>
        <w:footnoteRef/>
      </w:r>
      <w:r w:rsidRPr="00434C10">
        <w:rPr>
          <w:sz w:val="18"/>
          <w:szCs w:val="18"/>
        </w:rPr>
        <w:t xml:space="preserve"> Quand la rubrique C n’est pas applicable (s’il n’y a pas de partenaire junior), les 5 points du point 1.7 sont reportés au point 1.5 et les 5 points du point 1.8 sont reportés au point 1.6.</w:t>
      </w:r>
    </w:p>
  </w:footnote>
  <w:footnote w:id="59">
    <w:p w14:paraId="7BA45902" w14:textId="77777777" w:rsidR="00EB5D31" w:rsidRDefault="00EB5D31" w:rsidP="001A78F7">
      <w:pPr>
        <w:pStyle w:val="FootnoteText"/>
        <w:rPr>
          <w:sz w:val="18"/>
        </w:rPr>
      </w:pPr>
      <w:r>
        <w:rPr>
          <w:rStyle w:val="FootnoteReference"/>
        </w:rPr>
        <w:footnoteRef/>
      </w:r>
      <w:r>
        <w:t xml:space="preserve"> «</w:t>
      </w:r>
      <w:r>
        <w:rPr>
          <w:sz w:val="18"/>
        </w:rPr>
        <w:t>L’administration contractante communique le choix du partenaire de jumelage retenu au plus tard dans les deux semaines suivant la date des réunions de sélection», comme indiqué à la page </w:t>
      </w:r>
      <w:r w:rsidRPr="00452C1A">
        <w:rPr>
          <w:sz w:val="18"/>
        </w:rPr>
        <w:t>40</w:t>
      </w:r>
      <w:r>
        <w:rPr>
          <w:sz w:val="18"/>
        </w:rPr>
        <w:t xml:space="preserve"> du manuel de jumelage.</w:t>
      </w:r>
    </w:p>
    <w:p w14:paraId="6AF78DC5" w14:textId="77777777" w:rsidR="00EB5D31" w:rsidRPr="00651B29" w:rsidRDefault="00EB5D31" w:rsidP="001A78F7">
      <w:pPr>
        <w:pStyle w:val="FootnoteText"/>
      </w:pPr>
    </w:p>
  </w:footnote>
  <w:footnote w:id="60">
    <w:p w14:paraId="3606BC12" w14:textId="77777777" w:rsidR="00EB5D31" w:rsidRPr="00B4368A" w:rsidRDefault="00EB5D31" w:rsidP="002B7EC1">
      <w:pPr>
        <w:pStyle w:val="FootnoteText"/>
        <w:rPr>
          <w:sz w:val="18"/>
          <w:szCs w:val="18"/>
        </w:rPr>
      </w:pPr>
      <w:r>
        <w:rPr>
          <w:rStyle w:val="FootnoteReference"/>
          <w:sz w:val="18"/>
        </w:rPr>
        <w:footnoteRef/>
      </w:r>
      <w:r>
        <w:rPr>
          <w:sz w:val="18"/>
        </w:rPr>
        <w:t xml:space="preserve"> Le présent modèle a été élaboré sur la base du modèle inclus dans la version </w:t>
      </w:r>
      <w:r w:rsidRPr="00452C1A">
        <w:rPr>
          <w:sz w:val="18"/>
        </w:rPr>
        <w:t>2010</w:t>
      </w:r>
      <w:r>
        <w:rPr>
          <w:sz w:val="18"/>
        </w:rPr>
        <w:t xml:space="preserve"> du «Manuel de communication et de visibilité pour les actions extérieures de l’UE». Les administrations contractantes doivent toujours se référer à la dernière communication en cas de mises à jour/de modifications et utiliser le dernier manuel communiqué.</w:t>
      </w:r>
    </w:p>
  </w:footnote>
  <w:footnote w:id="61">
    <w:p w14:paraId="3B69E1F8" w14:textId="77777777" w:rsidR="00EB5D31" w:rsidRPr="00B4368A" w:rsidRDefault="00EB5D31" w:rsidP="00453D76">
      <w:pPr>
        <w:pStyle w:val="FootnoteText"/>
        <w:rPr>
          <w:sz w:val="18"/>
          <w:szCs w:val="18"/>
        </w:rPr>
      </w:pPr>
      <w:r>
        <w:rPr>
          <w:rStyle w:val="FootnoteReference"/>
          <w:sz w:val="18"/>
        </w:rPr>
        <w:footnoteRef/>
      </w:r>
      <w:r>
        <w:rPr>
          <w:sz w:val="18"/>
        </w:rPr>
        <w:t xml:space="preserve"> Cohérents avec ceux définis dans le cadre logique de l’action.</w:t>
      </w:r>
    </w:p>
  </w:footnote>
  <w:footnote w:id="62">
    <w:p w14:paraId="680EC25B" w14:textId="77777777" w:rsidR="00EB5D31" w:rsidRPr="00475058" w:rsidRDefault="00EB5D31" w:rsidP="00475058">
      <w:pPr>
        <w:pStyle w:val="FootnoteText"/>
        <w:rPr>
          <w:sz w:val="16"/>
          <w:szCs w:val="16"/>
        </w:rPr>
      </w:pPr>
      <w:r>
        <w:rPr>
          <w:rStyle w:val="FootnoteReference"/>
          <w:sz w:val="18"/>
        </w:rPr>
        <w:footnoteRef/>
      </w:r>
      <w:r>
        <w:rPr>
          <w:sz w:val="18"/>
        </w:rPr>
        <w:t xml:space="preserve"> Le «manuel de communication et de visibilité pour les actions extérieures de l’UE» </w:t>
      </w:r>
      <w:r w:rsidRPr="00452C1A">
        <w:rPr>
          <w:sz w:val="18"/>
        </w:rPr>
        <w:t>2010</w:t>
      </w:r>
      <w:r>
        <w:rPr>
          <w:sz w:val="18"/>
        </w:rPr>
        <w:t xml:space="preserve">, pour les contrats signés avant le </w:t>
      </w:r>
      <w:r w:rsidRPr="00452C1A">
        <w:rPr>
          <w:sz w:val="18"/>
        </w:rPr>
        <w:t>1</w:t>
      </w:r>
      <w:r>
        <w:rPr>
          <w:sz w:val="18"/>
          <w:vertAlign w:val="superscript"/>
        </w:rPr>
        <w:t>er</w:t>
      </w:r>
      <w:r>
        <w:rPr>
          <w:sz w:val="18"/>
        </w:rPr>
        <w:t> janvier </w:t>
      </w:r>
      <w:r w:rsidRPr="00452C1A">
        <w:rPr>
          <w:sz w:val="18"/>
        </w:rPr>
        <w:t>2018</w:t>
      </w:r>
      <w:r>
        <w:rPr>
          <w:sz w:val="18"/>
        </w:rPr>
        <w:t xml:space="preserve">, et les «exigences de communication et de visibilité» </w:t>
      </w:r>
      <w:r w:rsidRPr="00452C1A">
        <w:rPr>
          <w:sz w:val="18"/>
        </w:rPr>
        <w:t>2018</w:t>
      </w:r>
      <w:r>
        <w:rPr>
          <w:sz w:val="18"/>
        </w:rPr>
        <w:t xml:space="preserve"> pour les contrats signés à partir de cette date.</w:t>
      </w:r>
    </w:p>
    <w:p w14:paraId="1943000B" w14:textId="77777777" w:rsidR="00EB5D31" w:rsidRDefault="00EB5D31" w:rsidP="00453D76">
      <w:pPr>
        <w:pStyle w:val="FootnoteText"/>
        <w:rPr>
          <w:sz w:val="18"/>
          <w:szCs w:val="18"/>
        </w:rPr>
      </w:pPr>
    </w:p>
    <w:p w14:paraId="3A655773" w14:textId="77777777" w:rsidR="00EB5D31" w:rsidRPr="00B4368A" w:rsidRDefault="00EB5D31" w:rsidP="00453D76">
      <w:pPr>
        <w:pStyle w:val="FootnoteTex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8AC1F" w14:textId="77777777" w:rsidR="00EB5D31" w:rsidRDefault="00EB5D31">
    <w:pPr>
      <w:pStyle w:val="BodyText"/>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EEE4E" w14:textId="77777777" w:rsidR="00EB5D31" w:rsidRDefault="00EB5D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53573" w14:textId="77777777" w:rsidR="00EB5D31" w:rsidRDefault="00EB5D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90B1A" w14:textId="77777777" w:rsidR="00EB5D31" w:rsidRDefault="00EB5D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213A" w14:textId="77777777" w:rsidR="00EB5D31" w:rsidRDefault="00EB5D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5D19B" w14:textId="77777777" w:rsidR="00EB5D31" w:rsidRDefault="00EB5D3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058B8" w14:textId="77777777" w:rsidR="00EB5D31" w:rsidRDefault="00EB5D3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E60C1" w14:textId="77777777" w:rsidR="00EB5D31" w:rsidRDefault="00EB5D3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C03DE" w14:textId="77777777" w:rsidR="00EB5D31" w:rsidRDefault="00EB5D3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1960B" w14:textId="77777777" w:rsidR="00EB5D31" w:rsidRDefault="00EB5D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889A44"/>
    <w:lvl w:ilvl="0">
      <w:start w:val="1"/>
      <w:numFmt w:val="bullet"/>
      <w:pStyle w:val="NumPar2"/>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1C6D2B"/>
    <w:multiLevelType w:val="hybridMultilevel"/>
    <w:tmpl w:val="235CE980"/>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05579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2400C2"/>
    <w:multiLevelType w:val="hybridMultilevel"/>
    <w:tmpl w:val="6156A6D6"/>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956B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9D23B6"/>
    <w:multiLevelType w:val="hybridMultilevel"/>
    <w:tmpl w:val="671E7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D14B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1E4395D"/>
    <w:multiLevelType w:val="multilevel"/>
    <w:tmpl w:val="08BA10C6"/>
    <w:lvl w:ilvl="0">
      <w:start w:val="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9" w15:restartNumberingAfterBreak="0">
    <w:nsid w:val="025807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F64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6B4FE6"/>
    <w:multiLevelType w:val="multilevel"/>
    <w:tmpl w:val="EAAE9EBE"/>
    <w:lvl w:ilvl="0">
      <w:start w:val="1"/>
      <w:numFmt w:val="decimal"/>
      <w:lvlText w:val="Section %1:"/>
      <w:lvlJc w:val="left"/>
      <w:pPr>
        <w:tabs>
          <w:tab w:val="num" w:pos="1440"/>
        </w:tabs>
        <w:ind w:left="360" w:hanging="360"/>
      </w:pPr>
      <w:rPr>
        <w:rFonts w:cs="Times New Roman"/>
      </w:rPr>
    </w:lvl>
    <w:lvl w:ilvl="1">
      <w:start w:val="1"/>
      <w:numFmt w:val="decimal"/>
      <w:lvlText w:val="%1.%2.  "/>
      <w:lvlJc w:val="left"/>
      <w:pPr>
        <w:tabs>
          <w:tab w:val="num" w:pos="1288"/>
        </w:tabs>
        <w:ind w:left="1000"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038E7B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21875"/>
    <w:multiLevelType w:val="singleLevel"/>
    <w:tmpl w:val="34BA10A2"/>
    <w:lvl w:ilvl="0">
      <w:numFmt w:val="bullet"/>
      <w:lvlText w:val="-"/>
      <w:lvlJc w:val="left"/>
      <w:pPr>
        <w:tabs>
          <w:tab w:val="num" w:pos="360"/>
        </w:tabs>
        <w:ind w:left="360" w:hanging="360"/>
      </w:pPr>
      <w:rPr>
        <w:rFonts w:hint="default"/>
      </w:rPr>
    </w:lvl>
  </w:abstractNum>
  <w:abstractNum w:abstractNumId="14" w15:restartNumberingAfterBreak="0">
    <w:nsid w:val="059A04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68D00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6993F18"/>
    <w:multiLevelType w:val="hybridMultilevel"/>
    <w:tmpl w:val="E34ECFB8"/>
    <w:lvl w:ilvl="0" w:tplc="215070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9C51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7D10D03"/>
    <w:multiLevelType w:val="hybridMultilevel"/>
    <w:tmpl w:val="BD12D0F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07DB13F1"/>
    <w:multiLevelType w:val="multilevel"/>
    <w:tmpl w:val="D5E2C1BE"/>
    <w:lvl w:ilvl="0">
      <w:start w:val="1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20" w15:restartNumberingAfterBreak="0">
    <w:nsid w:val="08170B9F"/>
    <w:multiLevelType w:val="multilevel"/>
    <w:tmpl w:val="26260388"/>
    <w:lvl w:ilvl="0">
      <w:start w:val="1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lowerRoman"/>
      <w:lvlText w:val="(%4)"/>
      <w:lvlJc w:val="left"/>
      <w:pPr>
        <w:ind w:left="1890" w:hanging="567"/>
        <w:jc w:val="right"/>
      </w:pPr>
      <w:rPr>
        <w:rFonts w:ascii="Times New Roman" w:eastAsia="Times New Roman" w:hAnsi="Times New Roman" w:hint="default"/>
        <w:sz w:val="22"/>
        <w:szCs w:val="22"/>
      </w:rPr>
    </w:lvl>
    <w:lvl w:ilvl="4">
      <w:start w:val="1"/>
      <w:numFmt w:val="bullet"/>
      <w:lvlText w:val="•"/>
      <w:lvlJc w:val="left"/>
      <w:pPr>
        <w:ind w:left="3654" w:hanging="567"/>
      </w:pPr>
      <w:rPr>
        <w:rFonts w:hint="default"/>
      </w:rPr>
    </w:lvl>
    <w:lvl w:ilvl="5">
      <w:start w:val="1"/>
      <w:numFmt w:val="bullet"/>
      <w:lvlText w:val="•"/>
      <w:lvlJc w:val="left"/>
      <w:pPr>
        <w:ind w:left="4536" w:hanging="567"/>
      </w:pPr>
      <w:rPr>
        <w:rFonts w:hint="default"/>
      </w:rPr>
    </w:lvl>
    <w:lvl w:ilvl="6">
      <w:start w:val="1"/>
      <w:numFmt w:val="bullet"/>
      <w:lvlText w:val="•"/>
      <w:lvlJc w:val="left"/>
      <w:pPr>
        <w:ind w:left="5418" w:hanging="567"/>
      </w:pPr>
      <w:rPr>
        <w:rFonts w:hint="default"/>
      </w:rPr>
    </w:lvl>
    <w:lvl w:ilvl="7">
      <w:start w:val="1"/>
      <w:numFmt w:val="bullet"/>
      <w:lvlText w:val="•"/>
      <w:lvlJc w:val="left"/>
      <w:pPr>
        <w:ind w:left="6300" w:hanging="567"/>
      </w:pPr>
      <w:rPr>
        <w:rFonts w:hint="default"/>
      </w:rPr>
    </w:lvl>
    <w:lvl w:ilvl="8">
      <w:start w:val="1"/>
      <w:numFmt w:val="bullet"/>
      <w:lvlText w:val="•"/>
      <w:lvlJc w:val="left"/>
      <w:pPr>
        <w:ind w:left="7182" w:hanging="567"/>
      </w:pPr>
      <w:rPr>
        <w:rFonts w:hint="default"/>
      </w:rPr>
    </w:lvl>
  </w:abstractNum>
  <w:abstractNum w:abstractNumId="21" w15:restartNumberingAfterBreak="0">
    <w:nsid w:val="082B1083"/>
    <w:multiLevelType w:val="hybridMultilevel"/>
    <w:tmpl w:val="563E1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89C6D44"/>
    <w:multiLevelType w:val="hybridMultilevel"/>
    <w:tmpl w:val="41ACBA6C"/>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9454C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099414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09AB058B"/>
    <w:multiLevelType w:val="hybridMultilevel"/>
    <w:tmpl w:val="CC02DCE4"/>
    <w:lvl w:ilvl="0" w:tplc="4F30589E">
      <w:start w:val="1"/>
      <w:numFmt w:val="bullet"/>
      <w:lvlText w:val="●"/>
      <w:lvlJc w:val="left"/>
      <w:pPr>
        <w:tabs>
          <w:tab w:val="num" w:pos="720"/>
        </w:tabs>
        <w:ind w:left="720" w:hanging="360"/>
      </w:pPr>
      <w:rPr>
        <w:rFonts w:ascii="Courier New" w:hAnsi="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9BD3BFD"/>
    <w:multiLevelType w:val="hybridMultilevel"/>
    <w:tmpl w:val="17E86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9ED6B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0A186726"/>
    <w:multiLevelType w:val="multilevel"/>
    <w:tmpl w:val="ED64CBD6"/>
    <w:lvl w:ilvl="0">
      <w:start w:val="1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9" w15:restartNumberingAfterBreak="0">
    <w:nsid w:val="0B2543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0C072D54"/>
    <w:multiLevelType w:val="hybridMultilevel"/>
    <w:tmpl w:val="6F6ABC00"/>
    <w:lvl w:ilvl="0" w:tplc="B7A4C09C">
      <w:start w:val="1"/>
      <w:numFmt w:val="bullet"/>
      <w:lvlText w:val="-"/>
      <w:lvlJc w:val="left"/>
      <w:pPr>
        <w:ind w:left="4689" w:hanging="360"/>
      </w:pPr>
      <w:rPr>
        <w:rFonts w:ascii="Times New Roman" w:hAnsi="Times New Roman" w:cs="Times New Roman" w:hint="default"/>
      </w:rPr>
    </w:lvl>
    <w:lvl w:ilvl="1" w:tplc="08090003" w:tentative="1">
      <w:start w:val="1"/>
      <w:numFmt w:val="bullet"/>
      <w:lvlText w:val="o"/>
      <w:lvlJc w:val="left"/>
      <w:pPr>
        <w:ind w:left="5409" w:hanging="360"/>
      </w:pPr>
      <w:rPr>
        <w:rFonts w:ascii="Courier New" w:hAnsi="Courier New" w:cs="Courier New" w:hint="default"/>
      </w:rPr>
    </w:lvl>
    <w:lvl w:ilvl="2" w:tplc="08090005" w:tentative="1">
      <w:start w:val="1"/>
      <w:numFmt w:val="bullet"/>
      <w:lvlText w:val=""/>
      <w:lvlJc w:val="left"/>
      <w:pPr>
        <w:ind w:left="6129" w:hanging="360"/>
      </w:pPr>
      <w:rPr>
        <w:rFonts w:ascii="Wingdings" w:hAnsi="Wingdings" w:hint="default"/>
      </w:rPr>
    </w:lvl>
    <w:lvl w:ilvl="3" w:tplc="08090001" w:tentative="1">
      <w:start w:val="1"/>
      <w:numFmt w:val="bullet"/>
      <w:lvlText w:val=""/>
      <w:lvlJc w:val="left"/>
      <w:pPr>
        <w:ind w:left="6849" w:hanging="360"/>
      </w:pPr>
      <w:rPr>
        <w:rFonts w:ascii="Symbol" w:hAnsi="Symbol" w:hint="default"/>
      </w:rPr>
    </w:lvl>
    <w:lvl w:ilvl="4" w:tplc="08090003" w:tentative="1">
      <w:start w:val="1"/>
      <w:numFmt w:val="bullet"/>
      <w:lvlText w:val="o"/>
      <w:lvlJc w:val="left"/>
      <w:pPr>
        <w:ind w:left="7569" w:hanging="360"/>
      </w:pPr>
      <w:rPr>
        <w:rFonts w:ascii="Courier New" w:hAnsi="Courier New" w:cs="Courier New" w:hint="default"/>
      </w:rPr>
    </w:lvl>
    <w:lvl w:ilvl="5" w:tplc="08090005" w:tentative="1">
      <w:start w:val="1"/>
      <w:numFmt w:val="bullet"/>
      <w:lvlText w:val=""/>
      <w:lvlJc w:val="left"/>
      <w:pPr>
        <w:ind w:left="8289" w:hanging="360"/>
      </w:pPr>
      <w:rPr>
        <w:rFonts w:ascii="Wingdings" w:hAnsi="Wingdings" w:hint="default"/>
      </w:rPr>
    </w:lvl>
    <w:lvl w:ilvl="6" w:tplc="08090001" w:tentative="1">
      <w:start w:val="1"/>
      <w:numFmt w:val="bullet"/>
      <w:lvlText w:val=""/>
      <w:lvlJc w:val="left"/>
      <w:pPr>
        <w:ind w:left="9009" w:hanging="360"/>
      </w:pPr>
      <w:rPr>
        <w:rFonts w:ascii="Symbol" w:hAnsi="Symbol" w:hint="default"/>
      </w:rPr>
    </w:lvl>
    <w:lvl w:ilvl="7" w:tplc="08090003" w:tentative="1">
      <w:start w:val="1"/>
      <w:numFmt w:val="bullet"/>
      <w:lvlText w:val="o"/>
      <w:lvlJc w:val="left"/>
      <w:pPr>
        <w:ind w:left="9729" w:hanging="360"/>
      </w:pPr>
      <w:rPr>
        <w:rFonts w:ascii="Courier New" w:hAnsi="Courier New" w:cs="Courier New" w:hint="default"/>
      </w:rPr>
    </w:lvl>
    <w:lvl w:ilvl="8" w:tplc="08090005" w:tentative="1">
      <w:start w:val="1"/>
      <w:numFmt w:val="bullet"/>
      <w:lvlText w:val=""/>
      <w:lvlJc w:val="left"/>
      <w:pPr>
        <w:ind w:left="10449" w:hanging="360"/>
      </w:pPr>
      <w:rPr>
        <w:rFonts w:ascii="Wingdings" w:hAnsi="Wingdings" w:hint="default"/>
      </w:rPr>
    </w:lvl>
  </w:abstractNum>
  <w:abstractNum w:abstractNumId="31" w15:restartNumberingAfterBreak="0">
    <w:nsid w:val="0CD579BF"/>
    <w:multiLevelType w:val="hybridMultilevel"/>
    <w:tmpl w:val="1F4CF59E"/>
    <w:lvl w:ilvl="0" w:tplc="1E307BC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D49679C"/>
    <w:multiLevelType w:val="singleLevel"/>
    <w:tmpl w:val="0409000F"/>
    <w:lvl w:ilvl="0">
      <w:start w:val="1"/>
      <w:numFmt w:val="decimal"/>
      <w:lvlText w:val="%1."/>
      <w:lvlJc w:val="left"/>
      <w:pPr>
        <w:tabs>
          <w:tab w:val="num" w:pos="360"/>
        </w:tabs>
        <w:ind w:left="360" w:hanging="360"/>
      </w:pPr>
    </w:lvl>
  </w:abstractNum>
  <w:abstractNum w:abstractNumId="33" w15:restartNumberingAfterBreak="0">
    <w:nsid w:val="0D9E1215"/>
    <w:multiLevelType w:val="hybridMultilevel"/>
    <w:tmpl w:val="BCC08FDC"/>
    <w:lvl w:ilvl="0" w:tplc="52DA0AA8">
      <w:start w:val="1"/>
      <w:numFmt w:val="lowerLetter"/>
      <w:lvlText w:val="%1)"/>
      <w:lvlJc w:val="left"/>
      <w:pPr>
        <w:ind w:left="1322" w:hanging="425"/>
      </w:pPr>
      <w:rPr>
        <w:rFonts w:ascii="Times New Roman" w:eastAsia="Times New Roman" w:hAnsi="Times New Roman" w:hint="default"/>
        <w:sz w:val="22"/>
        <w:szCs w:val="22"/>
      </w:rPr>
    </w:lvl>
    <w:lvl w:ilvl="1" w:tplc="4D981B72">
      <w:start w:val="1"/>
      <w:numFmt w:val="bullet"/>
      <w:lvlText w:val="•"/>
      <w:lvlJc w:val="left"/>
      <w:pPr>
        <w:ind w:left="2084" w:hanging="425"/>
      </w:pPr>
      <w:rPr>
        <w:rFonts w:hint="default"/>
      </w:rPr>
    </w:lvl>
    <w:lvl w:ilvl="2" w:tplc="57969CDA">
      <w:start w:val="1"/>
      <w:numFmt w:val="bullet"/>
      <w:lvlText w:val="•"/>
      <w:lvlJc w:val="left"/>
      <w:pPr>
        <w:ind w:left="2846" w:hanging="425"/>
      </w:pPr>
      <w:rPr>
        <w:rFonts w:hint="default"/>
      </w:rPr>
    </w:lvl>
    <w:lvl w:ilvl="3" w:tplc="DE306AD0">
      <w:start w:val="1"/>
      <w:numFmt w:val="bullet"/>
      <w:lvlText w:val="•"/>
      <w:lvlJc w:val="left"/>
      <w:pPr>
        <w:ind w:left="3609" w:hanging="425"/>
      </w:pPr>
      <w:rPr>
        <w:rFonts w:hint="default"/>
      </w:rPr>
    </w:lvl>
    <w:lvl w:ilvl="4" w:tplc="1824A1C6">
      <w:start w:val="1"/>
      <w:numFmt w:val="bullet"/>
      <w:lvlText w:val="•"/>
      <w:lvlJc w:val="left"/>
      <w:pPr>
        <w:ind w:left="4371" w:hanging="425"/>
      </w:pPr>
      <w:rPr>
        <w:rFonts w:hint="default"/>
      </w:rPr>
    </w:lvl>
    <w:lvl w:ilvl="5" w:tplc="B234260A">
      <w:start w:val="1"/>
      <w:numFmt w:val="bullet"/>
      <w:lvlText w:val="•"/>
      <w:lvlJc w:val="left"/>
      <w:pPr>
        <w:ind w:left="5134" w:hanging="425"/>
      </w:pPr>
      <w:rPr>
        <w:rFonts w:hint="default"/>
      </w:rPr>
    </w:lvl>
    <w:lvl w:ilvl="6" w:tplc="A25089B8">
      <w:start w:val="1"/>
      <w:numFmt w:val="bullet"/>
      <w:lvlText w:val="•"/>
      <w:lvlJc w:val="left"/>
      <w:pPr>
        <w:ind w:left="5896" w:hanging="425"/>
      </w:pPr>
      <w:rPr>
        <w:rFonts w:hint="default"/>
      </w:rPr>
    </w:lvl>
    <w:lvl w:ilvl="7" w:tplc="02303AD2">
      <w:start w:val="1"/>
      <w:numFmt w:val="bullet"/>
      <w:lvlText w:val="•"/>
      <w:lvlJc w:val="left"/>
      <w:pPr>
        <w:ind w:left="6659" w:hanging="425"/>
      </w:pPr>
      <w:rPr>
        <w:rFonts w:hint="default"/>
      </w:rPr>
    </w:lvl>
    <w:lvl w:ilvl="8" w:tplc="0A06D244">
      <w:start w:val="1"/>
      <w:numFmt w:val="bullet"/>
      <w:lvlText w:val="•"/>
      <w:lvlJc w:val="left"/>
      <w:pPr>
        <w:ind w:left="7421" w:hanging="425"/>
      </w:pPr>
      <w:rPr>
        <w:rFonts w:hint="default"/>
      </w:rPr>
    </w:lvl>
  </w:abstractNum>
  <w:abstractNum w:abstractNumId="34" w15:restartNumberingAfterBreak="0">
    <w:nsid w:val="0DB337A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5" w15:restartNumberingAfterBreak="0">
    <w:nsid w:val="0E8369B5"/>
    <w:multiLevelType w:val="hybridMultilevel"/>
    <w:tmpl w:val="7D581F54"/>
    <w:lvl w:ilvl="0" w:tplc="C9DA4824">
      <w:start w:val="1"/>
      <w:numFmt w:val="bullet"/>
      <w:lvlText w:val=""/>
      <w:lvlJc w:val="left"/>
      <w:pPr>
        <w:tabs>
          <w:tab w:val="num" w:pos="360"/>
        </w:tabs>
        <w:ind w:left="360" w:hanging="360"/>
      </w:pPr>
      <w:rPr>
        <w:rFonts w:ascii="Wingdings" w:hAnsi="Wingdings" w:hint="default"/>
        <w:sz w:val="3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0F6C4B35"/>
    <w:multiLevelType w:val="multilevel"/>
    <w:tmpl w:val="E5F0AB1C"/>
    <w:lvl w:ilvl="0">
      <w:start w:val="1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Roman"/>
      <w:lvlText w:val="(%3)"/>
      <w:lvlJc w:val="left"/>
      <w:pPr>
        <w:ind w:left="1617" w:hanging="564"/>
        <w:jc w:val="right"/>
      </w:pPr>
      <w:rPr>
        <w:rFonts w:ascii="Times New Roman" w:eastAsia="Times New Roman" w:hAnsi="Times New Roman" w:hint="default"/>
        <w:sz w:val="22"/>
        <w:szCs w:val="22"/>
      </w:rPr>
    </w:lvl>
    <w:lvl w:ilvl="3">
      <w:start w:val="1"/>
      <w:numFmt w:val="bullet"/>
      <w:lvlText w:val="•"/>
      <w:lvlJc w:val="left"/>
      <w:pPr>
        <w:ind w:left="3245" w:hanging="564"/>
      </w:pPr>
      <w:rPr>
        <w:rFonts w:hint="default"/>
      </w:rPr>
    </w:lvl>
    <w:lvl w:ilvl="4">
      <w:start w:val="1"/>
      <w:numFmt w:val="bullet"/>
      <w:lvlText w:val="•"/>
      <w:lvlJc w:val="left"/>
      <w:pPr>
        <w:ind w:left="4060" w:hanging="564"/>
      </w:pPr>
      <w:rPr>
        <w:rFonts w:hint="default"/>
      </w:rPr>
    </w:lvl>
    <w:lvl w:ilvl="5">
      <w:start w:val="1"/>
      <w:numFmt w:val="bullet"/>
      <w:lvlText w:val="•"/>
      <w:lvlJc w:val="left"/>
      <w:pPr>
        <w:ind w:left="4874" w:hanging="564"/>
      </w:pPr>
      <w:rPr>
        <w:rFonts w:hint="default"/>
      </w:rPr>
    </w:lvl>
    <w:lvl w:ilvl="6">
      <w:start w:val="1"/>
      <w:numFmt w:val="bullet"/>
      <w:lvlText w:val="•"/>
      <w:lvlJc w:val="left"/>
      <w:pPr>
        <w:ind w:left="5688" w:hanging="564"/>
      </w:pPr>
      <w:rPr>
        <w:rFonts w:hint="default"/>
      </w:rPr>
    </w:lvl>
    <w:lvl w:ilvl="7">
      <w:start w:val="1"/>
      <w:numFmt w:val="bullet"/>
      <w:lvlText w:val="•"/>
      <w:lvlJc w:val="left"/>
      <w:pPr>
        <w:ind w:left="6503" w:hanging="564"/>
      </w:pPr>
      <w:rPr>
        <w:rFonts w:hint="default"/>
      </w:rPr>
    </w:lvl>
    <w:lvl w:ilvl="8">
      <w:start w:val="1"/>
      <w:numFmt w:val="bullet"/>
      <w:lvlText w:val="•"/>
      <w:lvlJc w:val="left"/>
      <w:pPr>
        <w:ind w:left="7317" w:hanging="564"/>
      </w:pPr>
      <w:rPr>
        <w:rFonts w:hint="default"/>
      </w:rPr>
    </w:lvl>
  </w:abstractNum>
  <w:abstractNum w:abstractNumId="37" w15:restartNumberingAfterBreak="0">
    <w:nsid w:val="101C37FF"/>
    <w:multiLevelType w:val="hybridMultilevel"/>
    <w:tmpl w:val="C3B20B62"/>
    <w:lvl w:ilvl="0" w:tplc="0FAED32A">
      <w:start w:val="1"/>
      <w:numFmt w:val="lowerLetter"/>
      <w:lvlText w:val="%1)"/>
      <w:lvlJc w:val="left"/>
      <w:pPr>
        <w:ind w:left="1322" w:hanging="356"/>
      </w:pPr>
      <w:rPr>
        <w:rFonts w:ascii="Times New Roman" w:eastAsia="Times New Roman" w:hAnsi="Times New Roman" w:hint="default"/>
        <w:sz w:val="22"/>
        <w:szCs w:val="22"/>
      </w:rPr>
    </w:lvl>
    <w:lvl w:ilvl="1" w:tplc="A6D2514A">
      <w:start w:val="1"/>
      <w:numFmt w:val="bullet"/>
      <w:lvlText w:val="•"/>
      <w:lvlJc w:val="left"/>
      <w:pPr>
        <w:ind w:left="2084" w:hanging="356"/>
      </w:pPr>
      <w:rPr>
        <w:rFonts w:hint="default"/>
      </w:rPr>
    </w:lvl>
    <w:lvl w:ilvl="2" w:tplc="07FED86C">
      <w:start w:val="1"/>
      <w:numFmt w:val="bullet"/>
      <w:lvlText w:val="•"/>
      <w:lvlJc w:val="left"/>
      <w:pPr>
        <w:ind w:left="2846" w:hanging="356"/>
      </w:pPr>
      <w:rPr>
        <w:rFonts w:hint="default"/>
      </w:rPr>
    </w:lvl>
    <w:lvl w:ilvl="3" w:tplc="34DEB894">
      <w:start w:val="1"/>
      <w:numFmt w:val="bullet"/>
      <w:lvlText w:val="•"/>
      <w:lvlJc w:val="left"/>
      <w:pPr>
        <w:ind w:left="3609" w:hanging="356"/>
      </w:pPr>
      <w:rPr>
        <w:rFonts w:hint="default"/>
      </w:rPr>
    </w:lvl>
    <w:lvl w:ilvl="4" w:tplc="8BB660AC">
      <w:start w:val="1"/>
      <w:numFmt w:val="bullet"/>
      <w:lvlText w:val="•"/>
      <w:lvlJc w:val="left"/>
      <w:pPr>
        <w:ind w:left="4371" w:hanging="356"/>
      </w:pPr>
      <w:rPr>
        <w:rFonts w:hint="default"/>
      </w:rPr>
    </w:lvl>
    <w:lvl w:ilvl="5" w:tplc="3F0C020E">
      <w:start w:val="1"/>
      <w:numFmt w:val="bullet"/>
      <w:lvlText w:val="•"/>
      <w:lvlJc w:val="left"/>
      <w:pPr>
        <w:ind w:left="5134" w:hanging="356"/>
      </w:pPr>
      <w:rPr>
        <w:rFonts w:hint="default"/>
      </w:rPr>
    </w:lvl>
    <w:lvl w:ilvl="6" w:tplc="392E141E">
      <w:start w:val="1"/>
      <w:numFmt w:val="bullet"/>
      <w:lvlText w:val="•"/>
      <w:lvlJc w:val="left"/>
      <w:pPr>
        <w:ind w:left="5896" w:hanging="356"/>
      </w:pPr>
      <w:rPr>
        <w:rFonts w:hint="default"/>
      </w:rPr>
    </w:lvl>
    <w:lvl w:ilvl="7" w:tplc="189C8DA6">
      <w:start w:val="1"/>
      <w:numFmt w:val="bullet"/>
      <w:lvlText w:val="•"/>
      <w:lvlJc w:val="left"/>
      <w:pPr>
        <w:ind w:left="6659" w:hanging="356"/>
      </w:pPr>
      <w:rPr>
        <w:rFonts w:hint="default"/>
      </w:rPr>
    </w:lvl>
    <w:lvl w:ilvl="8" w:tplc="9CCCCA70">
      <w:start w:val="1"/>
      <w:numFmt w:val="bullet"/>
      <w:lvlText w:val="•"/>
      <w:lvlJc w:val="left"/>
      <w:pPr>
        <w:ind w:left="7421" w:hanging="356"/>
      </w:pPr>
      <w:rPr>
        <w:rFonts w:hint="default"/>
      </w:rPr>
    </w:lvl>
  </w:abstractNum>
  <w:abstractNum w:abstractNumId="38" w15:restartNumberingAfterBreak="0">
    <w:nsid w:val="108569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10DB430C"/>
    <w:multiLevelType w:val="hybridMultilevel"/>
    <w:tmpl w:val="EDAA1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110404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127D73E4"/>
    <w:multiLevelType w:val="hybridMultilevel"/>
    <w:tmpl w:val="6358A90A"/>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2" w15:restartNumberingAfterBreak="0">
    <w:nsid w:val="12BB48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13374D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13607B15"/>
    <w:multiLevelType w:val="multilevel"/>
    <w:tmpl w:val="26260388"/>
    <w:lvl w:ilvl="0">
      <w:start w:val="1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lowerRoman"/>
      <w:lvlText w:val="(%4)"/>
      <w:lvlJc w:val="left"/>
      <w:pPr>
        <w:ind w:left="1890" w:hanging="567"/>
        <w:jc w:val="right"/>
      </w:pPr>
      <w:rPr>
        <w:rFonts w:ascii="Times New Roman" w:eastAsia="Times New Roman" w:hAnsi="Times New Roman" w:hint="default"/>
        <w:sz w:val="22"/>
        <w:szCs w:val="22"/>
      </w:rPr>
    </w:lvl>
    <w:lvl w:ilvl="4">
      <w:start w:val="1"/>
      <w:numFmt w:val="bullet"/>
      <w:lvlText w:val="•"/>
      <w:lvlJc w:val="left"/>
      <w:pPr>
        <w:ind w:left="3654" w:hanging="567"/>
      </w:pPr>
      <w:rPr>
        <w:rFonts w:hint="default"/>
      </w:rPr>
    </w:lvl>
    <w:lvl w:ilvl="5">
      <w:start w:val="1"/>
      <w:numFmt w:val="bullet"/>
      <w:lvlText w:val="•"/>
      <w:lvlJc w:val="left"/>
      <w:pPr>
        <w:ind w:left="4536" w:hanging="567"/>
      </w:pPr>
      <w:rPr>
        <w:rFonts w:hint="default"/>
      </w:rPr>
    </w:lvl>
    <w:lvl w:ilvl="6">
      <w:start w:val="1"/>
      <w:numFmt w:val="bullet"/>
      <w:lvlText w:val="•"/>
      <w:lvlJc w:val="left"/>
      <w:pPr>
        <w:ind w:left="5418" w:hanging="567"/>
      </w:pPr>
      <w:rPr>
        <w:rFonts w:hint="default"/>
      </w:rPr>
    </w:lvl>
    <w:lvl w:ilvl="7">
      <w:start w:val="1"/>
      <w:numFmt w:val="bullet"/>
      <w:lvlText w:val="•"/>
      <w:lvlJc w:val="left"/>
      <w:pPr>
        <w:ind w:left="6300" w:hanging="567"/>
      </w:pPr>
      <w:rPr>
        <w:rFonts w:hint="default"/>
      </w:rPr>
    </w:lvl>
    <w:lvl w:ilvl="8">
      <w:start w:val="1"/>
      <w:numFmt w:val="bullet"/>
      <w:lvlText w:val="•"/>
      <w:lvlJc w:val="left"/>
      <w:pPr>
        <w:ind w:left="7182" w:hanging="567"/>
      </w:pPr>
      <w:rPr>
        <w:rFonts w:hint="default"/>
      </w:rPr>
    </w:lvl>
  </w:abstractNum>
  <w:abstractNum w:abstractNumId="45" w15:restartNumberingAfterBreak="0">
    <w:nsid w:val="138632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13B82D4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7" w15:restartNumberingAfterBreak="0">
    <w:nsid w:val="14CC0D0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8" w15:restartNumberingAfterBreak="0">
    <w:nsid w:val="15D00D6D"/>
    <w:multiLevelType w:val="hybridMultilevel"/>
    <w:tmpl w:val="944A4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64747D5"/>
    <w:multiLevelType w:val="hybridMultilevel"/>
    <w:tmpl w:val="471C6C5C"/>
    <w:lvl w:ilvl="0" w:tplc="34BA10A2">
      <w:numFmt w:val="bullet"/>
      <w:lvlText w:val="-"/>
      <w:lvlJc w:val="left"/>
      <w:pPr>
        <w:ind w:left="1080" w:hanging="360"/>
      </w:pPr>
      <w:rPr>
        <w:rFonts w:hint="default"/>
      </w:rPr>
    </w:lvl>
    <w:lvl w:ilvl="1" w:tplc="34BA10A2">
      <w:numFmt w:val="bullet"/>
      <w:lvlText w:val="-"/>
      <w:lvlJc w:val="left"/>
      <w:pPr>
        <w:ind w:left="1800" w:hanging="360"/>
      </w:pPr>
      <w:rPr>
        <w:rFont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16B13256"/>
    <w:multiLevelType w:val="singleLevel"/>
    <w:tmpl w:val="FFFFFFFF"/>
    <w:lvl w:ilvl="0">
      <w:numFmt w:val="decimal"/>
      <w:lvlText w:val="*"/>
      <w:lvlJc w:val="left"/>
      <w:rPr>
        <w:rFonts w:cs="Times New Roman"/>
      </w:rPr>
    </w:lvl>
  </w:abstractNum>
  <w:abstractNum w:abstractNumId="51" w15:restartNumberingAfterBreak="0">
    <w:nsid w:val="16F01CDC"/>
    <w:multiLevelType w:val="multilevel"/>
    <w:tmpl w:val="E32A825C"/>
    <w:lvl w:ilvl="0">
      <w:start w:val="7"/>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1322" w:hanging="281"/>
      </w:pPr>
      <w:rPr>
        <w:rFonts w:ascii="Symbol" w:eastAsia="Symbol" w:hAnsi="Symbol" w:hint="default"/>
        <w:sz w:val="22"/>
        <w:szCs w:val="22"/>
      </w:rPr>
    </w:lvl>
    <w:lvl w:ilvl="3">
      <w:start w:val="1"/>
      <w:numFmt w:val="bullet"/>
      <w:lvlText w:val="•"/>
      <w:lvlJc w:val="left"/>
      <w:pPr>
        <w:ind w:left="3016" w:hanging="281"/>
      </w:pPr>
      <w:rPr>
        <w:rFonts w:hint="default"/>
      </w:rPr>
    </w:lvl>
    <w:lvl w:ilvl="4">
      <w:start w:val="1"/>
      <w:numFmt w:val="bullet"/>
      <w:lvlText w:val="•"/>
      <w:lvlJc w:val="left"/>
      <w:pPr>
        <w:ind w:left="3863" w:hanging="281"/>
      </w:pPr>
      <w:rPr>
        <w:rFonts w:hint="default"/>
      </w:rPr>
    </w:lvl>
    <w:lvl w:ilvl="5">
      <w:start w:val="1"/>
      <w:numFmt w:val="bullet"/>
      <w:lvlText w:val="•"/>
      <w:lvlJc w:val="left"/>
      <w:pPr>
        <w:ind w:left="4710" w:hanging="281"/>
      </w:pPr>
      <w:rPr>
        <w:rFonts w:hint="default"/>
      </w:rPr>
    </w:lvl>
    <w:lvl w:ilvl="6">
      <w:start w:val="1"/>
      <w:numFmt w:val="bullet"/>
      <w:lvlText w:val="•"/>
      <w:lvlJc w:val="left"/>
      <w:pPr>
        <w:ind w:left="5557" w:hanging="281"/>
      </w:pPr>
      <w:rPr>
        <w:rFonts w:hint="default"/>
      </w:rPr>
    </w:lvl>
    <w:lvl w:ilvl="7">
      <w:start w:val="1"/>
      <w:numFmt w:val="bullet"/>
      <w:lvlText w:val="•"/>
      <w:lvlJc w:val="left"/>
      <w:pPr>
        <w:ind w:left="6404" w:hanging="281"/>
      </w:pPr>
      <w:rPr>
        <w:rFonts w:hint="default"/>
      </w:rPr>
    </w:lvl>
    <w:lvl w:ilvl="8">
      <w:start w:val="1"/>
      <w:numFmt w:val="bullet"/>
      <w:lvlText w:val="•"/>
      <w:lvlJc w:val="left"/>
      <w:pPr>
        <w:ind w:left="7252" w:hanging="281"/>
      </w:pPr>
      <w:rPr>
        <w:rFonts w:hint="default"/>
      </w:rPr>
    </w:lvl>
  </w:abstractNum>
  <w:abstractNum w:abstractNumId="52" w15:restartNumberingAfterBreak="0">
    <w:nsid w:val="175A0DC6"/>
    <w:multiLevelType w:val="singleLevel"/>
    <w:tmpl w:val="2C3077E0"/>
    <w:lvl w:ilvl="0">
      <w:start w:val="1"/>
      <w:numFmt w:val="bullet"/>
      <w:lvlText w:val=""/>
      <w:lvlJc w:val="left"/>
      <w:pPr>
        <w:tabs>
          <w:tab w:val="num" w:pos="720"/>
        </w:tabs>
        <w:ind w:left="720" w:hanging="436"/>
      </w:pPr>
      <w:rPr>
        <w:rFonts w:ascii="Symbol" w:hAnsi="Symbol" w:hint="default"/>
      </w:rPr>
    </w:lvl>
  </w:abstractNum>
  <w:abstractNum w:abstractNumId="53" w15:restartNumberingAfterBreak="0">
    <w:nsid w:val="18E35F7B"/>
    <w:multiLevelType w:val="hybridMultilevel"/>
    <w:tmpl w:val="3F2A987A"/>
    <w:lvl w:ilvl="0" w:tplc="08090001">
      <w:start w:val="1"/>
      <w:numFmt w:val="bullet"/>
      <w:lvlText w:val=""/>
      <w:lvlJc w:val="left"/>
      <w:pPr>
        <w:tabs>
          <w:tab w:val="num" w:pos="720"/>
        </w:tabs>
        <w:ind w:left="720" w:hanging="360"/>
      </w:pPr>
      <w:rPr>
        <w:rFonts w:ascii="Symbol" w:hAnsi="Symbol" w:hint="default"/>
      </w:rPr>
    </w:lvl>
    <w:lvl w:ilvl="1" w:tplc="2C3077E0">
      <w:start w:val="1"/>
      <w:numFmt w:val="bullet"/>
      <w:lvlText w:val=""/>
      <w:lvlJc w:val="left"/>
      <w:pPr>
        <w:tabs>
          <w:tab w:val="num" w:pos="1516"/>
        </w:tabs>
        <w:ind w:left="1516" w:hanging="436"/>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8F47F05"/>
    <w:multiLevelType w:val="hybridMultilevel"/>
    <w:tmpl w:val="8F98615A"/>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19580B87"/>
    <w:multiLevelType w:val="multilevel"/>
    <w:tmpl w:val="7AD8495C"/>
    <w:lvl w:ilvl="0">
      <w:start w:val="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56" w15:restartNumberingAfterBreak="0">
    <w:nsid w:val="195C07B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7" w15:restartNumberingAfterBreak="0">
    <w:nsid w:val="1A3E76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1AC64E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1B276D19"/>
    <w:multiLevelType w:val="multilevel"/>
    <w:tmpl w:val="9EE2E836"/>
    <w:lvl w:ilvl="0">
      <w:start w:val="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60" w15:restartNumberingAfterBreak="0">
    <w:nsid w:val="1C022354"/>
    <w:multiLevelType w:val="hybridMultilevel"/>
    <w:tmpl w:val="EF8C7FE4"/>
    <w:lvl w:ilvl="0" w:tplc="E1CA86BC">
      <w:start w:val="1"/>
      <w:numFmt w:val="bullet"/>
      <w:lvlText w:val="‒"/>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1C163E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1DB6025A"/>
    <w:multiLevelType w:val="singleLevel"/>
    <w:tmpl w:val="04090001"/>
    <w:lvl w:ilvl="0">
      <w:start w:val="1"/>
      <w:numFmt w:val="bullet"/>
      <w:lvlText w:val=""/>
      <w:lvlJc w:val="left"/>
      <w:pPr>
        <w:ind w:left="720" w:hanging="360"/>
      </w:pPr>
      <w:rPr>
        <w:rFonts w:ascii="Symbol" w:hAnsi="Symbol" w:hint="default"/>
      </w:rPr>
    </w:lvl>
  </w:abstractNum>
  <w:abstractNum w:abstractNumId="63" w15:restartNumberingAfterBreak="0">
    <w:nsid w:val="1E223EDF"/>
    <w:multiLevelType w:val="hybridMultilevel"/>
    <w:tmpl w:val="922890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4" w15:restartNumberingAfterBreak="0">
    <w:nsid w:val="1E6253CA"/>
    <w:multiLevelType w:val="hybridMultilevel"/>
    <w:tmpl w:val="71EE350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1EA37FC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6" w15:restartNumberingAfterBreak="0">
    <w:nsid w:val="1EBB1B3D"/>
    <w:multiLevelType w:val="hybridMultilevel"/>
    <w:tmpl w:val="F0F4509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 w15:restartNumberingAfterBreak="0">
    <w:nsid w:val="1EE615CB"/>
    <w:multiLevelType w:val="hybridMultilevel"/>
    <w:tmpl w:val="8A266C60"/>
    <w:lvl w:ilvl="0" w:tplc="4F30589E">
      <w:start w:val="1"/>
      <w:numFmt w:val="bullet"/>
      <w:lvlText w:val="●"/>
      <w:lvlJc w:val="left"/>
      <w:pPr>
        <w:tabs>
          <w:tab w:val="num" w:pos="720"/>
        </w:tabs>
        <w:ind w:left="720" w:hanging="360"/>
      </w:pPr>
      <w:rPr>
        <w:rFonts w:ascii="Courier New" w:hAnsi="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1F7929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20534813"/>
    <w:multiLevelType w:val="hybridMultilevel"/>
    <w:tmpl w:val="12824256"/>
    <w:lvl w:ilvl="0" w:tplc="08090017">
      <w:start w:val="1"/>
      <w:numFmt w:val="lowerLetter"/>
      <w:lvlText w:val="%1)"/>
      <w:lvlJc w:val="left"/>
      <w:pPr>
        <w:ind w:left="-360" w:hanging="360"/>
      </w:p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70" w15:restartNumberingAfterBreak="0">
    <w:nsid w:val="215148CB"/>
    <w:multiLevelType w:val="singleLevel"/>
    <w:tmpl w:val="55945FEC"/>
    <w:lvl w:ilvl="0">
      <w:start w:val="1"/>
      <w:numFmt w:val="bullet"/>
      <w:lvlText w:val=""/>
      <w:lvlJc w:val="left"/>
      <w:pPr>
        <w:tabs>
          <w:tab w:val="num" w:pos="360"/>
        </w:tabs>
        <w:ind w:left="360" w:hanging="360"/>
      </w:pPr>
      <w:rPr>
        <w:rFonts w:ascii="Symbol" w:hAnsi="Symbol" w:hint="default"/>
        <w:sz w:val="24"/>
      </w:rPr>
    </w:lvl>
  </w:abstractNum>
  <w:abstractNum w:abstractNumId="71" w15:restartNumberingAfterBreak="0">
    <w:nsid w:val="217B126B"/>
    <w:multiLevelType w:val="hybridMultilevel"/>
    <w:tmpl w:val="8F48669C"/>
    <w:lvl w:ilvl="0" w:tplc="C9DA4824">
      <w:start w:val="1"/>
      <w:numFmt w:val="bullet"/>
      <w:lvlText w:val=""/>
      <w:lvlJc w:val="left"/>
      <w:pPr>
        <w:ind w:left="720" w:hanging="360"/>
      </w:pPr>
      <w:rPr>
        <w:rFonts w:ascii="Wingdings" w:hAnsi="Wingdings"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20009B2"/>
    <w:multiLevelType w:val="hybridMultilevel"/>
    <w:tmpl w:val="60CCC670"/>
    <w:lvl w:ilvl="0" w:tplc="08090001">
      <w:start w:val="1"/>
      <w:numFmt w:val="bullet"/>
      <w:lvlText w:val=""/>
      <w:lvlJc w:val="left"/>
      <w:pPr>
        <w:tabs>
          <w:tab w:val="num" w:pos="-708"/>
        </w:tabs>
        <w:ind w:left="-708" w:hanging="360"/>
      </w:pPr>
      <w:rPr>
        <w:rFonts w:ascii="Symbol" w:hAnsi="Symbol" w:hint="default"/>
      </w:rPr>
    </w:lvl>
    <w:lvl w:ilvl="1" w:tplc="08090003" w:tentative="1">
      <w:start w:val="1"/>
      <w:numFmt w:val="bullet"/>
      <w:lvlText w:val="o"/>
      <w:lvlJc w:val="left"/>
      <w:pPr>
        <w:tabs>
          <w:tab w:val="num" w:pos="12"/>
        </w:tabs>
        <w:ind w:left="12" w:hanging="360"/>
      </w:pPr>
      <w:rPr>
        <w:rFonts w:ascii="Courier New" w:hAnsi="Courier New" w:hint="default"/>
      </w:rPr>
    </w:lvl>
    <w:lvl w:ilvl="2" w:tplc="08090005" w:tentative="1">
      <w:start w:val="1"/>
      <w:numFmt w:val="bullet"/>
      <w:lvlText w:val=""/>
      <w:lvlJc w:val="left"/>
      <w:pPr>
        <w:tabs>
          <w:tab w:val="num" w:pos="732"/>
        </w:tabs>
        <w:ind w:left="732" w:hanging="360"/>
      </w:pPr>
      <w:rPr>
        <w:rFonts w:ascii="Wingdings" w:hAnsi="Wingdings" w:hint="default"/>
      </w:rPr>
    </w:lvl>
    <w:lvl w:ilvl="3" w:tplc="08090001" w:tentative="1">
      <w:start w:val="1"/>
      <w:numFmt w:val="bullet"/>
      <w:lvlText w:val=""/>
      <w:lvlJc w:val="left"/>
      <w:pPr>
        <w:tabs>
          <w:tab w:val="num" w:pos="1452"/>
        </w:tabs>
        <w:ind w:left="1452" w:hanging="360"/>
      </w:pPr>
      <w:rPr>
        <w:rFonts w:ascii="Symbol" w:hAnsi="Symbol" w:hint="default"/>
      </w:rPr>
    </w:lvl>
    <w:lvl w:ilvl="4" w:tplc="08090003" w:tentative="1">
      <w:start w:val="1"/>
      <w:numFmt w:val="bullet"/>
      <w:lvlText w:val="o"/>
      <w:lvlJc w:val="left"/>
      <w:pPr>
        <w:tabs>
          <w:tab w:val="num" w:pos="2172"/>
        </w:tabs>
        <w:ind w:left="2172" w:hanging="360"/>
      </w:pPr>
      <w:rPr>
        <w:rFonts w:ascii="Courier New" w:hAnsi="Courier New" w:hint="default"/>
      </w:rPr>
    </w:lvl>
    <w:lvl w:ilvl="5" w:tplc="08090005" w:tentative="1">
      <w:start w:val="1"/>
      <w:numFmt w:val="bullet"/>
      <w:lvlText w:val=""/>
      <w:lvlJc w:val="left"/>
      <w:pPr>
        <w:tabs>
          <w:tab w:val="num" w:pos="2892"/>
        </w:tabs>
        <w:ind w:left="2892" w:hanging="360"/>
      </w:pPr>
      <w:rPr>
        <w:rFonts w:ascii="Wingdings" w:hAnsi="Wingdings" w:hint="default"/>
      </w:rPr>
    </w:lvl>
    <w:lvl w:ilvl="6" w:tplc="08090001" w:tentative="1">
      <w:start w:val="1"/>
      <w:numFmt w:val="bullet"/>
      <w:lvlText w:val=""/>
      <w:lvlJc w:val="left"/>
      <w:pPr>
        <w:tabs>
          <w:tab w:val="num" w:pos="3612"/>
        </w:tabs>
        <w:ind w:left="3612" w:hanging="360"/>
      </w:pPr>
      <w:rPr>
        <w:rFonts w:ascii="Symbol" w:hAnsi="Symbol" w:hint="default"/>
      </w:rPr>
    </w:lvl>
    <w:lvl w:ilvl="7" w:tplc="08090003" w:tentative="1">
      <w:start w:val="1"/>
      <w:numFmt w:val="bullet"/>
      <w:lvlText w:val="o"/>
      <w:lvlJc w:val="left"/>
      <w:pPr>
        <w:tabs>
          <w:tab w:val="num" w:pos="4332"/>
        </w:tabs>
        <w:ind w:left="4332" w:hanging="360"/>
      </w:pPr>
      <w:rPr>
        <w:rFonts w:ascii="Courier New" w:hAnsi="Courier New" w:hint="default"/>
      </w:rPr>
    </w:lvl>
    <w:lvl w:ilvl="8" w:tplc="08090005" w:tentative="1">
      <w:start w:val="1"/>
      <w:numFmt w:val="bullet"/>
      <w:lvlText w:val=""/>
      <w:lvlJc w:val="left"/>
      <w:pPr>
        <w:tabs>
          <w:tab w:val="num" w:pos="5052"/>
        </w:tabs>
        <w:ind w:left="5052" w:hanging="360"/>
      </w:pPr>
      <w:rPr>
        <w:rFonts w:ascii="Wingdings" w:hAnsi="Wingdings" w:hint="default"/>
      </w:rPr>
    </w:lvl>
  </w:abstractNum>
  <w:abstractNum w:abstractNumId="73" w15:restartNumberingAfterBreak="0">
    <w:nsid w:val="221371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226E0B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229977AE"/>
    <w:multiLevelType w:val="hybridMultilevel"/>
    <w:tmpl w:val="3C06015A"/>
    <w:lvl w:ilvl="0" w:tplc="3C88813C">
      <w:start w:val="1"/>
      <w:numFmt w:val="lowerLetter"/>
      <w:lvlText w:val="%1)"/>
      <w:lvlJc w:val="left"/>
      <w:pPr>
        <w:ind w:left="1342" w:hanging="425"/>
      </w:pPr>
      <w:rPr>
        <w:rFonts w:ascii="Times New Roman" w:eastAsia="Times New Roman" w:hAnsi="Times New Roman" w:hint="default"/>
        <w:sz w:val="22"/>
        <w:szCs w:val="22"/>
      </w:rPr>
    </w:lvl>
    <w:lvl w:ilvl="1" w:tplc="5F24569A">
      <w:start w:val="1"/>
      <w:numFmt w:val="bullet"/>
      <w:lvlText w:val="•"/>
      <w:lvlJc w:val="left"/>
      <w:pPr>
        <w:ind w:left="2104" w:hanging="425"/>
      </w:pPr>
      <w:rPr>
        <w:rFonts w:hint="default"/>
      </w:rPr>
    </w:lvl>
    <w:lvl w:ilvl="2" w:tplc="BCD0F3AC">
      <w:start w:val="1"/>
      <w:numFmt w:val="bullet"/>
      <w:lvlText w:val="•"/>
      <w:lvlJc w:val="left"/>
      <w:pPr>
        <w:ind w:left="2866" w:hanging="425"/>
      </w:pPr>
      <w:rPr>
        <w:rFonts w:hint="default"/>
      </w:rPr>
    </w:lvl>
    <w:lvl w:ilvl="3" w:tplc="B02E4FEC">
      <w:start w:val="1"/>
      <w:numFmt w:val="bullet"/>
      <w:lvlText w:val="•"/>
      <w:lvlJc w:val="left"/>
      <w:pPr>
        <w:ind w:left="3629" w:hanging="425"/>
      </w:pPr>
      <w:rPr>
        <w:rFonts w:hint="default"/>
      </w:rPr>
    </w:lvl>
    <w:lvl w:ilvl="4" w:tplc="A4B2DE14">
      <w:start w:val="1"/>
      <w:numFmt w:val="bullet"/>
      <w:lvlText w:val="•"/>
      <w:lvlJc w:val="left"/>
      <w:pPr>
        <w:ind w:left="4391" w:hanging="425"/>
      </w:pPr>
      <w:rPr>
        <w:rFonts w:hint="default"/>
      </w:rPr>
    </w:lvl>
    <w:lvl w:ilvl="5" w:tplc="65EA2C96">
      <w:start w:val="1"/>
      <w:numFmt w:val="bullet"/>
      <w:lvlText w:val="•"/>
      <w:lvlJc w:val="left"/>
      <w:pPr>
        <w:ind w:left="5154" w:hanging="425"/>
      </w:pPr>
      <w:rPr>
        <w:rFonts w:hint="default"/>
      </w:rPr>
    </w:lvl>
    <w:lvl w:ilvl="6" w:tplc="F9CA7F9C">
      <w:start w:val="1"/>
      <w:numFmt w:val="bullet"/>
      <w:lvlText w:val="•"/>
      <w:lvlJc w:val="left"/>
      <w:pPr>
        <w:ind w:left="5916" w:hanging="425"/>
      </w:pPr>
      <w:rPr>
        <w:rFonts w:hint="default"/>
      </w:rPr>
    </w:lvl>
    <w:lvl w:ilvl="7" w:tplc="034CFB80">
      <w:start w:val="1"/>
      <w:numFmt w:val="bullet"/>
      <w:lvlText w:val="•"/>
      <w:lvlJc w:val="left"/>
      <w:pPr>
        <w:ind w:left="6679" w:hanging="425"/>
      </w:pPr>
      <w:rPr>
        <w:rFonts w:hint="default"/>
      </w:rPr>
    </w:lvl>
    <w:lvl w:ilvl="8" w:tplc="FA4609DE">
      <w:start w:val="1"/>
      <w:numFmt w:val="bullet"/>
      <w:lvlText w:val="•"/>
      <w:lvlJc w:val="left"/>
      <w:pPr>
        <w:ind w:left="7441" w:hanging="425"/>
      </w:pPr>
      <w:rPr>
        <w:rFonts w:hint="default"/>
      </w:rPr>
    </w:lvl>
  </w:abstractNum>
  <w:abstractNum w:abstractNumId="76" w15:restartNumberingAfterBreak="0">
    <w:nsid w:val="22B12BD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7" w15:restartNumberingAfterBreak="0">
    <w:nsid w:val="22BC448A"/>
    <w:multiLevelType w:val="singleLevel"/>
    <w:tmpl w:val="F68AD022"/>
    <w:lvl w:ilvl="0">
      <w:start w:val="1"/>
      <w:numFmt w:val="bullet"/>
      <w:lvlText w:val=""/>
      <w:lvlJc w:val="left"/>
      <w:pPr>
        <w:tabs>
          <w:tab w:val="num" w:pos="283"/>
        </w:tabs>
        <w:ind w:left="283" w:hanging="283"/>
      </w:pPr>
      <w:rPr>
        <w:rFonts w:ascii="Symbol" w:hAnsi="Symbol"/>
      </w:rPr>
    </w:lvl>
  </w:abstractNum>
  <w:abstractNum w:abstractNumId="78" w15:restartNumberingAfterBreak="0">
    <w:nsid w:val="22C34861"/>
    <w:multiLevelType w:val="hybridMultilevel"/>
    <w:tmpl w:val="F0F44F00"/>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22FD6B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23244E3E"/>
    <w:multiLevelType w:val="singleLevel"/>
    <w:tmpl w:val="9912CF9E"/>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24B85E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254B77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255E37F4"/>
    <w:multiLevelType w:val="hybridMultilevel"/>
    <w:tmpl w:val="970AF19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256F5CB0"/>
    <w:multiLevelType w:val="hybridMultilevel"/>
    <w:tmpl w:val="45846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6471F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275A680B"/>
    <w:multiLevelType w:val="hybridMultilevel"/>
    <w:tmpl w:val="88106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75E7E09"/>
    <w:multiLevelType w:val="multilevel"/>
    <w:tmpl w:val="FF924956"/>
    <w:lvl w:ilvl="0">
      <w:start w:val="17"/>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88" w15:restartNumberingAfterBreak="0">
    <w:nsid w:val="281729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28C24820"/>
    <w:multiLevelType w:val="multilevel"/>
    <w:tmpl w:val="BB984760"/>
    <w:lvl w:ilvl="0">
      <w:start w:val="1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90" w15:restartNumberingAfterBreak="0">
    <w:nsid w:val="28F32807"/>
    <w:multiLevelType w:val="multilevel"/>
    <w:tmpl w:val="ABEE7DAA"/>
    <w:lvl w:ilvl="0">
      <w:start w:val="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bullet"/>
      <w:lvlText w:val="•"/>
      <w:lvlJc w:val="left"/>
      <w:pPr>
        <w:ind w:left="2275" w:hanging="360"/>
      </w:pPr>
      <w:rPr>
        <w:rFonts w:hint="default"/>
      </w:rPr>
    </w:lvl>
    <w:lvl w:ilvl="4">
      <w:start w:val="1"/>
      <w:numFmt w:val="bullet"/>
      <w:lvlText w:val="•"/>
      <w:lvlJc w:val="left"/>
      <w:pPr>
        <w:ind w:left="3228" w:hanging="360"/>
      </w:pPr>
      <w:rPr>
        <w:rFonts w:hint="default"/>
      </w:rPr>
    </w:lvl>
    <w:lvl w:ilvl="5">
      <w:start w:val="1"/>
      <w:numFmt w:val="bullet"/>
      <w:lvlText w:val="•"/>
      <w:lvlJc w:val="left"/>
      <w:pPr>
        <w:ind w:left="4181" w:hanging="360"/>
      </w:pPr>
      <w:rPr>
        <w:rFonts w:hint="default"/>
      </w:rPr>
    </w:lvl>
    <w:lvl w:ilvl="6">
      <w:start w:val="1"/>
      <w:numFmt w:val="bullet"/>
      <w:lvlText w:val="•"/>
      <w:lvlJc w:val="left"/>
      <w:pPr>
        <w:ind w:left="5134" w:hanging="360"/>
      </w:pPr>
      <w:rPr>
        <w:rFonts w:hint="default"/>
      </w:rPr>
    </w:lvl>
    <w:lvl w:ilvl="7">
      <w:start w:val="1"/>
      <w:numFmt w:val="bullet"/>
      <w:lvlText w:val="•"/>
      <w:lvlJc w:val="left"/>
      <w:pPr>
        <w:ind w:left="6087" w:hanging="360"/>
      </w:pPr>
      <w:rPr>
        <w:rFonts w:hint="default"/>
      </w:rPr>
    </w:lvl>
    <w:lvl w:ilvl="8">
      <w:start w:val="1"/>
      <w:numFmt w:val="bullet"/>
      <w:lvlText w:val="•"/>
      <w:lvlJc w:val="left"/>
      <w:pPr>
        <w:ind w:left="7040" w:hanging="360"/>
      </w:pPr>
      <w:rPr>
        <w:rFonts w:hint="default"/>
      </w:rPr>
    </w:lvl>
  </w:abstractNum>
  <w:abstractNum w:abstractNumId="91" w15:restartNumberingAfterBreak="0">
    <w:nsid w:val="291701C5"/>
    <w:multiLevelType w:val="hybridMultilevel"/>
    <w:tmpl w:val="36CA3C90"/>
    <w:lvl w:ilvl="0" w:tplc="376CA5CC">
      <w:start w:val="4"/>
      <w:numFmt w:val="bullet"/>
      <w:lvlText w:val=""/>
      <w:lvlJc w:val="left"/>
      <w:pPr>
        <w:tabs>
          <w:tab w:val="num" w:pos="1025"/>
        </w:tabs>
        <w:ind w:left="1025" w:hanging="360"/>
      </w:pPr>
      <w:rPr>
        <w:rFonts w:ascii="Symbol" w:hAnsi="Symbol" w:hint="default"/>
        <w:b/>
        <w:i w:val="0"/>
        <w:sz w:val="16"/>
        <w:szCs w:val="20"/>
      </w:rPr>
    </w:lvl>
    <w:lvl w:ilvl="1" w:tplc="65C812EC">
      <w:start w:val="2"/>
      <w:numFmt w:val="bullet"/>
      <w:lvlText w:val="-"/>
      <w:lvlJc w:val="left"/>
      <w:pPr>
        <w:tabs>
          <w:tab w:val="num" w:pos="1440"/>
        </w:tabs>
        <w:ind w:left="1440" w:hanging="360"/>
      </w:pPr>
      <w:rPr>
        <w:rFonts w:ascii="Times New Roman" w:eastAsia="Times New Roman" w:hAnsi="Times New Roman" w:cs="Times New Roman" w:hint="default"/>
        <w:b/>
        <w:i w:val="0"/>
        <w:sz w:val="16"/>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97533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29AA2B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29E20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29E32B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2ADF77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2B07782A"/>
    <w:multiLevelType w:val="multilevel"/>
    <w:tmpl w:val="4798203E"/>
    <w:lvl w:ilvl="0">
      <w:start w:val="1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286"/>
      </w:pPr>
      <w:rPr>
        <w:rFonts w:ascii="Times New Roman" w:eastAsia="Times New Roman" w:hAnsi="Times New Roman" w:hint="default"/>
        <w:sz w:val="22"/>
        <w:szCs w:val="22"/>
      </w:rPr>
    </w:lvl>
    <w:lvl w:ilvl="3">
      <w:start w:val="1"/>
      <w:numFmt w:val="bullet"/>
      <w:lvlText w:val="•"/>
      <w:lvlJc w:val="left"/>
      <w:pPr>
        <w:ind w:left="2908" w:hanging="286"/>
      </w:pPr>
      <w:rPr>
        <w:rFonts w:hint="default"/>
      </w:rPr>
    </w:lvl>
    <w:lvl w:ilvl="4">
      <w:start w:val="1"/>
      <w:numFmt w:val="bullet"/>
      <w:lvlText w:val="•"/>
      <w:lvlJc w:val="left"/>
      <w:pPr>
        <w:ind w:left="3770" w:hanging="286"/>
      </w:pPr>
      <w:rPr>
        <w:rFonts w:hint="default"/>
      </w:rPr>
    </w:lvl>
    <w:lvl w:ilvl="5">
      <w:start w:val="1"/>
      <w:numFmt w:val="bullet"/>
      <w:lvlText w:val="•"/>
      <w:lvlJc w:val="left"/>
      <w:pPr>
        <w:ind w:left="4633" w:hanging="286"/>
      </w:pPr>
      <w:rPr>
        <w:rFonts w:hint="default"/>
      </w:rPr>
    </w:lvl>
    <w:lvl w:ilvl="6">
      <w:start w:val="1"/>
      <w:numFmt w:val="bullet"/>
      <w:lvlText w:val="•"/>
      <w:lvlJc w:val="left"/>
      <w:pPr>
        <w:ind w:left="5495" w:hanging="286"/>
      </w:pPr>
      <w:rPr>
        <w:rFonts w:hint="default"/>
      </w:rPr>
    </w:lvl>
    <w:lvl w:ilvl="7">
      <w:start w:val="1"/>
      <w:numFmt w:val="bullet"/>
      <w:lvlText w:val="•"/>
      <w:lvlJc w:val="left"/>
      <w:pPr>
        <w:ind w:left="6358" w:hanging="286"/>
      </w:pPr>
      <w:rPr>
        <w:rFonts w:hint="default"/>
      </w:rPr>
    </w:lvl>
    <w:lvl w:ilvl="8">
      <w:start w:val="1"/>
      <w:numFmt w:val="bullet"/>
      <w:lvlText w:val="•"/>
      <w:lvlJc w:val="left"/>
      <w:pPr>
        <w:ind w:left="7221" w:hanging="286"/>
      </w:pPr>
      <w:rPr>
        <w:rFonts w:hint="default"/>
      </w:rPr>
    </w:lvl>
  </w:abstractNum>
  <w:abstractNum w:abstractNumId="98" w15:restartNumberingAfterBreak="0">
    <w:nsid w:val="2B6509E1"/>
    <w:multiLevelType w:val="hybridMultilevel"/>
    <w:tmpl w:val="3ADC81DA"/>
    <w:lvl w:ilvl="0" w:tplc="65C812EC">
      <w:start w:val="2"/>
      <w:numFmt w:val="bullet"/>
      <w:lvlText w:val="-"/>
      <w:lvlJc w:val="left"/>
      <w:pPr>
        <w:tabs>
          <w:tab w:val="num" w:pos="1005"/>
        </w:tabs>
        <w:ind w:left="1005" w:hanging="360"/>
      </w:pPr>
      <w:rPr>
        <w:rFonts w:ascii="Times New Roman" w:eastAsia="Times New Roman" w:hAnsi="Times New Roman" w:cs="Times New Roman" w:hint="default"/>
      </w:rPr>
    </w:lvl>
    <w:lvl w:ilvl="1" w:tplc="04090003" w:tentative="1">
      <w:start w:val="1"/>
      <w:numFmt w:val="bullet"/>
      <w:lvlText w:val="o"/>
      <w:lvlJc w:val="left"/>
      <w:pPr>
        <w:tabs>
          <w:tab w:val="num" w:pos="1725"/>
        </w:tabs>
        <w:ind w:left="1725" w:hanging="360"/>
      </w:pPr>
      <w:rPr>
        <w:rFonts w:ascii="Courier New" w:hAnsi="Courier New" w:cs="Courier New" w:hint="default"/>
      </w:rPr>
    </w:lvl>
    <w:lvl w:ilvl="2" w:tplc="04090005" w:tentative="1">
      <w:start w:val="1"/>
      <w:numFmt w:val="bullet"/>
      <w:lvlText w:val=""/>
      <w:lvlJc w:val="left"/>
      <w:pPr>
        <w:tabs>
          <w:tab w:val="num" w:pos="2445"/>
        </w:tabs>
        <w:ind w:left="2445" w:hanging="360"/>
      </w:pPr>
      <w:rPr>
        <w:rFonts w:ascii="Wingdings" w:hAnsi="Wingdings" w:hint="default"/>
      </w:rPr>
    </w:lvl>
    <w:lvl w:ilvl="3" w:tplc="04090001" w:tentative="1">
      <w:start w:val="1"/>
      <w:numFmt w:val="bullet"/>
      <w:lvlText w:val=""/>
      <w:lvlJc w:val="left"/>
      <w:pPr>
        <w:tabs>
          <w:tab w:val="num" w:pos="3165"/>
        </w:tabs>
        <w:ind w:left="3165" w:hanging="360"/>
      </w:pPr>
      <w:rPr>
        <w:rFonts w:ascii="Symbol" w:hAnsi="Symbol" w:hint="default"/>
      </w:rPr>
    </w:lvl>
    <w:lvl w:ilvl="4" w:tplc="04090003" w:tentative="1">
      <w:start w:val="1"/>
      <w:numFmt w:val="bullet"/>
      <w:lvlText w:val="o"/>
      <w:lvlJc w:val="left"/>
      <w:pPr>
        <w:tabs>
          <w:tab w:val="num" w:pos="3885"/>
        </w:tabs>
        <w:ind w:left="3885" w:hanging="360"/>
      </w:pPr>
      <w:rPr>
        <w:rFonts w:ascii="Courier New" w:hAnsi="Courier New" w:cs="Courier New" w:hint="default"/>
      </w:rPr>
    </w:lvl>
    <w:lvl w:ilvl="5" w:tplc="04090005" w:tentative="1">
      <w:start w:val="1"/>
      <w:numFmt w:val="bullet"/>
      <w:lvlText w:val=""/>
      <w:lvlJc w:val="left"/>
      <w:pPr>
        <w:tabs>
          <w:tab w:val="num" w:pos="4605"/>
        </w:tabs>
        <w:ind w:left="4605" w:hanging="360"/>
      </w:pPr>
      <w:rPr>
        <w:rFonts w:ascii="Wingdings" w:hAnsi="Wingdings" w:hint="default"/>
      </w:rPr>
    </w:lvl>
    <w:lvl w:ilvl="6" w:tplc="04090001" w:tentative="1">
      <w:start w:val="1"/>
      <w:numFmt w:val="bullet"/>
      <w:lvlText w:val=""/>
      <w:lvlJc w:val="left"/>
      <w:pPr>
        <w:tabs>
          <w:tab w:val="num" w:pos="5325"/>
        </w:tabs>
        <w:ind w:left="5325" w:hanging="360"/>
      </w:pPr>
      <w:rPr>
        <w:rFonts w:ascii="Symbol" w:hAnsi="Symbol" w:hint="default"/>
      </w:rPr>
    </w:lvl>
    <w:lvl w:ilvl="7" w:tplc="04090003" w:tentative="1">
      <w:start w:val="1"/>
      <w:numFmt w:val="bullet"/>
      <w:lvlText w:val="o"/>
      <w:lvlJc w:val="left"/>
      <w:pPr>
        <w:tabs>
          <w:tab w:val="num" w:pos="6045"/>
        </w:tabs>
        <w:ind w:left="6045" w:hanging="360"/>
      </w:pPr>
      <w:rPr>
        <w:rFonts w:ascii="Courier New" w:hAnsi="Courier New" w:cs="Courier New" w:hint="default"/>
      </w:rPr>
    </w:lvl>
    <w:lvl w:ilvl="8" w:tplc="04090005" w:tentative="1">
      <w:start w:val="1"/>
      <w:numFmt w:val="bullet"/>
      <w:lvlText w:val=""/>
      <w:lvlJc w:val="left"/>
      <w:pPr>
        <w:tabs>
          <w:tab w:val="num" w:pos="6765"/>
        </w:tabs>
        <w:ind w:left="6765" w:hanging="360"/>
      </w:pPr>
      <w:rPr>
        <w:rFonts w:ascii="Wingdings" w:hAnsi="Wingdings" w:hint="default"/>
      </w:rPr>
    </w:lvl>
  </w:abstractNum>
  <w:abstractNum w:abstractNumId="99" w15:restartNumberingAfterBreak="0">
    <w:nsid w:val="2B720204"/>
    <w:multiLevelType w:val="hybridMultilevel"/>
    <w:tmpl w:val="A45E27D4"/>
    <w:lvl w:ilvl="0" w:tplc="E06E9EA2">
      <w:start w:val="1"/>
      <w:numFmt w:val="bullet"/>
      <w:lvlText w:val=""/>
      <w:lvlJc w:val="left"/>
      <w:pPr>
        <w:ind w:left="928" w:hanging="360"/>
      </w:pPr>
      <w:rPr>
        <w:rFonts w:ascii="Symbol" w:hAnsi="Symbol" w:hint="default"/>
      </w:rPr>
    </w:lvl>
    <w:lvl w:ilvl="1" w:tplc="E06E9EA2">
      <w:start w:val="1"/>
      <w:numFmt w:val="bullet"/>
      <w:lvlText w:val=""/>
      <w:lvlJc w:val="left"/>
      <w:pPr>
        <w:ind w:left="1648" w:hanging="360"/>
      </w:pPr>
      <w:rPr>
        <w:rFonts w:ascii="Symbol" w:hAnsi="Symbol"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00" w15:restartNumberingAfterBreak="0">
    <w:nsid w:val="2B75631B"/>
    <w:multiLevelType w:val="singleLevel"/>
    <w:tmpl w:val="A4DC141A"/>
    <w:lvl w:ilvl="0">
      <w:start w:val="1"/>
      <w:numFmt w:val="bullet"/>
      <w:pStyle w:val="ListDash2"/>
      <w:lvlText w:val=""/>
      <w:lvlJc w:val="left"/>
      <w:pPr>
        <w:tabs>
          <w:tab w:val="num" w:pos="765"/>
        </w:tabs>
        <w:ind w:left="765" w:hanging="283"/>
      </w:pPr>
      <w:rPr>
        <w:rFonts w:ascii="Symbol" w:hAnsi="Symbol"/>
      </w:rPr>
    </w:lvl>
  </w:abstractNum>
  <w:abstractNum w:abstractNumId="101" w15:restartNumberingAfterBreak="0">
    <w:nsid w:val="2CC00048"/>
    <w:multiLevelType w:val="multilevel"/>
    <w:tmpl w:val="58B45770"/>
    <w:lvl w:ilvl="0">
      <w:start w:val="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02" w15:restartNumberingAfterBreak="0">
    <w:nsid w:val="2E175B6C"/>
    <w:multiLevelType w:val="singleLevel"/>
    <w:tmpl w:val="22FA4D1C"/>
    <w:lvl w:ilvl="0">
      <w:start w:val="1"/>
      <w:numFmt w:val="bullet"/>
      <w:pStyle w:val="StyleBoldItalicBlackUnderlineJustified"/>
      <w:lvlText w:val=""/>
      <w:lvlJc w:val="left"/>
      <w:pPr>
        <w:tabs>
          <w:tab w:val="num" w:pos="540"/>
        </w:tabs>
        <w:ind w:left="540" w:hanging="360"/>
      </w:pPr>
      <w:rPr>
        <w:rFonts w:ascii="Wingdings" w:hAnsi="Wingdings" w:hint="default"/>
        <w:sz w:val="16"/>
      </w:rPr>
    </w:lvl>
  </w:abstractNum>
  <w:abstractNum w:abstractNumId="103" w15:restartNumberingAfterBreak="0">
    <w:nsid w:val="2E9E1138"/>
    <w:multiLevelType w:val="hybridMultilevel"/>
    <w:tmpl w:val="87A40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2F9F13FE"/>
    <w:multiLevelType w:val="hybridMultilevel"/>
    <w:tmpl w:val="58FC1096"/>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2FAD31A6"/>
    <w:multiLevelType w:val="multilevel"/>
    <w:tmpl w:val="4798203E"/>
    <w:lvl w:ilvl="0">
      <w:start w:val="1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286"/>
      </w:pPr>
      <w:rPr>
        <w:rFonts w:ascii="Times New Roman" w:eastAsia="Times New Roman" w:hAnsi="Times New Roman" w:hint="default"/>
        <w:sz w:val="22"/>
        <w:szCs w:val="22"/>
      </w:rPr>
    </w:lvl>
    <w:lvl w:ilvl="3">
      <w:start w:val="1"/>
      <w:numFmt w:val="bullet"/>
      <w:lvlText w:val="•"/>
      <w:lvlJc w:val="left"/>
      <w:pPr>
        <w:ind w:left="2908" w:hanging="286"/>
      </w:pPr>
      <w:rPr>
        <w:rFonts w:hint="default"/>
      </w:rPr>
    </w:lvl>
    <w:lvl w:ilvl="4">
      <w:start w:val="1"/>
      <w:numFmt w:val="bullet"/>
      <w:lvlText w:val="•"/>
      <w:lvlJc w:val="left"/>
      <w:pPr>
        <w:ind w:left="3770" w:hanging="286"/>
      </w:pPr>
      <w:rPr>
        <w:rFonts w:hint="default"/>
      </w:rPr>
    </w:lvl>
    <w:lvl w:ilvl="5">
      <w:start w:val="1"/>
      <w:numFmt w:val="bullet"/>
      <w:lvlText w:val="•"/>
      <w:lvlJc w:val="left"/>
      <w:pPr>
        <w:ind w:left="4633" w:hanging="286"/>
      </w:pPr>
      <w:rPr>
        <w:rFonts w:hint="default"/>
      </w:rPr>
    </w:lvl>
    <w:lvl w:ilvl="6">
      <w:start w:val="1"/>
      <w:numFmt w:val="bullet"/>
      <w:lvlText w:val="•"/>
      <w:lvlJc w:val="left"/>
      <w:pPr>
        <w:ind w:left="5495" w:hanging="286"/>
      </w:pPr>
      <w:rPr>
        <w:rFonts w:hint="default"/>
      </w:rPr>
    </w:lvl>
    <w:lvl w:ilvl="7">
      <w:start w:val="1"/>
      <w:numFmt w:val="bullet"/>
      <w:lvlText w:val="•"/>
      <w:lvlJc w:val="left"/>
      <w:pPr>
        <w:ind w:left="6358" w:hanging="286"/>
      </w:pPr>
      <w:rPr>
        <w:rFonts w:hint="default"/>
      </w:rPr>
    </w:lvl>
    <w:lvl w:ilvl="8">
      <w:start w:val="1"/>
      <w:numFmt w:val="bullet"/>
      <w:lvlText w:val="•"/>
      <w:lvlJc w:val="left"/>
      <w:pPr>
        <w:ind w:left="7221" w:hanging="286"/>
      </w:pPr>
      <w:rPr>
        <w:rFonts w:hint="default"/>
      </w:rPr>
    </w:lvl>
  </w:abstractNum>
  <w:abstractNum w:abstractNumId="106" w15:restartNumberingAfterBreak="0">
    <w:nsid w:val="30016288"/>
    <w:multiLevelType w:val="hybridMultilevel"/>
    <w:tmpl w:val="14FA1E9E"/>
    <w:lvl w:ilvl="0" w:tplc="C810A072">
      <w:start w:val="1"/>
      <w:numFmt w:val="lowerLetter"/>
      <w:lvlText w:val="%1)"/>
      <w:lvlJc w:val="left"/>
      <w:pPr>
        <w:ind w:left="786" w:hanging="72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07" w15:restartNumberingAfterBreak="0">
    <w:nsid w:val="300621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306A1B5A"/>
    <w:multiLevelType w:val="singleLevel"/>
    <w:tmpl w:val="261ED5A0"/>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30D464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31F70165"/>
    <w:multiLevelType w:val="hybridMultilevel"/>
    <w:tmpl w:val="C242E9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1" w15:restartNumberingAfterBreak="0">
    <w:nsid w:val="32CB49B8"/>
    <w:multiLevelType w:val="singleLevel"/>
    <w:tmpl w:val="261ED5A0"/>
    <w:lvl w:ilvl="0">
      <w:start w:val="1"/>
      <w:numFmt w:val="bullet"/>
      <w:lvlText w:val=""/>
      <w:lvlJc w:val="left"/>
      <w:pPr>
        <w:tabs>
          <w:tab w:val="num" w:pos="360"/>
        </w:tabs>
        <w:ind w:left="360" w:hanging="360"/>
      </w:pPr>
      <w:rPr>
        <w:rFonts w:ascii="Symbol" w:hAnsi="Symbol" w:hint="default"/>
        <w:color w:val="auto"/>
      </w:rPr>
    </w:lvl>
  </w:abstractNum>
  <w:abstractNum w:abstractNumId="112" w15:restartNumberingAfterBreak="0">
    <w:nsid w:val="33A156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341D0035"/>
    <w:multiLevelType w:val="singleLevel"/>
    <w:tmpl w:val="04090001"/>
    <w:lvl w:ilvl="0">
      <w:start w:val="1"/>
      <w:numFmt w:val="bullet"/>
      <w:pStyle w:val="ListBullet1"/>
      <w:lvlText w:val=""/>
      <w:lvlJc w:val="left"/>
      <w:pPr>
        <w:tabs>
          <w:tab w:val="num" w:pos="360"/>
        </w:tabs>
        <w:ind w:left="360" w:hanging="360"/>
      </w:pPr>
      <w:rPr>
        <w:rFonts w:ascii="Symbol" w:hAnsi="Symbol" w:hint="default"/>
      </w:rPr>
    </w:lvl>
  </w:abstractNum>
  <w:abstractNum w:abstractNumId="114" w15:restartNumberingAfterBreak="0">
    <w:nsid w:val="35246190"/>
    <w:multiLevelType w:val="hybridMultilevel"/>
    <w:tmpl w:val="16D0A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36592957"/>
    <w:multiLevelType w:val="hybridMultilevel"/>
    <w:tmpl w:val="4ADE7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367F5C37"/>
    <w:multiLevelType w:val="hybridMultilevel"/>
    <w:tmpl w:val="DE7CF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3C439E"/>
    <w:multiLevelType w:val="hybridMultilevel"/>
    <w:tmpl w:val="9C4A4AB4"/>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37766E1A"/>
    <w:multiLevelType w:val="hybridMultilevel"/>
    <w:tmpl w:val="3C4241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37FA32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38CE7207"/>
    <w:multiLevelType w:val="multilevel"/>
    <w:tmpl w:val="ED64CBD6"/>
    <w:lvl w:ilvl="0">
      <w:start w:val="1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21" w15:restartNumberingAfterBreak="0">
    <w:nsid w:val="390D713F"/>
    <w:multiLevelType w:val="multilevel"/>
    <w:tmpl w:val="AF5C0F16"/>
    <w:lvl w:ilvl="0">
      <w:start w:val="2"/>
      <w:numFmt w:val="decimal"/>
      <w:lvlText w:val="%1"/>
      <w:lvlJc w:val="left"/>
      <w:pPr>
        <w:ind w:left="480" w:hanging="480"/>
      </w:pPr>
      <w:rPr>
        <w:rFonts w:hint="default"/>
      </w:rPr>
    </w:lvl>
    <w:lvl w:ilvl="1">
      <w:start w:val="6"/>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2" w15:restartNumberingAfterBreak="0">
    <w:nsid w:val="39576DD3"/>
    <w:multiLevelType w:val="multilevel"/>
    <w:tmpl w:val="6E483F54"/>
    <w:lvl w:ilvl="0">
      <w:start w:val="12"/>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23" w15:restartNumberingAfterBreak="0">
    <w:nsid w:val="3B88165A"/>
    <w:multiLevelType w:val="hybridMultilevel"/>
    <w:tmpl w:val="4F3E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C2F1792"/>
    <w:multiLevelType w:val="multilevel"/>
    <w:tmpl w:val="EC4CD368"/>
    <w:lvl w:ilvl="0">
      <w:start w:val="9"/>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25" w15:restartNumberingAfterBreak="0">
    <w:nsid w:val="3C467DB5"/>
    <w:multiLevelType w:val="hybridMultilevel"/>
    <w:tmpl w:val="B6986EEE"/>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6" w15:restartNumberingAfterBreak="0">
    <w:nsid w:val="3C4E42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3C6D50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8" w15:restartNumberingAfterBreak="0">
    <w:nsid w:val="3CA259D3"/>
    <w:multiLevelType w:val="multilevel"/>
    <w:tmpl w:val="08090001"/>
    <w:lvl w:ilvl="0">
      <w:start w:val="1"/>
      <w:numFmt w:val="bullet"/>
      <w:lvlText w:val=""/>
      <w:lvlJc w:val="left"/>
      <w:pPr>
        <w:tabs>
          <w:tab w:val="num" w:pos="908"/>
        </w:tabs>
        <w:ind w:left="90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EA327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0" w15:restartNumberingAfterBreak="0">
    <w:nsid w:val="3F3341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1" w15:restartNumberingAfterBreak="0">
    <w:nsid w:val="3F3A5F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2" w15:restartNumberingAfterBreak="0">
    <w:nsid w:val="3F457870"/>
    <w:multiLevelType w:val="singleLevel"/>
    <w:tmpl w:val="FFFFFFFF"/>
    <w:lvl w:ilvl="0">
      <w:start w:val="1"/>
      <w:numFmt w:val="bullet"/>
      <w:lvlText w:val=""/>
      <w:lvlJc w:val="left"/>
      <w:pPr>
        <w:ind w:left="283" w:hanging="283"/>
      </w:pPr>
      <w:rPr>
        <w:rFonts w:ascii="Symbol" w:hAnsi="Symbol" w:hint="default"/>
      </w:rPr>
    </w:lvl>
  </w:abstractNum>
  <w:abstractNum w:abstractNumId="133" w15:restartNumberingAfterBreak="0">
    <w:nsid w:val="3F776D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4" w15:restartNumberingAfterBreak="0">
    <w:nsid w:val="3F9B61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3F9C7E0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6" w15:restartNumberingAfterBreak="0">
    <w:nsid w:val="40036652"/>
    <w:multiLevelType w:val="hybridMultilevel"/>
    <w:tmpl w:val="4BFED2CE"/>
    <w:lvl w:ilvl="0" w:tplc="BA68D7E6">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7" w15:restartNumberingAfterBreak="0">
    <w:nsid w:val="401822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8" w15:restartNumberingAfterBreak="0">
    <w:nsid w:val="401E71A8"/>
    <w:multiLevelType w:val="hybridMultilevel"/>
    <w:tmpl w:val="16B2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08B6762"/>
    <w:multiLevelType w:val="hybridMultilevel"/>
    <w:tmpl w:val="8AD80C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0" w15:restartNumberingAfterBreak="0">
    <w:nsid w:val="41157867"/>
    <w:multiLevelType w:val="hybridMultilevel"/>
    <w:tmpl w:val="D28E3C26"/>
    <w:lvl w:ilvl="0" w:tplc="B7A4C09C">
      <w:start w:val="1"/>
      <w:numFmt w:val="bullet"/>
      <w:lvlText w:val="-"/>
      <w:lvlJc w:val="left"/>
      <w:pPr>
        <w:ind w:left="770" w:hanging="360"/>
      </w:pPr>
      <w:rPr>
        <w:rFonts w:ascii="Times New Roman" w:hAnsi="Times New Roman" w:cs="Times New Roman"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1" w15:restartNumberingAfterBreak="0">
    <w:nsid w:val="418017D5"/>
    <w:multiLevelType w:val="hybridMultilevel"/>
    <w:tmpl w:val="09FEB040"/>
    <w:lvl w:ilvl="0" w:tplc="C9DA4824">
      <w:start w:val="1"/>
      <w:numFmt w:val="bullet"/>
      <w:lvlText w:val=""/>
      <w:lvlJc w:val="left"/>
      <w:pPr>
        <w:ind w:left="720" w:hanging="360"/>
      </w:pPr>
      <w:rPr>
        <w:rFonts w:ascii="Wingdings" w:hAnsi="Wingdings"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428415E7"/>
    <w:multiLevelType w:val="multilevel"/>
    <w:tmpl w:val="6F2A206C"/>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3" w15:restartNumberingAfterBreak="0">
    <w:nsid w:val="433171DB"/>
    <w:multiLevelType w:val="hybridMultilevel"/>
    <w:tmpl w:val="65980DFA"/>
    <w:lvl w:ilvl="0" w:tplc="E1CA86B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44971E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5" w15:restartNumberingAfterBreak="0">
    <w:nsid w:val="45CE279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6" w15:restartNumberingAfterBreak="0">
    <w:nsid w:val="45FA4F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7" w15:restartNumberingAfterBreak="0">
    <w:nsid w:val="460D19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467B1196"/>
    <w:multiLevelType w:val="hybridMultilevel"/>
    <w:tmpl w:val="90E87740"/>
    <w:lvl w:ilvl="0" w:tplc="6E44AAD4">
      <w:start w:val="1"/>
      <w:numFmt w:val="decimal"/>
      <w:lvlText w:val="%1."/>
      <w:lvlJc w:val="left"/>
      <w:pPr>
        <w:tabs>
          <w:tab w:val="num" w:pos="-2"/>
        </w:tabs>
        <w:ind w:left="253" w:hanging="253"/>
      </w:pPr>
      <w:rPr>
        <w:rFonts w:ascii="Times New Roman Bold" w:hAnsi="Times New Roman Bold" w:hint="default"/>
        <w:b/>
        <w:i w:val="0"/>
        <w:sz w:val="24"/>
      </w:rPr>
    </w:lvl>
    <w:lvl w:ilvl="1" w:tplc="08090019" w:tentative="1">
      <w:start w:val="1"/>
      <w:numFmt w:val="lowerLetter"/>
      <w:lvlText w:val="%2."/>
      <w:lvlJc w:val="left"/>
      <w:pPr>
        <w:tabs>
          <w:tab w:val="num" w:pos="1296"/>
        </w:tabs>
        <w:ind w:left="1296" w:hanging="360"/>
      </w:pPr>
    </w:lvl>
    <w:lvl w:ilvl="2" w:tplc="0809001B" w:tentative="1">
      <w:start w:val="1"/>
      <w:numFmt w:val="lowerRoman"/>
      <w:lvlText w:val="%3."/>
      <w:lvlJc w:val="right"/>
      <w:pPr>
        <w:tabs>
          <w:tab w:val="num" w:pos="2016"/>
        </w:tabs>
        <w:ind w:left="2016" w:hanging="180"/>
      </w:pPr>
    </w:lvl>
    <w:lvl w:ilvl="3" w:tplc="0809000F" w:tentative="1">
      <w:start w:val="1"/>
      <w:numFmt w:val="decimal"/>
      <w:lvlText w:val="%4."/>
      <w:lvlJc w:val="left"/>
      <w:pPr>
        <w:tabs>
          <w:tab w:val="num" w:pos="2736"/>
        </w:tabs>
        <w:ind w:left="2736" w:hanging="360"/>
      </w:pPr>
    </w:lvl>
    <w:lvl w:ilvl="4" w:tplc="08090019" w:tentative="1">
      <w:start w:val="1"/>
      <w:numFmt w:val="lowerLetter"/>
      <w:lvlText w:val="%5."/>
      <w:lvlJc w:val="left"/>
      <w:pPr>
        <w:tabs>
          <w:tab w:val="num" w:pos="3456"/>
        </w:tabs>
        <w:ind w:left="3456" w:hanging="360"/>
      </w:pPr>
    </w:lvl>
    <w:lvl w:ilvl="5" w:tplc="0809001B" w:tentative="1">
      <w:start w:val="1"/>
      <w:numFmt w:val="lowerRoman"/>
      <w:lvlText w:val="%6."/>
      <w:lvlJc w:val="right"/>
      <w:pPr>
        <w:tabs>
          <w:tab w:val="num" w:pos="4176"/>
        </w:tabs>
        <w:ind w:left="4176" w:hanging="180"/>
      </w:pPr>
    </w:lvl>
    <w:lvl w:ilvl="6" w:tplc="0809000F" w:tentative="1">
      <w:start w:val="1"/>
      <w:numFmt w:val="decimal"/>
      <w:lvlText w:val="%7."/>
      <w:lvlJc w:val="left"/>
      <w:pPr>
        <w:tabs>
          <w:tab w:val="num" w:pos="4896"/>
        </w:tabs>
        <w:ind w:left="4896" w:hanging="360"/>
      </w:pPr>
    </w:lvl>
    <w:lvl w:ilvl="7" w:tplc="08090019" w:tentative="1">
      <w:start w:val="1"/>
      <w:numFmt w:val="lowerLetter"/>
      <w:lvlText w:val="%8."/>
      <w:lvlJc w:val="left"/>
      <w:pPr>
        <w:tabs>
          <w:tab w:val="num" w:pos="5616"/>
        </w:tabs>
        <w:ind w:left="5616" w:hanging="360"/>
      </w:pPr>
    </w:lvl>
    <w:lvl w:ilvl="8" w:tplc="0809001B" w:tentative="1">
      <w:start w:val="1"/>
      <w:numFmt w:val="lowerRoman"/>
      <w:lvlText w:val="%9."/>
      <w:lvlJc w:val="right"/>
      <w:pPr>
        <w:tabs>
          <w:tab w:val="num" w:pos="6336"/>
        </w:tabs>
        <w:ind w:left="6336" w:hanging="180"/>
      </w:pPr>
    </w:lvl>
  </w:abstractNum>
  <w:abstractNum w:abstractNumId="149" w15:restartNumberingAfterBreak="0">
    <w:nsid w:val="467D5E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484F3A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1" w15:restartNumberingAfterBreak="0">
    <w:nsid w:val="48F242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2" w15:restartNumberingAfterBreak="0">
    <w:nsid w:val="492F4B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3" w15:restartNumberingAfterBreak="0">
    <w:nsid w:val="497430A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4" w15:restartNumberingAfterBreak="0">
    <w:nsid w:val="49B448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5" w15:restartNumberingAfterBreak="0">
    <w:nsid w:val="49F45720"/>
    <w:multiLevelType w:val="multilevel"/>
    <w:tmpl w:val="E5F0AB1C"/>
    <w:lvl w:ilvl="0">
      <w:start w:val="1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Roman"/>
      <w:lvlText w:val="(%3)"/>
      <w:lvlJc w:val="left"/>
      <w:pPr>
        <w:ind w:left="1617" w:hanging="564"/>
        <w:jc w:val="right"/>
      </w:pPr>
      <w:rPr>
        <w:rFonts w:ascii="Times New Roman" w:eastAsia="Times New Roman" w:hAnsi="Times New Roman" w:hint="default"/>
        <w:sz w:val="22"/>
        <w:szCs w:val="22"/>
      </w:rPr>
    </w:lvl>
    <w:lvl w:ilvl="3">
      <w:start w:val="1"/>
      <w:numFmt w:val="bullet"/>
      <w:lvlText w:val="•"/>
      <w:lvlJc w:val="left"/>
      <w:pPr>
        <w:ind w:left="3245" w:hanging="564"/>
      </w:pPr>
      <w:rPr>
        <w:rFonts w:hint="default"/>
      </w:rPr>
    </w:lvl>
    <w:lvl w:ilvl="4">
      <w:start w:val="1"/>
      <w:numFmt w:val="bullet"/>
      <w:lvlText w:val="•"/>
      <w:lvlJc w:val="left"/>
      <w:pPr>
        <w:ind w:left="4060" w:hanging="564"/>
      </w:pPr>
      <w:rPr>
        <w:rFonts w:hint="default"/>
      </w:rPr>
    </w:lvl>
    <w:lvl w:ilvl="5">
      <w:start w:val="1"/>
      <w:numFmt w:val="bullet"/>
      <w:lvlText w:val="•"/>
      <w:lvlJc w:val="left"/>
      <w:pPr>
        <w:ind w:left="4874" w:hanging="564"/>
      </w:pPr>
      <w:rPr>
        <w:rFonts w:hint="default"/>
      </w:rPr>
    </w:lvl>
    <w:lvl w:ilvl="6">
      <w:start w:val="1"/>
      <w:numFmt w:val="bullet"/>
      <w:lvlText w:val="•"/>
      <w:lvlJc w:val="left"/>
      <w:pPr>
        <w:ind w:left="5688" w:hanging="564"/>
      </w:pPr>
      <w:rPr>
        <w:rFonts w:hint="default"/>
      </w:rPr>
    </w:lvl>
    <w:lvl w:ilvl="7">
      <w:start w:val="1"/>
      <w:numFmt w:val="bullet"/>
      <w:lvlText w:val="•"/>
      <w:lvlJc w:val="left"/>
      <w:pPr>
        <w:ind w:left="6503" w:hanging="564"/>
      </w:pPr>
      <w:rPr>
        <w:rFonts w:hint="default"/>
      </w:rPr>
    </w:lvl>
    <w:lvl w:ilvl="8">
      <w:start w:val="1"/>
      <w:numFmt w:val="bullet"/>
      <w:lvlText w:val="•"/>
      <w:lvlJc w:val="left"/>
      <w:pPr>
        <w:ind w:left="7317" w:hanging="564"/>
      </w:pPr>
      <w:rPr>
        <w:rFonts w:hint="default"/>
      </w:rPr>
    </w:lvl>
  </w:abstractNum>
  <w:abstractNum w:abstractNumId="156" w15:restartNumberingAfterBreak="0">
    <w:nsid w:val="4A432656"/>
    <w:multiLevelType w:val="multilevel"/>
    <w:tmpl w:val="0A8CDF4C"/>
    <w:lvl w:ilvl="0">
      <w:start w:val="1"/>
      <w:numFmt w:val="decimal"/>
      <w:lvlText w:val="%1."/>
      <w:lvlJc w:val="left"/>
      <w:pPr>
        <w:tabs>
          <w:tab w:val="num" w:pos="480"/>
        </w:tabs>
        <w:ind w:left="480" w:hanging="480"/>
      </w:pPr>
    </w:lvl>
    <w:lvl w:ilvl="1">
      <w:start w:val="1"/>
      <w:numFmt w:val="decimal"/>
      <w:lvlRestart w:val="0"/>
      <w:lvlText w:val="%1.%2."/>
      <w:lvlJc w:val="left"/>
      <w:pPr>
        <w:tabs>
          <w:tab w:val="num" w:pos="567"/>
        </w:tabs>
        <w:ind w:left="1134" w:hanging="1134"/>
      </w:pPr>
      <w:rPr>
        <w:b/>
        <w:i w:val="0"/>
      </w:r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7" w15:restartNumberingAfterBreak="0">
    <w:nsid w:val="4AC34DC9"/>
    <w:multiLevelType w:val="multilevel"/>
    <w:tmpl w:val="29B8C188"/>
    <w:lvl w:ilvl="0">
      <w:start w:val="3"/>
      <w:numFmt w:val="decimal"/>
      <w:lvlText w:val="Section %1:"/>
      <w:lvlJc w:val="left"/>
      <w:pPr>
        <w:tabs>
          <w:tab w:val="num" w:pos="1440"/>
        </w:tabs>
        <w:ind w:left="360" w:hanging="360"/>
      </w:pPr>
      <w:rPr>
        <w:rFonts w:cs="Times New Roman"/>
      </w:rPr>
    </w:lvl>
    <w:lvl w:ilvl="1">
      <w:start w:val="1"/>
      <w:numFmt w:val="decimal"/>
      <w:lvlText w:val="%1.%2.  "/>
      <w:lvlJc w:val="left"/>
      <w:pPr>
        <w:tabs>
          <w:tab w:val="num" w:pos="1620"/>
        </w:tabs>
        <w:ind w:left="1332" w:hanging="432"/>
      </w:pPr>
      <w:rPr>
        <w:rFonts w:cs="Times New Roman"/>
        <w:b w:val="0"/>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8" w15:restartNumberingAfterBreak="0">
    <w:nsid w:val="4ACA7BA7"/>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59" w15:restartNumberingAfterBreak="0">
    <w:nsid w:val="4ADE65B6"/>
    <w:multiLevelType w:val="hybridMultilevel"/>
    <w:tmpl w:val="830CF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4B360DE1"/>
    <w:multiLevelType w:val="hybridMultilevel"/>
    <w:tmpl w:val="42C845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4C4662DB"/>
    <w:multiLevelType w:val="multilevel"/>
    <w:tmpl w:val="BB984760"/>
    <w:lvl w:ilvl="0">
      <w:start w:val="1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62" w15:restartNumberingAfterBreak="0">
    <w:nsid w:val="4C7B3D71"/>
    <w:multiLevelType w:val="hybridMultilevel"/>
    <w:tmpl w:val="CBB445DE"/>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4C8F528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4" w15:restartNumberingAfterBreak="0">
    <w:nsid w:val="4D3B18F0"/>
    <w:multiLevelType w:val="hybridMultilevel"/>
    <w:tmpl w:val="C602CC46"/>
    <w:lvl w:ilvl="0" w:tplc="2F123A0C">
      <w:start w:val="1"/>
      <w:numFmt w:val="lowerLetter"/>
      <w:lvlText w:val="%1)"/>
      <w:lvlJc w:val="left"/>
      <w:pPr>
        <w:ind w:left="1629" w:hanging="449"/>
      </w:pPr>
      <w:rPr>
        <w:rFonts w:ascii="Times New Roman" w:eastAsia="Times New Roman" w:hAnsi="Times New Roman" w:hint="default"/>
        <w:sz w:val="22"/>
        <w:szCs w:val="22"/>
      </w:rPr>
    </w:lvl>
    <w:lvl w:ilvl="1" w:tplc="28942810">
      <w:start w:val="1"/>
      <w:numFmt w:val="bullet"/>
      <w:lvlText w:val="•"/>
      <w:lvlJc w:val="left"/>
      <w:pPr>
        <w:ind w:left="2360" w:hanging="449"/>
      </w:pPr>
      <w:rPr>
        <w:rFonts w:hint="default"/>
      </w:rPr>
    </w:lvl>
    <w:lvl w:ilvl="2" w:tplc="62E0B04E">
      <w:start w:val="1"/>
      <w:numFmt w:val="bullet"/>
      <w:lvlText w:val="•"/>
      <w:lvlJc w:val="left"/>
      <w:pPr>
        <w:ind w:left="3092" w:hanging="449"/>
      </w:pPr>
      <w:rPr>
        <w:rFonts w:hint="default"/>
      </w:rPr>
    </w:lvl>
    <w:lvl w:ilvl="3" w:tplc="134C99B8">
      <w:start w:val="1"/>
      <w:numFmt w:val="bullet"/>
      <w:lvlText w:val="•"/>
      <w:lvlJc w:val="left"/>
      <w:pPr>
        <w:ind w:left="3824" w:hanging="449"/>
      </w:pPr>
      <w:rPr>
        <w:rFonts w:hint="default"/>
      </w:rPr>
    </w:lvl>
    <w:lvl w:ilvl="4" w:tplc="AE3E04EA">
      <w:start w:val="1"/>
      <w:numFmt w:val="bullet"/>
      <w:lvlText w:val="•"/>
      <w:lvlJc w:val="left"/>
      <w:pPr>
        <w:ind w:left="4556" w:hanging="449"/>
      </w:pPr>
      <w:rPr>
        <w:rFonts w:hint="default"/>
      </w:rPr>
    </w:lvl>
    <w:lvl w:ilvl="5" w:tplc="D3CAA778">
      <w:start w:val="1"/>
      <w:numFmt w:val="bullet"/>
      <w:lvlText w:val="•"/>
      <w:lvlJc w:val="left"/>
      <w:pPr>
        <w:ind w:left="5287" w:hanging="449"/>
      </w:pPr>
      <w:rPr>
        <w:rFonts w:hint="default"/>
      </w:rPr>
    </w:lvl>
    <w:lvl w:ilvl="6" w:tplc="38EABACA">
      <w:start w:val="1"/>
      <w:numFmt w:val="bullet"/>
      <w:lvlText w:val="•"/>
      <w:lvlJc w:val="left"/>
      <w:pPr>
        <w:ind w:left="6019" w:hanging="449"/>
      </w:pPr>
      <w:rPr>
        <w:rFonts w:hint="default"/>
      </w:rPr>
    </w:lvl>
    <w:lvl w:ilvl="7" w:tplc="91282A78">
      <w:start w:val="1"/>
      <w:numFmt w:val="bullet"/>
      <w:lvlText w:val="•"/>
      <w:lvlJc w:val="left"/>
      <w:pPr>
        <w:ind w:left="6751" w:hanging="449"/>
      </w:pPr>
      <w:rPr>
        <w:rFonts w:hint="default"/>
      </w:rPr>
    </w:lvl>
    <w:lvl w:ilvl="8" w:tplc="8110CDE4">
      <w:start w:val="1"/>
      <w:numFmt w:val="bullet"/>
      <w:lvlText w:val="•"/>
      <w:lvlJc w:val="left"/>
      <w:pPr>
        <w:ind w:left="7482" w:hanging="449"/>
      </w:pPr>
      <w:rPr>
        <w:rFonts w:hint="default"/>
      </w:rPr>
    </w:lvl>
  </w:abstractNum>
  <w:abstractNum w:abstractNumId="165" w15:restartNumberingAfterBreak="0">
    <w:nsid w:val="4D8F2E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6" w15:restartNumberingAfterBreak="0">
    <w:nsid w:val="4DD70614"/>
    <w:multiLevelType w:val="hybridMultilevel"/>
    <w:tmpl w:val="DA36C4B0"/>
    <w:lvl w:ilvl="0" w:tplc="FFFFFFFF">
      <w:start w:val="1"/>
      <w:numFmt w:val="decimal"/>
      <w:lvlText w:val="%1."/>
      <w:lvlJc w:val="left"/>
      <w:pPr>
        <w:tabs>
          <w:tab w:val="num" w:pos="720"/>
        </w:tabs>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7" w15:restartNumberingAfterBreak="0">
    <w:nsid w:val="4E2F14AF"/>
    <w:multiLevelType w:val="hybridMultilevel"/>
    <w:tmpl w:val="6DCA8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EF00622"/>
    <w:multiLevelType w:val="multilevel"/>
    <w:tmpl w:val="D2360C28"/>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9" w15:restartNumberingAfterBreak="0">
    <w:nsid w:val="4FAF30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0" w15:restartNumberingAfterBreak="0">
    <w:nsid w:val="4FC445E1"/>
    <w:multiLevelType w:val="hybridMultilevel"/>
    <w:tmpl w:val="D0FCEC34"/>
    <w:lvl w:ilvl="0" w:tplc="04070001">
      <w:start w:val="1"/>
      <w:numFmt w:val="bullet"/>
      <w:lvlText w:val=""/>
      <w:lvlJc w:val="left"/>
      <w:pPr>
        <w:ind w:left="926" w:hanging="360"/>
      </w:pPr>
      <w:rPr>
        <w:rFonts w:ascii="Symbol" w:hAnsi="Symbol" w:hint="default"/>
      </w:rPr>
    </w:lvl>
    <w:lvl w:ilvl="1" w:tplc="04070003" w:tentative="1">
      <w:start w:val="1"/>
      <w:numFmt w:val="bullet"/>
      <w:lvlText w:val="o"/>
      <w:lvlJc w:val="left"/>
      <w:pPr>
        <w:ind w:left="1721" w:hanging="360"/>
      </w:pPr>
      <w:rPr>
        <w:rFonts w:ascii="Courier New" w:hAnsi="Courier New" w:cs="Courier New" w:hint="default"/>
      </w:rPr>
    </w:lvl>
    <w:lvl w:ilvl="2" w:tplc="04070005" w:tentative="1">
      <w:start w:val="1"/>
      <w:numFmt w:val="bullet"/>
      <w:lvlText w:val=""/>
      <w:lvlJc w:val="left"/>
      <w:pPr>
        <w:ind w:left="2441" w:hanging="360"/>
      </w:pPr>
      <w:rPr>
        <w:rFonts w:ascii="Wingdings" w:hAnsi="Wingdings" w:hint="default"/>
      </w:rPr>
    </w:lvl>
    <w:lvl w:ilvl="3" w:tplc="04070001" w:tentative="1">
      <w:start w:val="1"/>
      <w:numFmt w:val="bullet"/>
      <w:lvlText w:val=""/>
      <w:lvlJc w:val="left"/>
      <w:pPr>
        <w:ind w:left="3161" w:hanging="360"/>
      </w:pPr>
      <w:rPr>
        <w:rFonts w:ascii="Symbol" w:hAnsi="Symbol" w:hint="default"/>
      </w:rPr>
    </w:lvl>
    <w:lvl w:ilvl="4" w:tplc="04070003" w:tentative="1">
      <w:start w:val="1"/>
      <w:numFmt w:val="bullet"/>
      <w:lvlText w:val="o"/>
      <w:lvlJc w:val="left"/>
      <w:pPr>
        <w:ind w:left="3881" w:hanging="360"/>
      </w:pPr>
      <w:rPr>
        <w:rFonts w:ascii="Courier New" w:hAnsi="Courier New" w:cs="Courier New" w:hint="default"/>
      </w:rPr>
    </w:lvl>
    <w:lvl w:ilvl="5" w:tplc="04070005" w:tentative="1">
      <w:start w:val="1"/>
      <w:numFmt w:val="bullet"/>
      <w:lvlText w:val=""/>
      <w:lvlJc w:val="left"/>
      <w:pPr>
        <w:ind w:left="4601" w:hanging="360"/>
      </w:pPr>
      <w:rPr>
        <w:rFonts w:ascii="Wingdings" w:hAnsi="Wingdings" w:hint="default"/>
      </w:rPr>
    </w:lvl>
    <w:lvl w:ilvl="6" w:tplc="04070001" w:tentative="1">
      <w:start w:val="1"/>
      <w:numFmt w:val="bullet"/>
      <w:lvlText w:val=""/>
      <w:lvlJc w:val="left"/>
      <w:pPr>
        <w:ind w:left="5321" w:hanging="360"/>
      </w:pPr>
      <w:rPr>
        <w:rFonts w:ascii="Symbol" w:hAnsi="Symbol" w:hint="default"/>
      </w:rPr>
    </w:lvl>
    <w:lvl w:ilvl="7" w:tplc="04070003" w:tentative="1">
      <w:start w:val="1"/>
      <w:numFmt w:val="bullet"/>
      <w:lvlText w:val="o"/>
      <w:lvlJc w:val="left"/>
      <w:pPr>
        <w:ind w:left="6041" w:hanging="360"/>
      </w:pPr>
      <w:rPr>
        <w:rFonts w:ascii="Courier New" w:hAnsi="Courier New" w:cs="Courier New" w:hint="default"/>
      </w:rPr>
    </w:lvl>
    <w:lvl w:ilvl="8" w:tplc="04070005" w:tentative="1">
      <w:start w:val="1"/>
      <w:numFmt w:val="bullet"/>
      <w:lvlText w:val=""/>
      <w:lvlJc w:val="left"/>
      <w:pPr>
        <w:ind w:left="6761" w:hanging="360"/>
      </w:pPr>
      <w:rPr>
        <w:rFonts w:ascii="Wingdings" w:hAnsi="Wingdings" w:hint="default"/>
      </w:rPr>
    </w:lvl>
  </w:abstractNum>
  <w:abstractNum w:abstractNumId="171" w15:restartNumberingAfterBreak="0">
    <w:nsid w:val="5130687E"/>
    <w:multiLevelType w:val="hybridMultilevel"/>
    <w:tmpl w:val="DCF2D632"/>
    <w:lvl w:ilvl="0" w:tplc="080C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517962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3" w15:restartNumberingAfterBreak="0">
    <w:nsid w:val="51C83D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4" w15:restartNumberingAfterBreak="0">
    <w:nsid w:val="51CB2DE4"/>
    <w:multiLevelType w:val="hybridMultilevel"/>
    <w:tmpl w:val="00BA419E"/>
    <w:lvl w:ilvl="0" w:tplc="9C167D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52170E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6" w15:restartNumberingAfterBreak="0">
    <w:nsid w:val="526B120B"/>
    <w:multiLevelType w:val="singleLevel"/>
    <w:tmpl w:val="1D56F69E"/>
    <w:lvl w:ilvl="0">
      <w:start w:val="1"/>
      <w:numFmt w:val="bullet"/>
      <w:lvlText w:val=""/>
      <w:lvlJc w:val="left"/>
      <w:pPr>
        <w:tabs>
          <w:tab w:val="num" w:pos="360"/>
        </w:tabs>
        <w:ind w:left="360" w:hanging="360"/>
      </w:pPr>
      <w:rPr>
        <w:rFonts w:ascii="Symbol" w:hAnsi="Symbol" w:hint="default"/>
        <w:sz w:val="28"/>
      </w:rPr>
    </w:lvl>
  </w:abstractNum>
  <w:abstractNum w:abstractNumId="177" w15:restartNumberingAfterBreak="0">
    <w:nsid w:val="53C275F5"/>
    <w:multiLevelType w:val="hybridMultilevel"/>
    <w:tmpl w:val="1474242C"/>
    <w:lvl w:ilvl="0" w:tplc="6E44AAD4">
      <w:start w:val="1"/>
      <w:numFmt w:val="decimal"/>
      <w:lvlText w:val="%1."/>
      <w:lvlJc w:val="left"/>
      <w:pPr>
        <w:tabs>
          <w:tab w:val="num" w:pos="-2"/>
        </w:tabs>
        <w:ind w:left="253" w:hanging="253"/>
      </w:pPr>
      <w:rPr>
        <w:rFonts w:ascii="Times New Roman Bold" w:hAnsi="Times New Roman Bold" w:hint="default"/>
        <w:b/>
        <w:i w:val="0"/>
        <w:sz w:val="24"/>
      </w:rPr>
    </w:lvl>
    <w:lvl w:ilvl="1" w:tplc="08090019">
      <w:start w:val="1"/>
      <w:numFmt w:val="lowerLetter"/>
      <w:lvlText w:val="%2."/>
      <w:lvlJc w:val="left"/>
      <w:pPr>
        <w:tabs>
          <w:tab w:val="num" w:pos="1296"/>
        </w:tabs>
        <w:ind w:left="1296" w:hanging="360"/>
      </w:pPr>
    </w:lvl>
    <w:lvl w:ilvl="2" w:tplc="0809001B" w:tentative="1">
      <w:start w:val="1"/>
      <w:numFmt w:val="lowerRoman"/>
      <w:lvlText w:val="%3."/>
      <w:lvlJc w:val="right"/>
      <w:pPr>
        <w:tabs>
          <w:tab w:val="num" w:pos="2016"/>
        </w:tabs>
        <w:ind w:left="2016" w:hanging="180"/>
      </w:pPr>
    </w:lvl>
    <w:lvl w:ilvl="3" w:tplc="0809000F" w:tentative="1">
      <w:start w:val="1"/>
      <w:numFmt w:val="decimal"/>
      <w:lvlText w:val="%4."/>
      <w:lvlJc w:val="left"/>
      <w:pPr>
        <w:tabs>
          <w:tab w:val="num" w:pos="2736"/>
        </w:tabs>
        <w:ind w:left="2736" w:hanging="360"/>
      </w:pPr>
    </w:lvl>
    <w:lvl w:ilvl="4" w:tplc="08090019" w:tentative="1">
      <w:start w:val="1"/>
      <w:numFmt w:val="lowerLetter"/>
      <w:lvlText w:val="%5."/>
      <w:lvlJc w:val="left"/>
      <w:pPr>
        <w:tabs>
          <w:tab w:val="num" w:pos="3456"/>
        </w:tabs>
        <w:ind w:left="3456" w:hanging="360"/>
      </w:pPr>
    </w:lvl>
    <w:lvl w:ilvl="5" w:tplc="0809001B" w:tentative="1">
      <w:start w:val="1"/>
      <w:numFmt w:val="lowerRoman"/>
      <w:lvlText w:val="%6."/>
      <w:lvlJc w:val="right"/>
      <w:pPr>
        <w:tabs>
          <w:tab w:val="num" w:pos="4176"/>
        </w:tabs>
        <w:ind w:left="4176" w:hanging="180"/>
      </w:pPr>
    </w:lvl>
    <w:lvl w:ilvl="6" w:tplc="0809000F" w:tentative="1">
      <w:start w:val="1"/>
      <w:numFmt w:val="decimal"/>
      <w:lvlText w:val="%7."/>
      <w:lvlJc w:val="left"/>
      <w:pPr>
        <w:tabs>
          <w:tab w:val="num" w:pos="4896"/>
        </w:tabs>
        <w:ind w:left="4896" w:hanging="360"/>
      </w:pPr>
    </w:lvl>
    <w:lvl w:ilvl="7" w:tplc="08090019" w:tentative="1">
      <w:start w:val="1"/>
      <w:numFmt w:val="lowerLetter"/>
      <w:lvlText w:val="%8."/>
      <w:lvlJc w:val="left"/>
      <w:pPr>
        <w:tabs>
          <w:tab w:val="num" w:pos="5616"/>
        </w:tabs>
        <w:ind w:left="5616" w:hanging="360"/>
      </w:pPr>
    </w:lvl>
    <w:lvl w:ilvl="8" w:tplc="0809001B" w:tentative="1">
      <w:start w:val="1"/>
      <w:numFmt w:val="lowerRoman"/>
      <w:lvlText w:val="%9."/>
      <w:lvlJc w:val="right"/>
      <w:pPr>
        <w:tabs>
          <w:tab w:val="num" w:pos="6336"/>
        </w:tabs>
        <w:ind w:left="6336" w:hanging="180"/>
      </w:pPr>
    </w:lvl>
  </w:abstractNum>
  <w:abstractNum w:abstractNumId="178" w15:restartNumberingAfterBreak="0">
    <w:nsid w:val="543E1671"/>
    <w:multiLevelType w:val="multilevel"/>
    <w:tmpl w:val="ED1872AE"/>
    <w:lvl w:ilvl="0">
      <w:start w:val="5"/>
      <w:numFmt w:val="decimal"/>
      <w:lvlText w:val="Section %1."/>
      <w:lvlJc w:val="left"/>
      <w:pPr>
        <w:tabs>
          <w:tab w:val="num" w:pos="1080"/>
        </w:tabs>
        <w:ind w:left="360" w:hanging="360"/>
      </w:pPr>
      <w:rPr>
        <w:rFonts w:cs="Times New Roman"/>
      </w:rPr>
    </w:lvl>
    <w:lvl w:ilvl="1">
      <w:start w:val="1"/>
      <w:numFmt w:val="decimal"/>
      <w:lvlText w:val="%1.%2."/>
      <w:lvlJc w:val="left"/>
      <w:pPr>
        <w:tabs>
          <w:tab w:val="num" w:pos="720"/>
        </w:tabs>
        <w:ind w:left="397" w:hanging="397"/>
      </w:pPr>
      <w:rPr>
        <w:rFonts w:ascii="Times New Roman" w:hAnsi="Times New Roman" w:cs="Times New Roman" w:hint="default"/>
        <w:b w:val="0"/>
        <w:i w:val="0"/>
        <w:sz w:val="36"/>
      </w:rPr>
    </w:lvl>
    <w:lvl w:ilvl="2">
      <w:start w:val="1"/>
      <w:numFmt w:val="decimal"/>
      <w:lvlRestart w:val="0"/>
      <w:lvlText w:val="%1.%2.%3."/>
      <w:lvlJc w:val="left"/>
      <w:pPr>
        <w:tabs>
          <w:tab w:val="num" w:pos="1060"/>
        </w:tabs>
        <w:ind w:left="737" w:hanging="397"/>
      </w:pPr>
      <w:rPr>
        <w:rFonts w:cs="Times New Roman"/>
      </w:rPr>
    </w:lvl>
    <w:lvl w:ilvl="3">
      <w:start w:val="1"/>
      <w:numFmt w:val="decimal"/>
      <w:lvlText w:val="%1.%2.%3."/>
      <w:lvlJc w:val="left"/>
      <w:pPr>
        <w:tabs>
          <w:tab w:val="num" w:pos="1060"/>
        </w:tabs>
        <w:ind w:left="737" w:hanging="397"/>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79" w15:restartNumberingAfterBreak="0">
    <w:nsid w:val="5614792C"/>
    <w:multiLevelType w:val="multilevel"/>
    <w:tmpl w:val="D5E2C1BE"/>
    <w:lvl w:ilvl="0">
      <w:start w:val="1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80" w15:restartNumberingAfterBreak="0">
    <w:nsid w:val="562C17EB"/>
    <w:multiLevelType w:val="multilevel"/>
    <w:tmpl w:val="F790F5C2"/>
    <w:lvl w:ilvl="0">
      <w:start w:val="12"/>
      <w:numFmt w:val="decimal"/>
      <w:lvlText w:val="%1"/>
      <w:lvlJc w:val="left"/>
      <w:pPr>
        <w:ind w:left="820" w:hanging="632"/>
      </w:pPr>
      <w:rPr>
        <w:rFonts w:hint="default"/>
      </w:rPr>
    </w:lvl>
    <w:lvl w:ilvl="1">
      <w:start w:val="8"/>
      <w:numFmt w:val="decimal"/>
      <w:lvlText w:val="%1.%2"/>
      <w:lvlJc w:val="left"/>
      <w:pPr>
        <w:ind w:left="820" w:hanging="632"/>
      </w:pPr>
      <w:rPr>
        <w:rFonts w:ascii="Times New Roman" w:eastAsia="Times New Roman" w:hAnsi="Times New Roman" w:hint="default"/>
        <w:sz w:val="22"/>
        <w:szCs w:val="22"/>
      </w:rPr>
    </w:lvl>
    <w:lvl w:ilvl="2">
      <w:start w:val="1"/>
      <w:numFmt w:val="lowerLetter"/>
      <w:lvlText w:val="%3)"/>
      <w:lvlJc w:val="left"/>
      <w:pPr>
        <w:ind w:left="1593" w:hanging="272"/>
      </w:pPr>
      <w:rPr>
        <w:rFonts w:ascii="Times New Roman" w:eastAsia="Times New Roman" w:hAnsi="Times New Roman" w:hint="default"/>
        <w:sz w:val="22"/>
        <w:szCs w:val="22"/>
      </w:rPr>
    </w:lvl>
    <w:lvl w:ilvl="3">
      <w:start w:val="1"/>
      <w:numFmt w:val="bullet"/>
      <w:lvlText w:val="•"/>
      <w:lvlJc w:val="left"/>
      <w:pPr>
        <w:ind w:left="3227" w:hanging="272"/>
      </w:pPr>
      <w:rPr>
        <w:rFonts w:hint="default"/>
      </w:rPr>
    </w:lvl>
    <w:lvl w:ilvl="4">
      <w:start w:val="1"/>
      <w:numFmt w:val="bullet"/>
      <w:lvlText w:val="•"/>
      <w:lvlJc w:val="left"/>
      <w:pPr>
        <w:ind w:left="4044" w:hanging="272"/>
      </w:pPr>
      <w:rPr>
        <w:rFonts w:hint="default"/>
      </w:rPr>
    </w:lvl>
    <w:lvl w:ilvl="5">
      <w:start w:val="1"/>
      <w:numFmt w:val="bullet"/>
      <w:lvlText w:val="•"/>
      <w:lvlJc w:val="left"/>
      <w:pPr>
        <w:ind w:left="4861" w:hanging="272"/>
      </w:pPr>
      <w:rPr>
        <w:rFonts w:hint="default"/>
      </w:rPr>
    </w:lvl>
    <w:lvl w:ilvl="6">
      <w:start w:val="1"/>
      <w:numFmt w:val="bullet"/>
      <w:lvlText w:val="•"/>
      <w:lvlJc w:val="left"/>
      <w:pPr>
        <w:ind w:left="5678" w:hanging="272"/>
      </w:pPr>
      <w:rPr>
        <w:rFonts w:hint="default"/>
      </w:rPr>
    </w:lvl>
    <w:lvl w:ilvl="7">
      <w:start w:val="1"/>
      <w:numFmt w:val="bullet"/>
      <w:lvlText w:val="•"/>
      <w:lvlJc w:val="left"/>
      <w:pPr>
        <w:ind w:left="6495" w:hanging="272"/>
      </w:pPr>
      <w:rPr>
        <w:rFonts w:hint="default"/>
      </w:rPr>
    </w:lvl>
    <w:lvl w:ilvl="8">
      <w:start w:val="1"/>
      <w:numFmt w:val="bullet"/>
      <w:lvlText w:val="•"/>
      <w:lvlJc w:val="left"/>
      <w:pPr>
        <w:ind w:left="7312" w:hanging="272"/>
      </w:pPr>
      <w:rPr>
        <w:rFonts w:hint="default"/>
      </w:rPr>
    </w:lvl>
  </w:abstractNum>
  <w:abstractNum w:abstractNumId="181" w15:restartNumberingAfterBreak="0">
    <w:nsid w:val="58615012"/>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182" w15:restartNumberingAfterBreak="0">
    <w:nsid w:val="58B020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3" w15:restartNumberingAfterBreak="0">
    <w:nsid w:val="58BC6F39"/>
    <w:multiLevelType w:val="hybridMultilevel"/>
    <w:tmpl w:val="EF8A49DE"/>
    <w:lvl w:ilvl="0" w:tplc="461C14A8">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922468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85" w15:restartNumberingAfterBreak="0">
    <w:nsid w:val="592E090F"/>
    <w:multiLevelType w:val="hybridMultilevel"/>
    <w:tmpl w:val="7DBE611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593A52A2"/>
    <w:multiLevelType w:val="hybridMultilevel"/>
    <w:tmpl w:val="C3EE2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59D631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8" w15:restartNumberingAfterBreak="0">
    <w:nsid w:val="59E14CE3"/>
    <w:multiLevelType w:val="hybridMultilevel"/>
    <w:tmpl w:val="B428D8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9" w15:restartNumberingAfterBreak="0">
    <w:nsid w:val="59E26B6B"/>
    <w:multiLevelType w:val="hybridMultilevel"/>
    <w:tmpl w:val="5BFA13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5AB80CD9"/>
    <w:multiLevelType w:val="hybridMultilevel"/>
    <w:tmpl w:val="F1A03662"/>
    <w:lvl w:ilvl="0" w:tplc="0809000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1" w15:restartNumberingAfterBreak="0">
    <w:nsid w:val="5AE12337"/>
    <w:multiLevelType w:val="hybridMultilevel"/>
    <w:tmpl w:val="5EE2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5B1D3A9D"/>
    <w:multiLevelType w:val="hybridMultilevel"/>
    <w:tmpl w:val="B5F4CDB8"/>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3" w15:restartNumberingAfterBreak="0">
    <w:nsid w:val="5BA17ADF"/>
    <w:multiLevelType w:val="multilevel"/>
    <w:tmpl w:val="96D620F8"/>
    <w:lvl w:ilvl="0">
      <w:start w:val="2"/>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358"/>
        <w:jc w:val="right"/>
      </w:pPr>
      <w:rPr>
        <w:rFonts w:ascii="Times New Roman" w:eastAsia="Times New Roman" w:hAnsi="Times New Roman" w:hint="default"/>
        <w:sz w:val="22"/>
        <w:szCs w:val="22"/>
      </w:rPr>
    </w:lvl>
    <w:lvl w:ilvl="3">
      <w:start w:val="1"/>
      <w:numFmt w:val="bullet"/>
      <w:lvlText w:val="•"/>
      <w:lvlJc w:val="left"/>
      <w:pPr>
        <w:ind w:left="2908" w:hanging="358"/>
      </w:pPr>
      <w:rPr>
        <w:rFonts w:hint="default"/>
      </w:rPr>
    </w:lvl>
    <w:lvl w:ilvl="4">
      <w:start w:val="1"/>
      <w:numFmt w:val="bullet"/>
      <w:lvlText w:val="•"/>
      <w:lvlJc w:val="left"/>
      <w:pPr>
        <w:ind w:left="3770" w:hanging="358"/>
      </w:pPr>
      <w:rPr>
        <w:rFonts w:hint="default"/>
      </w:rPr>
    </w:lvl>
    <w:lvl w:ilvl="5">
      <w:start w:val="1"/>
      <w:numFmt w:val="bullet"/>
      <w:lvlText w:val="•"/>
      <w:lvlJc w:val="left"/>
      <w:pPr>
        <w:ind w:left="4633" w:hanging="358"/>
      </w:pPr>
      <w:rPr>
        <w:rFonts w:hint="default"/>
      </w:rPr>
    </w:lvl>
    <w:lvl w:ilvl="6">
      <w:start w:val="1"/>
      <w:numFmt w:val="bullet"/>
      <w:lvlText w:val="•"/>
      <w:lvlJc w:val="left"/>
      <w:pPr>
        <w:ind w:left="5495" w:hanging="358"/>
      </w:pPr>
      <w:rPr>
        <w:rFonts w:hint="default"/>
      </w:rPr>
    </w:lvl>
    <w:lvl w:ilvl="7">
      <w:start w:val="1"/>
      <w:numFmt w:val="bullet"/>
      <w:lvlText w:val="•"/>
      <w:lvlJc w:val="left"/>
      <w:pPr>
        <w:ind w:left="6358" w:hanging="358"/>
      </w:pPr>
      <w:rPr>
        <w:rFonts w:hint="default"/>
      </w:rPr>
    </w:lvl>
    <w:lvl w:ilvl="8">
      <w:start w:val="1"/>
      <w:numFmt w:val="bullet"/>
      <w:lvlText w:val="•"/>
      <w:lvlJc w:val="left"/>
      <w:pPr>
        <w:ind w:left="7221" w:hanging="358"/>
      </w:pPr>
      <w:rPr>
        <w:rFonts w:hint="default"/>
      </w:rPr>
    </w:lvl>
  </w:abstractNum>
  <w:abstractNum w:abstractNumId="194" w15:restartNumberingAfterBreak="0">
    <w:nsid w:val="5BB74DA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95" w15:restartNumberingAfterBreak="0">
    <w:nsid w:val="5C7F34CD"/>
    <w:multiLevelType w:val="singleLevel"/>
    <w:tmpl w:val="2C3077E0"/>
    <w:lvl w:ilvl="0">
      <w:start w:val="1"/>
      <w:numFmt w:val="bullet"/>
      <w:lvlText w:val=""/>
      <w:lvlJc w:val="left"/>
      <w:pPr>
        <w:tabs>
          <w:tab w:val="num" w:pos="616"/>
        </w:tabs>
        <w:ind w:left="616" w:hanging="436"/>
      </w:pPr>
      <w:rPr>
        <w:rFonts w:ascii="Symbol" w:hAnsi="Symbol" w:hint="default"/>
      </w:rPr>
    </w:lvl>
  </w:abstractNum>
  <w:abstractNum w:abstractNumId="196" w15:restartNumberingAfterBreak="0">
    <w:nsid w:val="5CA859A3"/>
    <w:multiLevelType w:val="hybridMultilevel"/>
    <w:tmpl w:val="F2C059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5DF84DE6"/>
    <w:multiLevelType w:val="hybridMultilevel"/>
    <w:tmpl w:val="52120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8" w15:restartNumberingAfterBreak="0">
    <w:nsid w:val="5E0D6286"/>
    <w:multiLevelType w:val="singleLevel"/>
    <w:tmpl w:val="B0567122"/>
    <w:lvl w:ilvl="0">
      <w:start w:val="1"/>
      <w:numFmt w:val="bullet"/>
      <w:pStyle w:val="ListDash4"/>
      <w:lvlText w:val="–"/>
      <w:lvlJc w:val="left"/>
      <w:pPr>
        <w:tabs>
          <w:tab w:val="num" w:pos="1485"/>
        </w:tabs>
        <w:ind w:left="1485" w:hanging="283"/>
      </w:pPr>
      <w:rPr>
        <w:rFonts w:ascii="Times New Roman" w:hAnsi="Times New Roman"/>
      </w:rPr>
    </w:lvl>
  </w:abstractNum>
  <w:abstractNum w:abstractNumId="199" w15:restartNumberingAfterBreak="0">
    <w:nsid w:val="5E7F77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0" w15:restartNumberingAfterBreak="0">
    <w:nsid w:val="5E8850B8"/>
    <w:multiLevelType w:val="hybridMultilevel"/>
    <w:tmpl w:val="C9AE9334"/>
    <w:lvl w:ilvl="0" w:tplc="34BA10A2">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5E9B39B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02" w15:restartNumberingAfterBreak="0">
    <w:nsid w:val="5ED565A7"/>
    <w:multiLevelType w:val="hybridMultilevel"/>
    <w:tmpl w:val="FB9E9E06"/>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3" w15:restartNumberingAfterBreak="0">
    <w:nsid w:val="5F156DAD"/>
    <w:multiLevelType w:val="hybridMultilevel"/>
    <w:tmpl w:val="FD520146"/>
    <w:lvl w:ilvl="0" w:tplc="F3EC5C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5F2420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5" w15:restartNumberingAfterBreak="0">
    <w:nsid w:val="5F2A08D9"/>
    <w:multiLevelType w:val="hybridMultilevel"/>
    <w:tmpl w:val="04B8407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6" w15:restartNumberingAfterBreak="0">
    <w:nsid w:val="5FE355C5"/>
    <w:multiLevelType w:val="hybridMultilevel"/>
    <w:tmpl w:val="63C8519C"/>
    <w:name w:val="Considérant2"/>
    <w:lvl w:ilvl="0" w:tplc="5B88E3E4">
      <w:start w:val="1"/>
      <w:numFmt w:val="decimal"/>
      <w:pStyle w:val="Considrant"/>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7" w15:restartNumberingAfterBreak="0">
    <w:nsid w:val="60044CF5"/>
    <w:multiLevelType w:val="singleLevel"/>
    <w:tmpl w:val="55945FEC"/>
    <w:lvl w:ilvl="0">
      <w:start w:val="1"/>
      <w:numFmt w:val="bullet"/>
      <w:lvlText w:val=""/>
      <w:lvlJc w:val="left"/>
      <w:pPr>
        <w:tabs>
          <w:tab w:val="num" w:pos="360"/>
        </w:tabs>
        <w:ind w:left="360" w:hanging="360"/>
      </w:pPr>
      <w:rPr>
        <w:rFonts w:ascii="Symbol" w:hAnsi="Symbol" w:hint="default"/>
        <w:sz w:val="24"/>
      </w:rPr>
    </w:lvl>
  </w:abstractNum>
  <w:abstractNum w:abstractNumId="208" w15:restartNumberingAfterBreak="0">
    <w:nsid w:val="605329B6"/>
    <w:multiLevelType w:val="hybridMultilevel"/>
    <w:tmpl w:val="BC406328"/>
    <w:lvl w:ilvl="0" w:tplc="FFFFFFFF">
      <w:start w:val="1"/>
      <w:numFmt w:val="bullet"/>
      <w:lvlText w:val="●"/>
      <w:lvlJc w:val="left"/>
      <w:pPr>
        <w:tabs>
          <w:tab w:val="num" w:pos="720"/>
        </w:tabs>
        <w:ind w:left="720" w:hanging="360"/>
      </w:pPr>
      <w:rPr>
        <w:rFonts w:ascii="Courier New" w:hAnsi="Courier New"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62C870F3"/>
    <w:multiLevelType w:val="hybridMultilevel"/>
    <w:tmpl w:val="D0165706"/>
    <w:lvl w:ilvl="0" w:tplc="FFFFFFFF">
      <w:start w:val="4"/>
      <w:numFmt w:val="bullet"/>
      <w:lvlText w:val=""/>
      <w:lvlJc w:val="left"/>
      <w:pPr>
        <w:tabs>
          <w:tab w:val="num" w:pos="2105"/>
        </w:tabs>
        <w:ind w:left="2105" w:hanging="360"/>
      </w:pPr>
      <w:rPr>
        <w:rFonts w:ascii="Symbol" w:hAnsi="Symbol" w:hint="default"/>
        <w:b/>
        <w:i w:val="0"/>
        <w:sz w:val="16"/>
        <w:szCs w:val="20"/>
      </w:rPr>
    </w:lvl>
    <w:lvl w:ilvl="1" w:tplc="FFFFFFFF">
      <w:start w:val="2"/>
      <w:numFmt w:val="bullet"/>
      <w:lvlText w:val="-"/>
      <w:lvlJc w:val="left"/>
      <w:pPr>
        <w:tabs>
          <w:tab w:val="num" w:pos="2520"/>
        </w:tabs>
        <w:ind w:left="2520" w:hanging="360"/>
      </w:pPr>
      <w:rPr>
        <w:rFonts w:ascii="Times New Roman" w:eastAsia="Times New Roman" w:hAnsi="Times New Roman" w:cs="Times New Roman" w:hint="default"/>
        <w:b/>
        <w:i w:val="0"/>
        <w:sz w:val="16"/>
        <w:szCs w:val="20"/>
      </w:rPr>
    </w:lvl>
    <w:lvl w:ilvl="2" w:tplc="FFFFFFFF">
      <w:start w:val="4"/>
      <w:numFmt w:val="bullet"/>
      <w:lvlText w:val=""/>
      <w:lvlJc w:val="left"/>
      <w:pPr>
        <w:tabs>
          <w:tab w:val="num" w:pos="3240"/>
        </w:tabs>
        <w:ind w:left="3240" w:hanging="360"/>
      </w:pPr>
      <w:rPr>
        <w:rFonts w:ascii="Symbol" w:hAnsi="Symbol" w:hint="default"/>
        <w:b/>
        <w:i w:val="0"/>
        <w:sz w:val="16"/>
        <w:szCs w:val="20"/>
      </w:rPr>
    </w:lvl>
    <w:lvl w:ilvl="3" w:tplc="FFFFFFFF">
      <w:start w:val="2"/>
      <w:numFmt w:val="bullet"/>
      <w:lvlText w:val="-"/>
      <w:lvlJc w:val="left"/>
      <w:pPr>
        <w:tabs>
          <w:tab w:val="num" w:pos="3960"/>
        </w:tabs>
        <w:ind w:left="3960" w:hanging="360"/>
      </w:pPr>
      <w:rPr>
        <w:rFonts w:ascii="Times New Roman" w:eastAsia="Times New Roman" w:hAnsi="Times New Roman" w:cs="Times New Roman" w:hint="default"/>
        <w:b/>
        <w:i w:val="0"/>
        <w:sz w:val="16"/>
        <w:szCs w:val="20"/>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10" w15:restartNumberingAfterBreak="0">
    <w:nsid w:val="648A5C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1" w15:restartNumberingAfterBreak="0">
    <w:nsid w:val="64B420A5"/>
    <w:multiLevelType w:val="hybridMultilevel"/>
    <w:tmpl w:val="1E0E60FA"/>
    <w:lvl w:ilvl="0" w:tplc="B7A4C09C">
      <w:start w:val="1"/>
      <w:numFmt w:val="bullet"/>
      <w:lvlText w:val="-"/>
      <w:lvlJc w:val="left"/>
      <w:pPr>
        <w:ind w:left="4689" w:hanging="360"/>
      </w:pPr>
      <w:rPr>
        <w:rFonts w:ascii="Times New Roman" w:hAnsi="Times New Roman" w:cs="Times New Roman" w:hint="default"/>
      </w:rPr>
    </w:lvl>
    <w:lvl w:ilvl="1" w:tplc="08090003" w:tentative="1">
      <w:start w:val="1"/>
      <w:numFmt w:val="bullet"/>
      <w:lvlText w:val="o"/>
      <w:lvlJc w:val="left"/>
      <w:pPr>
        <w:ind w:left="5409" w:hanging="360"/>
      </w:pPr>
      <w:rPr>
        <w:rFonts w:ascii="Courier New" w:hAnsi="Courier New" w:cs="Courier New" w:hint="default"/>
      </w:rPr>
    </w:lvl>
    <w:lvl w:ilvl="2" w:tplc="08090005" w:tentative="1">
      <w:start w:val="1"/>
      <w:numFmt w:val="bullet"/>
      <w:lvlText w:val=""/>
      <w:lvlJc w:val="left"/>
      <w:pPr>
        <w:ind w:left="6129" w:hanging="360"/>
      </w:pPr>
      <w:rPr>
        <w:rFonts w:ascii="Wingdings" w:hAnsi="Wingdings" w:hint="default"/>
      </w:rPr>
    </w:lvl>
    <w:lvl w:ilvl="3" w:tplc="08090001" w:tentative="1">
      <w:start w:val="1"/>
      <w:numFmt w:val="bullet"/>
      <w:lvlText w:val=""/>
      <w:lvlJc w:val="left"/>
      <w:pPr>
        <w:ind w:left="6849" w:hanging="360"/>
      </w:pPr>
      <w:rPr>
        <w:rFonts w:ascii="Symbol" w:hAnsi="Symbol" w:hint="default"/>
      </w:rPr>
    </w:lvl>
    <w:lvl w:ilvl="4" w:tplc="08090003" w:tentative="1">
      <w:start w:val="1"/>
      <w:numFmt w:val="bullet"/>
      <w:lvlText w:val="o"/>
      <w:lvlJc w:val="left"/>
      <w:pPr>
        <w:ind w:left="7569" w:hanging="360"/>
      </w:pPr>
      <w:rPr>
        <w:rFonts w:ascii="Courier New" w:hAnsi="Courier New" w:cs="Courier New" w:hint="default"/>
      </w:rPr>
    </w:lvl>
    <w:lvl w:ilvl="5" w:tplc="08090005" w:tentative="1">
      <w:start w:val="1"/>
      <w:numFmt w:val="bullet"/>
      <w:lvlText w:val=""/>
      <w:lvlJc w:val="left"/>
      <w:pPr>
        <w:ind w:left="8289" w:hanging="360"/>
      </w:pPr>
      <w:rPr>
        <w:rFonts w:ascii="Wingdings" w:hAnsi="Wingdings" w:hint="default"/>
      </w:rPr>
    </w:lvl>
    <w:lvl w:ilvl="6" w:tplc="08090001" w:tentative="1">
      <w:start w:val="1"/>
      <w:numFmt w:val="bullet"/>
      <w:lvlText w:val=""/>
      <w:lvlJc w:val="left"/>
      <w:pPr>
        <w:ind w:left="9009" w:hanging="360"/>
      </w:pPr>
      <w:rPr>
        <w:rFonts w:ascii="Symbol" w:hAnsi="Symbol" w:hint="default"/>
      </w:rPr>
    </w:lvl>
    <w:lvl w:ilvl="7" w:tplc="08090003" w:tentative="1">
      <w:start w:val="1"/>
      <w:numFmt w:val="bullet"/>
      <w:lvlText w:val="o"/>
      <w:lvlJc w:val="left"/>
      <w:pPr>
        <w:ind w:left="9729" w:hanging="360"/>
      </w:pPr>
      <w:rPr>
        <w:rFonts w:ascii="Courier New" w:hAnsi="Courier New" w:cs="Courier New" w:hint="default"/>
      </w:rPr>
    </w:lvl>
    <w:lvl w:ilvl="8" w:tplc="08090005" w:tentative="1">
      <w:start w:val="1"/>
      <w:numFmt w:val="bullet"/>
      <w:lvlText w:val=""/>
      <w:lvlJc w:val="left"/>
      <w:pPr>
        <w:ind w:left="10449" w:hanging="360"/>
      </w:pPr>
      <w:rPr>
        <w:rFonts w:ascii="Wingdings" w:hAnsi="Wingdings" w:hint="default"/>
      </w:rPr>
    </w:lvl>
  </w:abstractNum>
  <w:abstractNum w:abstractNumId="212" w15:restartNumberingAfterBreak="0">
    <w:nsid w:val="65A83167"/>
    <w:multiLevelType w:val="hybridMultilevel"/>
    <w:tmpl w:val="F0965C24"/>
    <w:lvl w:ilvl="0" w:tplc="6A84D580">
      <w:start w:val="1"/>
      <w:numFmt w:val="lowerRoman"/>
      <w:lvlText w:val="(%1)"/>
      <w:lvlJc w:val="left"/>
      <w:pPr>
        <w:ind w:left="1622" w:hanging="564"/>
        <w:jc w:val="right"/>
      </w:pPr>
      <w:rPr>
        <w:rFonts w:ascii="Times New Roman" w:eastAsia="Times New Roman" w:hAnsi="Times New Roman" w:hint="default"/>
        <w:sz w:val="22"/>
        <w:szCs w:val="22"/>
      </w:rPr>
    </w:lvl>
    <w:lvl w:ilvl="1" w:tplc="1E9CA508">
      <w:start w:val="1"/>
      <w:numFmt w:val="bullet"/>
      <w:lvlText w:val=""/>
      <w:lvlJc w:val="left"/>
      <w:pPr>
        <w:ind w:left="2342" w:hanging="356"/>
      </w:pPr>
      <w:rPr>
        <w:rFonts w:ascii="Symbol" w:eastAsia="Symbol" w:hAnsi="Symbol" w:hint="default"/>
        <w:sz w:val="22"/>
        <w:szCs w:val="22"/>
      </w:rPr>
    </w:lvl>
    <w:lvl w:ilvl="2" w:tplc="8F22A07E">
      <w:start w:val="1"/>
      <w:numFmt w:val="bullet"/>
      <w:lvlText w:val="•"/>
      <w:lvlJc w:val="left"/>
      <w:pPr>
        <w:ind w:left="3076" w:hanging="356"/>
      </w:pPr>
      <w:rPr>
        <w:rFonts w:hint="default"/>
      </w:rPr>
    </w:lvl>
    <w:lvl w:ilvl="3" w:tplc="6E16DAB0">
      <w:start w:val="1"/>
      <w:numFmt w:val="bullet"/>
      <w:lvlText w:val="•"/>
      <w:lvlJc w:val="left"/>
      <w:pPr>
        <w:ind w:left="3810" w:hanging="356"/>
      </w:pPr>
      <w:rPr>
        <w:rFonts w:hint="default"/>
      </w:rPr>
    </w:lvl>
    <w:lvl w:ilvl="4" w:tplc="384E5D3C">
      <w:start w:val="1"/>
      <w:numFmt w:val="bullet"/>
      <w:lvlText w:val="•"/>
      <w:lvlJc w:val="left"/>
      <w:pPr>
        <w:ind w:left="4543" w:hanging="356"/>
      </w:pPr>
      <w:rPr>
        <w:rFonts w:hint="default"/>
      </w:rPr>
    </w:lvl>
    <w:lvl w:ilvl="5" w:tplc="3F74DA86">
      <w:start w:val="1"/>
      <w:numFmt w:val="bullet"/>
      <w:lvlText w:val="•"/>
      <w:lvlJc w:val="left"/>
      <w:pPr>
        <w:ind w:left="5277" w:hanging="356"/>
      </w:pPr>
      <w:rPr>
        <w:rFonts w:hint="default"/>
      </w:rPr>
    </w:lvl>
    <w:lvl w:ilvl="6" w:tplc="E398FF40">
      <w:start w:val="1"/>
      <w:numFmt w:val="bullet"/>
      <w:lvlText w:val="•"/>
      <w:lvlJc w:val="left"/>
      <w:pPr>
        <w:ind w:left="6011" w:hanging="356"/>
      </w:pPr>
      <w:rPr>
        <w:rFonts w:hint="default"/>
      </w:rPr>
    </w:lvl>
    <w:lvl w:ilvl="7" w:tplc="F7AE8646">
      <w:start w:val="1"/>
      <w:numFmt w:val="bullet"/>
      <w:lvlText w:val="•"/>
      <w:lvlJc w:val="left"/>
      <w:pPr>
        <w:ind w:left="6745" w:hanging="356"/>
      </w:pPr>
      <w:rPr>
        <w:rFonts w:hint="default"/>
      </w:rPr>
    </w:lvl>
    <w:lvl w:ilvl="8" w:tplc="AE244100">
      <w:start w:val="1"/>
      <w:numFmt w:val="bullet"/>
      <w:lvlText w:val="•"/>
      <w:lvlJc w:val="left"/>
      <w:pPr>
        <w:ind w:left="7478" w:hanging="356"/>
      </w:pPr>
      <w:rPr>
        <w:rFonts w:hint="default"/>
      </w:rPr>
    </w:lvl>
  </w:abstractNum>
  <w:abstractNum w:abstractNumId="213" w15:restartNumberingAfterBreak="0">
    <w:nsid w:val="65C574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4" w15:restartNumberingAfterBreak="0">
    <w:nsid w:val="66202503"/>
    <w:multiLevelType w:val="hybridMultilevel"/>
    <w:tmpl w:val="1ADEF69E"/>
    <w:lvl w:ilvl="0" w:tplc="C5C0DFC0">
      <w:start w:val="1"/>
      <w:numFmt w:val="lowerLetter"/>
      <w:lvlText w:val="%1)"/>
      <w:lvlJc w:val="left"/>
      <w:pPr>
        <w:ind w:left="1322" w:hanging="356"/>
      </w:pPr>
      <w:rPr>
        <w:rFonts w:ascii="Times New Roman" w:eastAsia="Times New Roman" w:hAnsi="Times New Roman" w:hint="default"/>
        <w:sz w:val="22"/>
        <w:szCs w:val="22"/>
      </w:rPr>
    </w:lvl>
    <w:lvl w:ilvl="1" w:tplc="798ED7A8">
      <w:start w:val="1"/>
      <w:numFmt w:val="bullet"/>
      <w:lvlText w:val="•"/>
      <w:lvlJc w:val="left"/>
      <w:pPr>
        <w:ind w:left="2084" w:hanging="356"/>
      </w:pPr>
      <w:rPr>
        <w:rFonts w:hint="default"/>
      </w:rPr>
    </w:lvl>
    <w:lvl w:ilvl="2" w:tplc="F00488AE">
      <w:start w:val="1"/>
      <w:numFmt w:val="bullet"/>
      <w:lvlText w:val="•"/>
      <w:lvlJc w:val="left"/>
      <w:pPr>
        <w:ind w:left="2846" w:hanging="356"/>
      </w:pPr>
      <w:rPr>
        <w:rFonts w:hint="default"/>
      </w:rPr>
    </w:lvl>
    <w:lvl w:ilvl="3" w:tplc="F036F2F6">
      <w:start w:val="1"/>
      <w:numFmt w:val="bullet"/>
      <w:lvlText w:val="•"/>
      <w:lvlJc w:val="left"/>
      <w:pPr>
        <w:ind w:left="3609" w:hanging="356"/>
      </w:pPr>
      <w:rPr>
        <w:rFonts w:hint="default"/>
      </w:rPr>
    </w:lvl>
    <w:lvl w:ilvl="4" w:tplc="6F8CDCFA">
      <w:start w:val="1"/>
      <w:numFmt w:val="bullet"/>
      <w:lvlText w:val="•"/>
      <w:lvlJc w:val="left"/>
      <w:pPr>
        <w:ind w:left="4371" w:hanging="356"/>
      </w:pPr>
      <w:rPr>
        <w:rFonts w:hint="default"/>
      </w:rPr>
    </w:lvl>
    <w:lvl w:ilvl="5" w:tplc="15BE683C">
      <w:start w:val="1"/>
      <w:numFmt w:val="bullet"/>
      <w:lvlText w:val="•"/>
      <w:lvlJc w:val="left"/>
      <w:pPr>
        <w:ind w:left="5134" w:hanging="356"/>
      </w:pPr>
      <w:rPr>
        <w:rFonts w:hint="default"/>
      </w:rPr>
    </w:lvl>
    <w:lvl w:ilvl="6" w:tplc="463A7D00">
      <w:start w:val="1"/>
      <w:numFmt w:val="bullet"/>
      <w:lvlText w:val="•"/>
      <w:lvlJc w:val="left"/>
      <w:pPr>
        <w:ind w:left="5896" w:hanging="356"/>
      </w:pPr>
      <w:rPr>
        <w:rFonts w:hint="default"/>
      </w:rPr>
    </w:lvl>
    <w:lvl w:ilvl="7" w:tplc="FCE0AA1A">
      <w:start w:val="1"/>
      <w:numFmt w:val="bullet"/>
      <w:lvlText w:val="•"/>
      <w:lvlJc w:val="left"/>
      <w:pPr>
        <w:ind w:left="6659" w:hanging="356"/>
      </w:pPr>
      <w:rPr>
        <w:rFonts w:hint="default"/>
      </w:rPr>
    </w:lvl>
    <w:lvl w:ilvl="8" w:tplc="23EC8012">
      <w:start w:val="1"/>
      <w:numFmt w:val="bullet"/>
      <w:lvlText w:val="•"/>
      <w:lvlJc w:val="left"/>
      <w:pPr>
        <w:ind w:left="7421" w:hanging="356"/>
      </w:pPr>
      <w:rPr>
        <w:rFonts w:hint="default"/>
      </w:rPr>
    </w:lvl>
  </w:abstractNum>
  <w:abstractNum w:abstractNumId="215" w15:restartNumberingAfterBreak="0">
    <w:nsid w:val="662B5C67"/>
    <w:multiLevelType w:val="multilevel"/>
    <w:tmpl w:val="50D08ADA"/>
    <w:lvl w:ilvl="0">
      <w:start w:val="1"/>
      <w:numFmt w:val="bullet"/>
      <w:pStyle w:val="ListDash"/>
      <w:lvlText w:val="–"/>
      <w:lvlJc w:val="left"/>
      <w:pPr>
        <w:tabs>
          <w:tab w:val="num" w:pos="283"/>
        </w:tabs>
        <w:ind w:left="283" w:hanging="283"/>
      </w:pPr>
      <w:rPr>
        <w:rFonts w:ascii="Times New Roman" w:hAnsi="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67E345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7" w15:restartNumberingAfterBreak="0">
    <w:nsid w:val="687F26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8" w15:restartNumberingAfterBreak="0">
    <w:nsid w:val="689E4A69"/>
    <w:multiLevelType w:val="hybridMultilevel"/>
    <w:tmpl w:val="C00E5F86"/>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68C62E79"/>
    <w:multiLevelType w:val="hybridMultilevel"/>
    <w:tmpl w:val="24206BC0"/>
    <w:lvl w:ilvl="0" w:tplc="247051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69AF1A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1" w15:restartNumberingAfterBreak="0">
    <w:nsid w:val="6A67468B"/>
    <w:multiLevelType w:val="hybridMultilevel"/>
    <w:tmpl w:val="FA02E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A6B55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3" w15:restartNumberingAfterBreak="0">
    <w:nsid w:val="6A7B388F"/>
    <w:multiLevelType w:val="hybridMultilevel"/>
    <w:tmpl w:val="8676F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6AF2190D"/>
    <w:multiLevelType w:val="hybridMultilevel"/>
    <w:tmpl w:val="58786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6B8C280C"/>
    <w:multiLevelType w:val="hybridMultilevel"/>
    <w:tmpl w:val="FECC95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6B9509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7" w15:restartNumberingAfterBreak="0">
    <w:nsid w:val="6C7C243D"/>
    <w:multiLevelType w:val="hybridMultilevel"/>
    <w:tmpl w:val="0058A62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6CB236E8"/>
    <w:multiLevelType w:val="hybridMultilevel"/>
    <w:tmpl w:val="3782EB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9" w15:restartNumberingAfterBreak="0">
    <w:nsid w:val="6D301C68"/>
    <w:multiLevelType w:val="hybridMultilevel"/>
    <w:tmpl w:val="EF786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6DE23E96"/>
    <w:multiLevelType w:val="hybridMultilevel"/>
    <w:tmpl w:val="763EB49E"/>
    <w:lvl w:ilvl="0" w:tplc="04090001">
      <w:start w:val="1"/>
      <w:numFmt w:val="bullet"/>
      <w:lvlText w:val=""/>
      <w:lvlJc w:val="left"/>
      <w:pPr>
        <w:ind w:left="360" w:hanging="360"/>
      </w:pPr>
      <w:rPr>
        <w:rFonts w:ascii="Symbol" w:hAnsi="Symbol"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31" w15:restartNumberingAfterBreak="0">
    <w:nsid w:val="6E074A4D"/>
    <w:multiLevelType w:val="singleLevel"/>
    <w:tmpl w:val="2C3077E0"/>
    <w:lvl w:ilvl="0">
      <w:start w:val="1"/>
      <w:numFmt w:val="bullet"/>
      <w:lvlText w:val=""/>
      <w:lvlJc w:val="left"/>
      <w:pPr>
        <w:tabs>
          <w:tab w:val="num" w:pos="3272"/>
        </w:tabs>
        <w:ind w:left="3272" w:hanging="436"/>
      </w:pPr>
      <w:rPr>
        <w:rFonts w:ascii="Symbol" w:hAnsi="Symbol" w:hint="default"/>
      </w:rPr>
    </w:lvl>
  </w:abstractNum>
  <w:abstractNum w:abstractNumId="232" w15:restartNumberingAfterBreak="0">
    <w:nsid w:val="6EDB14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3" w15:restartNumberingAfterBreak="0">
    <w:nsid w:val="6F8179E7"/>
    <w:multiLevelType w:val="hybridMultilevel"/>
    <w:tmpl w:val="CEA08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70007AA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5" w15:restartNumberingAfterBreak="0">
    <w:nsid w:val="702A4FEE"/>
    <w:multiLevelType w:val="hybridMultilevel"/>
    <w:tmpl w:val="2724E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6" w15:restartNumberingAfterBreak="0">
    <w:nsid w:val="704309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7" w15:restartNumberingAfterBreak="0">
    <w:nsid w:val="70855D3E"/>
    <w:multiLevelType w:val="hybridMultilevel"/>
    <w:tmpl w:val="5F92C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70CB7C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9" w15:restartNumberingAfterBreak="0">
    <w:nsid w:val="711515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0" w15:restartNumberingAfterBreak="0">
    <w:nsid w:val="71C02323"/>
    <w:multiLevelType w:val="multilevel"/>
    <w:tmpl w:val="0F326208"/>
    <w:lvl w:ilvl="0">
      <w:start w:val="10"/>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41" w15:restartNumberingAfterBreak="0">
    <w:nsid w:val="7334704E"/>
    <w:multiLevelType w:val="hybridMultilevel"/>
    <w:tmpl w:val="6D6C43C0"/>
    <w:lvl w:ilvl="0" w:tplc="C31A5890">
      <w:start w:val="2"/>
      <w:numFmt w:val="decimal"/>
      <w:lvlText w:val="%1."/>
      <w:lvlJc w:val="left"/>
      <w:pPr>
        <w:tabs>
          <w:tab w:val="num" w:pos="-2"/>
        </w:tabs>
        <w:ind w:left="253" w:hanging="253"/>
      </w:pPr>
      <w:rPr>
        <w:rFonts w:ascii="Times New Roman Bold" w:hAnsi="Times New Roman Bold"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2" w15:restartNumberingAfterBreak="0">
    <w:nsid w:val="7344472A"/>
    <w:multiLevelType w:val="hybridMultilevel"/>
    <w:tmpl w:val="AAD4FB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74C87860"/>
    <w:multiLevelType w:val="hybridMultilevel"/>
    <w:tmpl w:val="A28695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4" w15:restartNumberingAfterBreak="0">
    <w:nsid w:val="76544C14"/>
    <w:multiLevelType w:val="hybridMultilevel"/>
    <w:tmpl w:val="BEB25224"/>
    <w:lvl w:ilvl="0" w:tplc="A9441718">
      <w:start w:val="1"/>
      <w:numFmt w:val="decimal"/>
      <w:lvlText w:val="%1."/>
      <w:lvlJc w:val="left"/>
      <w:pPr>
        <w:ind w:left="274" w:hanging="166"/>
      </w:pPr>
      <w:rPr>
        <w:rFonts w:ascii="Times New Roman" w:eastAsia="Times New Roman" w:hAnsi="Times New Roman" w:hint="default"/>
        <w:sz w:val="22"/>
        <w:szCs w:val="22"/>
      </w:rPr>
    </w:lvl>
    <w:lvl w:ilvl="1" w:tplc="3306E58E">
      <w:start w:val="1"/>
      <w:numFmt w:val="bullet"/>
      <w:lvlText w:val="•"/>
      <w:lvlJc w:val="left"/>
      <w:pPr>
        <w:ind w:left="1134" w:hanging="166"/>
      </w:pPr>
      <w:rPr>
        <w:rFonts w:hint="default"/>
      </w:rPr>
    </w:lvl>
    <w:lvl w:ilvl="2" w:tplc="F3B02EEC">
      <w:start w:val="1"/>
      <w:numFmt w:val="bullet"/>
      <w:lvlText w:val="•"/>
      <w:lvlJc w:val="left"/>
      <w:pPr>
        <w:ind w:left="1993" w:hanging="166"/>
      </w:pPr>
      <w:rPr>
        <w:rFonts w:hint="default"/>
      </w:rPr>
    </w:lvl>
    <w:lvl w:ilvl="3" w:tplc="72883E2C">
      <w:start w:val="1"/>
      <w:numFmt w:val="bullet"/>
      <w:lvlText w:val="•"/>
      <w:lvlJc w:val="left"/>
      <w:pPr>
        <w:ind w:left="2852" w:hanging="166"/>
      </w:pPr>
      <w:rPr>
        <w:rFonts w:hint="default"/>
      </w:rPr>
    </w:lvl>
    <w:lvl w:ilvl="4" w:tplc="6A38739C">
      <w:start w:val="1"/>
      <w:numFmt w:val="bullet"/>
      <w:lvlText w:val="•"/>
      <w:lvlJc w:val="left"/>
      <w:pPr>
        <w:ind w:left="3711" w:hanging="166"/>
      </w:pPr>
      <w:rPr>
        <w:rFonts w:hint="default"/>
      </w:rPr>
    </w:lvl>
    <w:lvl w:ilvl="5" w:tplc="C9BA8482">
      <w:start w:val="1"/>
      <w:numFmt w:val="bullet"/>
      <w:lvlText w:val="•"/>
      <w:lvlJc w:val="left"/>
      <w:pPr>
        <w:ind w:left="4570" w:hanging="166"/>
      </w:pPr>
      <w:rPr>
        <w:rFonts w:hint="default"/>
      </w:rPr>
    </w:lvl>
    <w:lvl w:ilvl="6" w:tplc="D96467F2">
      <w:start w:val="1"/>
      <w:numFmt w:val="bullet"/>
      <w:lvlText w:val="•"/>
      <w:lvlJc w:val="left"/>
      <w:pPr>
        <w:ind w:left="5429" w:hanging="166"/>
      </w:pPr>
      <w:rPr>
        <w:rFonts w:hint="default"/>
      </w:rPr>
    </w:lvl>
    <w:lvl w:ilvl="7" w:tplc="046286B4">
      <w:start w:val="1"/>
      <w:numFmt w:val="bullet"/>
      <w:lvlText w:val="•"/>
      <w:lvlJc w:val="left"/>
      <w:pPr>
        <w:ind w:left="6288" w:hanging="166"/>
      </w:pPr>
      <w:rPr>
        <w:rFonts w:hint="default"/>
      </w:rPr>
    </w:lvl>
    <w:lvl w:ilvl="8" w:tplc="3BCC7AFA">
      <w:start w:val="1"/>
      <w:numFmt w:val="bullet"/>
      <w:lvlText w:val="•"/>
      <w:lvlJc w:val="left"/>
      <w:pPr>
        <w:ind w:left="7148" w:hanging="166"/>
      </w:pPr>
      <w:rPr>
        <w:rFonts w:hint="default"/>
      </w:rPr>
    </w:lvl>
  </w:abstractNum>
  <w:abstractNum w:abstractNumId="245" w15:restartNumberingAfterBreak="0">
    <w:nsid w:val="769C1CD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46" w15:restartNumberingAfterBreak="0">
    <w:nsid w:val="76C70A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7" w15:restartNumberingAfterBreak="0">
    <w:nsid w:val="76F3272A"/>
    <w:multiLevelType w:val="hybridMultilevel"/>
    <w:tmpl w:val="61E60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76FE36AA"/>
    <w:multiLevelType w:val="singleLevel"/>
    <w:tmpl w:val="04090001"/>
    <w:lvl w:ilvl="0">
      <w:start w:val="1"/>
      <w:numFmt w:val="bullet"/>
      <w:lvlText w:val=""/>
      <w:lvlJc w:val="left"/>
      <w:pPr>
        <w:ind w:left="720" w:hanging="360"/>
      </w:pPr>
      <w:rPr>
        <w:rFonts w:ascii="Symbol" w:hAnsi="Symbol" w:hint="default"/>
      </w:rPr>
    </w:lvl>
  </w:abstractNum>
  <w:abstractNum w:abstractNumId="249" w15:restartNumberingAfterBreak="0">
    <w:nsid w:val="77A836C3"/>
    <w:multiLevelType w:val="hybridMultilevel"/>
    <w:tmpl w:val="51300CD8"/>
    <w:lvl w:ilvl="0" w:tplc="B7A4C09C">
      <w:start w:val="1"/>
      <w:numFmt w:val="bullet"/>
      <w:lvlText w:val="-"/>
      <w:lvlJc w:val="left"/>
      <w:pPr>
        <w:ind w:left="787" w:hanging="360"/>
      </w:pPr>
      <w:rPr>
        <w:rFonts w:ascii="Times New Roman" w:hAnsi="Times New Roman" w:cs="Times New Roman"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50" w15:restartNumberingAfterBreak="0">
    <w:nsid w:val="783E3BB1"/>
    <w:multiLevelType w:val="singleLevel"/>
    <w:tmpl w:val="824AF1A4"/>
    <w:lvl w:ilvl="0">
      <w:start w:val="1"/>
      <w:numFmt w:val="bullet"/>
      <w:pStyle w:val="StyleText1ItalicBlack"/>
      <w:lvlText w:val=""/>
      <w:lvlJc w:val="left"/>
      <w:pPr>
        <w:tabs>
          <w:tab w:val="num" w:pos="360"/>
        </w:tabs>
        <w:ind w:left="360" w:hanging="360"/>
      </w:pPr>
      <w:rPr>
        <w:rFonts w:ascii="Wingdings" w:hAnsi="Wingdings" w:hint="default"/>
        <w:sz w:val="16"/>
      </w:rPr>
    </w:lvl>
  </w:abstractNum>
  <w:abstractNum w:abstractNumId="251" w15:restartNumberingAfterBreak="0">
    <w:nsid w:val="78F405F0"/>
    <w:multiLevelType w:val="singleLevel"/>
    <w:tmpl w:val="1E169406"/>
    <w:lvl w:ilvl="0">
      <w:start w:val="1"/>
      <w:numFmt w:val="decimal"/>
      <w:lvlText w:val="%1."/>
      <w:lvlJc w:val="left"/>
      <w:pPr>
        <w:tabs>
          <w:tab w:val="num" w:pos="360"/>
        </w:tabs>
        <w:ind w:left="360" w:hanging="360"/>
      </w:pPr>
      <w:rPr>
        <w:rFonts w:cs="Times New Roman" w:hint="default"/>
        <w:b/>
        <w:i w:val="0"/>
      </w:rPr>
    </w:lvl>
  </w:abstractNum>
  <w:abstractNum w:abstractNumId="252" w15:restartNumberingAfterBreak="0">
    <w:nsid w:val="78F9473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53" w15:restartNumberingAfterBreak="0">
    <w:nsid w:val="79A46896"/>
    <w:multiLevelType w:val="singleLevel"/>
    <w:tmpl w:val="0409000F"/>
    <w:lvl w:ilvl="0">
      <w:start w:val="1"/>
      <w:numFmt w:val="decimal"/>
      <w:lvlText w:val="%1."/>
      <w:lvlJc w:val="left"/>
      <w:pPr>
        <w:tabs>
          <w:tab w:val="num" w:pos="360"/>
        </w:tabs>
        <w:ind w:left="360" w:hanging="360"/>
      </w:pPr>
    </w:lvl>
  </w:abstractNum>
  <w:abstractNum w:abstractNumId="254" w15:restartNumberingAfterBreak="0">
    <w:nsid w:val="79FB5601"/>
    <w:multiLevelType w:val="hybridMultilevel"/>
    <w:tmpl w:val="40FEB77C"/>
    <w:lvl w:ilvl="0" w:tplc="EB629F86">
      <w:start w:val="1"/>
      <w:numFmt w:val="bullet"/>
      <w:lvlText w:val="-"/>
      <w:lvlJc w:val="left"/>
      <w:pPr>
        <w:ind w:left="719" w:hanging="435"/>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5" w15:restartNumberingAfterBreak="0">
    <w:nsid w:val="7AF43098"/>
    <w:multiLevelType w:val="singleLevel"/>
    <w:tmpl w:val="2C3077E0"/>
    <w:lvl w:ilvl="0">
      <w:start w:val="1"/>
      <w:numFmt w:val="bullet"/>
      <w:lvlText w:val=""/>
      <w:lvlJc w:val="left"/>
      <w:pPr>
        <w:tabs>
          <w:tab w:val="num" w:pos="720"/>
        </w:tabs>
        <w:ind w:left="720" w:hanging="436"/>
      </w:pPr>
      <w:rPr>
        <w:rFonts w:ascii="Symbol" w:hAnsi="Symbol" w:hint="default"/>
      </w:rPr>
    </w:lvl>
  </w:abstractNum>
  <w:abstractNum w:abstractNumId="256" w15:restartNumberingAfterBreak="0">
    <w:nsid w:val="7B385CA4"/>
    <w:multiLevelType w:val="multilevel"/>
    <w:tmpl w:val="29BC9852"/>
    <w:lvl w:ilvl="0">
      <w:start w:val="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57" w15:restartNumberingAfterBreak="0">
    <w:nsid w:val="7B496229"/>
    <w:multiLevelType w:val="multilevel"/>
    <w:tmpl w:val="EAAE9EBE"/>
    <w:lvl w:ilvl="0">
      <w:start w:val="1"/>
      <w:numFmt w:val="decimal"/>
      <w:lvlText w:val="Section %1:"/>
      <w:lvlJc w:val="left"/>
      <w:pPr>
        <w:tabs>
          <w:tab w:val="num" w:pos="1440"/>
        </w:tabs>
        <w:ind w:left="360" w:hanging="360"/>
      </w:pPr>
      <w:rPr>
        <w:rFonts w:cs="Times New Roman"/>
      </w:rPr>
    </w:lvl>
    <w:lvl w:ilvl="1">
      <w:start w:val="1"/>
      <w:numFmt w:val="decimal"/>
      <w:lvlText w:val="%1.%2.  "/>
      <w:lvlJc w:val="left"/>
      <w:pPr>
        <w:tabs>
          <w:tab w:val="num" w:pos="1288"/>
        </w:tabs>
        <w:ind w:left="1000"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8" w15:restartNumberingAfterBreak="0">
    <w:nsid w:val="7B9C6A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9" w15:restartNumberingAfterBreak="0">
    <w:nsid w:val="7CF05B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0" w15:restartNumberingAfterBreak="0">
    <w:nsid w:val="7D8B22E5"/>
    <w:multiLevelType w:val="hybridMultilevel"/>
    <w:tmpl w:val="DA4C0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7E6A7992"/>
    <w:multiLevelType w:val="singleLevel"/>
    <w:tmpl w:val="04090011"/>
    <w:lvl w:ilvl="0">
      <w:start w:val="1"/>
      <w:numFmt w:val="decimal"/>
      <w:lvlText w:val="%1)"/>
      <w:lvlJc w:val="left"/>
      <w:pPr>
        <w:tabs>
          <w:tab w:val="num" w:pos="360"/>
        </w:tabs>
        <w:ind w:left="360" w:hanging="360"/>
      </w:pPr>
      <w:rPr>
        <w:rFonts w:cs="Times New Roman" w:hint="default"/>
      </w:rPr>
    </w:lvl>
  </w:abstractNum>
  <w:abstractNum w:abstractNumId="262" w15:restartNumberingAfterBreak="0">
    <w:nsid w:val="7F6754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3" w15:restartNumberingAfterBreak="0">
    <w:nsid w:val="7FB800D2"/>
    <w:multiLevelType w:val="singleLevel"/>
    <w:tmpl w:val="261ED5A0"/>
    <w:lvl w:ilvl="0">
      <w:start w:val="1"/>
      <w:numFmt w:val="bullet"/>
      <w:lvlText w:val=""/>
      <w:lvlJc w:val="left"/>
      <w:pPr>
        <w:tabs>
          <w:tab w:val="num" w:pos="360"/>
        </w:tabs>
        <w:ind w:left="360" w:hanging="360"/>
      </w:pPr>
      <w:rPr>
        <w:rFonts w:ascii="Symbol" w:hAnsi="Symbol" w:hint="default"/>
      </w:rPr>
    </w:lvl>
  </w:abstractNum>
  <w:abstractNum w:abstractNumId="264" w15:restartNumberingAfterBreak="0">
    <w:nsid w:val="7FFD647F"/>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13"/>
  </w:num>
  <w:num w:numId="3">
    <w:abstractNumId w:val="85"/>
  </w:num>
  <w:num w:numId="4">
    <w:abstractNumId w:val="250"/>
  </w:num>
  <w:num w:numId="5">
    <w:abstractNumId w:val="102"/>
  </w:num>
  <w:num w:numId="6">
    <w:abstractNumId w:val="100"/>
  </w:num>
  <w:num w:numId="7">
    <w:abstractNumId w:val="198"/>
  </w:num>
  <w:num w:numId="8">
    <w:abstractNumId w:val="215"/>
  </w:num>
  <w:num w:numId="9">
    <w:abstractNumId w:val="142"/>
  </w:num>
  <w:num w:numId="10">
    <w:abstractNumId w:val="206"/>
  </w:num>
  <w:num w:numId="11">
    <w:abstractNumId w:val="69"/>
  </w:num>
  <w:num w:numId="12">
    <w:abstractNumId w:val="143"/>
  </w:num>
  <w:num w:numId="13">
    <w:abstractNumId w:val="1"/>
    <w:lvlOverride w:ilvl="0">
      <w:lvl w:ilvl="0">
        <w:numFmt w:val="bullet"/>
        <w:lvlText w:val=""/>
        <w:legacy w:legacy="1" w:legacySpace="0" w:legacyIndent="360"/>
        <w:lvlJc w:val="left"/>
        <w:pPr>
          <w:ind w:hanging="360"/>
        </w:pPr>
        <w:rPr>
          <w:rFonts w:ascii="Symbol" w:hAnsi="Symbol" w:hint="default"/>
        </w:rPr>
      </w:lvl>
    </w:lvlOverride>
  </w:num>
  <w:num w:numId="14">
    <w:abstractNumId w:val="1"/>
    <w:lvlOverride w:ilvl="0">
      <w:lvl w:ilvl="0">
        <w:numFmt w:val="bullet"/>
        <w:lvlText w:val=""/>
        <w:legacy w:legacy="1" w:legacySpace="0" w:legacyIndent="283"/>
        <w:lvlJc w:val="left"/>
        <w:pPr>
          <w:ind w:left="566" w:hanging="283"/>
        </w:pPr>
        <w:rPr>
          <w:rFonts w:ascii="Symbol" w:hAnsi="Symbol" w:hint="default"/>
        </w:rPr>
      </w:lvl>
    </w:lvlOverride>
  </w:num>
  <w:num w:numId="15">
    <w:abstractNumId w:val="231"/>
  </w:num>
  <w:num w:numId="16">
    <w:abstractNumId w:val="52"/>
  </w:num>
  <w:num w:numId="17">
    <w:abstractNumId w:val="58"/>
  </w:num>
  <w:num w:numId="18">
    <w:abstractNumId w:val="133"/>
  </w:num>
  <w:num w:numId="19">
    <w:abstractNumId w:val="80"/>
  </w:num>
  <w:num w:numId="20">
    <w:abstractNumId w:val="79"/>
  </w:num>
  <w:num w:numId="21">
    <w:abstractNumId w:val="255"/>
  </w:num>
  <w:num w:numId="22">
    <w:abstractNumId w:val="134"/>
  </w:num>
  <w:num w:numId="23">
    <w:abstractNumId w:val="27"/>
  </w:num>
  <w:num w:numId="24">
    <w:abstractNumId w:val="137"/>
  </w:num>
  <w:num w:numId="25">
    <w:abstractNumId w:val="195"/>
  </w:num>
  <w:num w:numId="26">
    <w:abstractNumId w:val="1"/>
    <w:lvlOverride w:ilvl="0">
      <w:lvl w:ilvl="0">
        <w:start w:val="1"/>
        <w:numFmt w:val="bullet"/>
        <w:lvlText w:val=""/>
        <w:legacy w:legacy="1" w:legacySpace="0" w:legacyIndent="360"/>
        <w:lvlJc w:val="left"/>
        <w:pPr>
          <w:ind w:left="720" w:hanging="360"/>
        </w:pPr>
        <w:rPr>
          <w:rFonts w:ascii="Symbol" w:hAnsi="Symbol" w:hint="default"/>
        </w:rPr>
      </w:lvl>
    </w:lvlOverride>
  </w:num>
  <w:num w:numId="27">
    <w:abstractNumId w:val="163"/>
  </w:num>
  <w:num w:numId="28">
    <w:abstractNumId w:val="40"/>
  </w:num>
  <w:num w:numId="29">
    <w:abstractNumId w:val="150"/>
  </w:num>
  <w:num w:numId="30">
    <w:abstractNumId w:val="151"/>
  </w:num>
  <w:num w:numId="31">
    <w:abstractNumId w:val="146"/>
  </w:num>
  <w:num w:numId="32">
    <w:abstractNumId w:val="187"/>
  </w:num>
  <w:num w:numId="33">
    <w:abstractNumId w:val="57"/>
  </w:num>
  <w:num w:numId="34">
    <w:abstractNumId w:val="261"/>
  </w:num>
  <w:num w:numId="35">
    <w:abstractNumId w:val="109"/>
  </w:num>
  <w:num w:numId="36">
    <w:abstractNumId w:val="217"/>
  </w:num>
  <w:num w:numId="37">
    <w:abstractNumId w:val="29"/>
  </w:num>
  <w:num w:numId="38">
    <w:abstractNumId w:val="127"/>
  </w:num>
  <w:num w:numId="39">
    <w:abstractNumId w:val="264"/>
  </w:num>
  <w:num w:numId="40">
    <w:abstractNumId w:val="62"/>
  </w:num>
  <w:num w:numId="41">
    <w:abstractNumId w:val="232"/>
  </w:num>
  <w:num w:numId="42">
    <w:abstractNumId w:val="73"/>
  </w:num>
  <w:num w:numId="43">
    <w:abstractNumId w:val="92"/>
  </w:num>
  <w:num w:numId="44">
    <w:abstractNumId w:val="88"/>
  </w:num>
  <w:num w:numId="45">
    <w:abstractNumId w:val="262"/>
  </w:num>
  <w:num w:numId="46">
    <w:abstractNumId w:val="220"/>
  </w:num>
  <w:num w:numId="47">
    <w:abstractNumId w:val="154"/>
  </w:num>
  <w:num w:numId="48">
    <w:abstractNumId w:val="5"/>
  </w:num>
  <w:num w:numId="49">
    <w:abstractNumId w:val="74"/>
  </w:num>
  <w:num w:numId="50">
    <w:abstractNumId w:val="112"/>
  </w:num>
  <w:num w:numId="51">
    <w:abstractNumId w:val="9"/>
  </w:num>
  <w:num w:numId="52">
    <w:abstractNumId w:val="45"/>
  </w:num>
  <w:num w:numId="53">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54">
    <w:abstractNumId w:val="119"/>
  </w:num>
  <w:num w:numId="55">
    <w:abstractNumId w:val="107"/>
  </w:num>
  <w:num w:numId="56">
    <w:abstractNumId w:val="94"/>
  </w:num>
  <w:num w:numId="57">
    <w:abstractNumId w:val="222"/>
  </w:num>
  <w:num w:numId="58">
    <w:abstractNumId w:val="234"/>
  </w:num>
  <w:num w:numId="59">
    <w:abstractNumId w:val="239"/>
  </w:num>
  <w:num w:numId="60">
    <w:abstractNumId w:val="126"/>
  </w:num>
  <w:num w:numId="61">
    <w:abstractNumId w:val="213"/>
  </w:num>
  <w:num w:numId="62">
    <w:abstractNumId w:val="68"/>
  </w:num>
  <w:num w:numId="63">
    <w:abstractNumId w:val="81"/>
  </w:num>
  <w:num w:numId="64">
    <w:abstractNumId w:val="96"/>
  </w:num>
  <w:num w:numId="65">
    <w:abstractNumId w:val="246"/>
  </w:num>
  <w:num w:numId="66">
    <w:abstractNumId w:val="129"/>
  </w:num>
  <w:num w:numId="67">
    <w:abstractNumId w:val="236"/>
  </w:num>
  <w:num w:numId="68">
    <w:abstractNumId w:val="130"/>
  </w:num>
  <w:num w:numId="69">
    <w:abstractNumId w:val="14"/>
  </w:num>
  <w:num w:numId="70">
    <w:abstractNumId w:val="10"/>
  </w:num>
  <w:num w:numId="71">
    <w:abstractNumId w:val="257"/>
  </w:num>
  <w:num w:numId="72">
    <w:abstractNumId w:val="178"/>
  </w:num>
  <w:num w:numId="73">
    <w:abstractNumId w:val="15"/>
  </w:num>
  <w:num w:numId="74">
    <w:abstractNumId w:val="199"/>
  </w:num>
  <w:num w:numId="75">
    <w:abstractNumId w:val="131"/>
  </w:num>
  <w:num w:numId="76">
    <w:abstractNumId w:val="182"/>
  </w:num>
  <w:num w:numId="77">
    <w:abstractNumId w:val="77"/>
  </w:num>
  <w:num w:numId="78">
    <w:abstractNumId w:val="152"/>
  </w:num>
  <w:num w:numId="79">
    <w:abstractNumId w:val="207"/>
  </w:num>
  <w:num w:numId="80">
    <w:abstractNumId w:val="70"/>
  </w:num>
  <w:num w:numId="81">
    <w:abstractNumId w:val="42"/>
  </w:num>
  <w:num w:numId="82">
    <w:abstractNumId w:val="3"/>
  </w:num>
  <w:num w:numId="83">
    <w:abstractNumId w:val="238"/>
  </w:num>
  <w:num w:numId="84">
    <w:abstractNumId w:val="158"/>
  </w:num>
  <w:num w:numId="85">
    <w:abstractNumId w:val="147"/>
  </w:num>
  <w:num w:numId="86">
    <w:abstractNumId w:val="258"/>
  </w:num>
  <w:num w:numId="87">
    <w:abstractNumId w:val="248"/>
  </w:num>
  <w:num w:numId="88">
    <w:abstractNumId w:val="172"/>
  </w:num>
  <w:num w:numId="89">
    <w:abstractNumId w:val="157"/>
  </w:num>
  <w:num w:numId="90">
    <w:abstractNumId w:val="204"/>
  </w:num>
  <w:num w:numId="91">
    <w:abstractNumId w:val="93"/>
  </w:num>
  <w:num w:numId="92">
    <w:abstractNumId w:val="17"/>
  </w:num>
  <w:num w:numId="93">
    <w:abstractNumId w:val="251"/>
  </w:num>
  <w:num w:numId="94">
    <w:abstractNumId w:val="144"/>
  </w:num>
  <w:num w:numId="95">
    <w:abstractNumId w:val="111"/>
  </w:num>
  <w:num w:numId="96">
    <w:abstractNumId w:val="216"/>
  </w:num>
  <w:num w:numId="97">
    <w:abstractNumId w:val="165"/>
  </w:num>
  <w:num w:numId="98">
    <w:abstractNumId w:val="226"/>
  </w:num>
  <w:num w:numId="99">
    <w:abstractNumId w:val="24"/>
  </w:num>
  <w:num w:numId="100">
    <w:abstractNumId w:val="23"/>
  </w:num>
  <w:num w:numId="101">
    <w:abstractNumId w:val="173"/>
  </w:num>
  <w:num w:numId="102">
    <w:abstractNumId w:val="175"/>
  </w:num>
  <w:num w:numId="103">
    <w:abstractNumId w:val="169"/>
  </w:num>
  <w:num w:numId="104">
    <w:abstractNumId w:val="82"/>
  </w:num>
  <w:num w:numId="105">
    <w:abstractNumId w:val="149"/>
  </w:num>
  <w:num w:numId="106">
    <w:abstractNumId w:val="259"/>
  </w:num>
  <w:num w:numId="107">
    <w:abstractNumId w:val="84"/>
  </w:num>
  <w:num w:numId="108">
    <w:abstractNumId w:val="72"/>
  </w:num>
  <w:num w:numId="109">
    <w:abstractNumId w:val="16"/>
  </w:num>
  <w:num w:numId="110">
    <w:abstractNumId w:val="118"/>
  </w:num>
  <w:num w:numId="111">
    <w:abstractNumId w:val="53"/>
  </w:num>
  <w:num w:numId="112">
    <w:abstractNumId w:val="225"/>
  </w:num>
  <w:num w:numId="113">
    <w:abstractNumId w:val="160"/>
  </w:num>
  <w:num w:numId="114">
    <w:abstractNumId w:val="2"/>
  </w:num>
  <w:num w:numId="115">
    <w:abstractNumId w:val="4"/>
  </w:num>
  <w:num w:numId="116">
    <w:abstractNumId w:val="30"/>
  </w:num>
  <w:num w:numId="117">
    <w:abstractNumId w:val="162"/>
  </w:num>
  <w:num w:numId="118">
    <w:abstractNumId w:val="249"/>
  </w:num>
  <w:num w:numId="119">
    <w:abstractNumId w:val="104"/>
  </w:num>
  <w:num w:numId="120">
    <w:abstractNumId w:val="260"/>
  </w:num>
  <w:num w:numId="121">
    <w:abstractNumId w:val="1"/>
    <w:lvlOverride w:ilvl="0">
      <w:lvl w:ilvl="0">
        <w:start w:val="1"/>
        <w:numFmt w:val="bullet"/>
        <w:lvlText w:val="–"/>
        <w:legacy w:legacy="1" w:legacySpace="0" w:legacyIndent="284"/>
        <w:lvlJc w:val="left"/>
        <w:pPr>
          <w:ind w:left="284" w:hanging="284"/>
        </w:pPr>
      </w:lvl>
    </w:lvlOverride>
  </w:num>
  <w:num w:numId="122">
    <w:abstractNumId w:val="181"/>
  </w:num>
  <w:num w:numId="123">
    <w:abstractNumId w:val="13"/>
  </w:num>
  <w:num w:numId="124">
    <w:abstractNumId w:val="1"/>
    <w:lvlOverride w:ilvl="0">
      <w:lvl w:ilvl="0">
        <w:start w:val="1"/>
        <w:numFmt w:val="bullet"/>
        <w:lvlText w:val=""/>
        <w:lvlJc w:val="left"/>
        <w:pPr>
          <w:ind w:left="283" w:hanging="283"/>
        </w:pPr>
        <w:rPr>
          <w:rFonts w:ascii="Symbol" w:hAnsi="Symbol" w:hint="default"/>
        </w:rPr>
      </w:lvl>
    </w:lvlOverride>
  </w:num>
  <w:num w:numId="125">
    <w:abstractNumId w:val="128"/>
  </w:num>
  <w:num w:numId="126">
    <w:abstractNumId w:val="132"/>
  </w:num>
  <w:num w:numId="127">
    <w:abstractNumId w:val="210"/>
  </w:num>
  <w:num w:numId="128">
    <w:abstractNumId w:val="95"/>
  </w:num>
  <w:num w:numId="129">
    <w:abstractNumId w:val="7"/>
  </w:num>
  <w:num w:numId="130">
    <w:abstractNumId w:val="38"/>
  </w:num>
  <w:num w:numId="131">
    <w:abstractNumId w:val="12"/>
  </w:num>
  <w:num w:numId="132">
    <w:abstractNumId w:val="61"/>
  </w:num>
  <w:num w:numId="133">
    <w:abstractNumId w:val="43"/>
  </w:num>
  <w:num w:numId="134">
    <w:abstractNumId w:val="1"/>
    <w:lvlOverride w:ilvl="0">
      <w:lvl w:ilvl="0">
        <w:start w:val="2"/>
        <w:numFmt w:val="bullet"/>
        <w:lvlText w:val="-"/>
        <w:legacy w:legacy="1" w:legacySpace="0" w:legacyIndent="360"/>
        <w:lvlJc w:val="left"/>
        <w:pPr>
          <w:ind w:left="360" w:hanging="360"/>
        </w:pPr>
      </w:lvl>
    </w:lvlOverride>
  </w:num>
  <w:num w:numId="135">
    <w:abstractNumId w:val="145"/>
  </w:num>
  <w:num w:numId="136">
    <w:abstractNumId w:val="56"/>
  </w:num>
  <w:num w:numId="137">
    <w:abstractNumId w:val="76"/>
  </w:num>
  <w:num w:numId="138">
    <w:abstractNumId w:val="65"/>
  </w:num>
  <w:num w:numId="139">
    <w:abstractNumId w:val="245"/>
  </w:num>
  <w:num w:numId="140">
    <w:abstractNumId w:val="46"/>
  </w:num>
  <w:num w:numId="141">
    <w:abstractNumId w:val="184"/>
  </w:num>
  <w:num w:numId="142">
    <w:abstractNumId w:val="194"/>
  </w:num>
  <w:num w:numId="143">
    <w:abstractNumId w:val="135"/>
  </w:num>
  <w:num w:numId="144">
    <w:abstractNumId w:val="153"/>
  </w:num>
  <w:num w:numId="145">
    <w:abstractNumId w:val="47"/>
  </w:num>
  <w:num w:numId="146">
    <w:abstractNumId w:val="252"/>
  </w:num>
  <w:num w:numId="147">
    <w:abstractNumId w:val="34"/>
  </w:num>
  <w:num w:numId="148">
    <w:abstractNumId w:val="201"/>
  </w:num>
  <w:num w:numId="149">
    <w:abstractNumId w:val="253"/>
  </w:num>
  <w:num w:numId="150">
    <w:abstractNumId w:val="139"/>
  </w:num>
  <w:num w:numId="151">
    <w:abstractNumId w:val="263"/>
  </w:num>
  <w:num w:numId="152">
    <w:abstractNumId w:val="108"/>
  </w:num>
  <w:num w:numId="153">
    <w:abstractNumId w:val="176"/>
  </w:num>
  <w:num w:numId="154">
    <w:abstractNumId w:val="168"/>
  </w:num>
  <w:num w:numId="155">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56">
    <w:abstractNumId w:val="208"/>
  </w:num>
  <w:num w:numId="157">
    <w:abstractNumId w:val="185"/>
  </w:num>
  <w:num w:numId="158">
    <w:abstractNumId w:val="91"/>
  </w:num>
  <w:num w:numId="159">
    <w:abstractNumId w:val="209"/>
  </w:num>
  <w:num w:numId="160">
    <w:abstractNumId w:val="98"/>
  </w:num>
  <w:num w:numId="161">
    <w:abstractNumId w:val="67"/>
  </w:num>
  <w:num w:numId="162">
    <w:abstractNumId w:val="25"/>
  </w:num>
  <w:num w:numId="163">
    <w:abstractNumId w:val="35"/>
  </w:num>
  <w:num w:numId="164">
    <w:abstractNumId w:val="31"/>
  </w:num>
  <w:num w:numId="165">
    <w:abstractNumId w:val="177"/>
  </w:num>
  <w:num w:numId="166">
    <w:abstractNumId w:val="148"/>
  </w:num>
  <w:num w:numId="167">
    <w:abstractNumId w:val="66"/>
  </w:num>
  <w:num w:numId="168">
    <w:abstractNumId w:val="241"/>
  </w:num>
  <w:num w:numId="169">
    <w:abstractNumId w:val="140"/>
  </w:num>
  <w:num w:numId="170">
    <w:abstractNumId w:val="242"/>
  </w:num>
  <w:num w:numId="171">
    <w:abstractNumId w:val="211"/>
  </w:num>
  <w:num w:numId="172">
    <w:abstractNumId w:val="22"/>
  </w:num>
  <w:num w:numId="173">
    <w:abstractNumId w:val="166"/>
  </w:num>
  <w:num w:numId="174">
    <w:abstractNumId w:val="32"/>
  </w:num>
  <w:num w:numId="175">
    <w:abstractNumId w:val="11"/>
  </w:num>
  <w:num w:numId="176">
    <w:abstractNumId w:val="121"/>
  </w:num>
  <w:num w:numId="177">
    <w:abstractNumId w:val="63"/>
  </w:num>
  <w:num w:numId="178">
    <w:abstractNumId w:val="41"/>
  </w:num>
  <w:num w:numId="179">
    <w:abstractNumId w:val="50"/>
  </w:num>
  <w:num w:numId="180">
    <w:abstractNumId w:val="86"/>
  </w:num>
  <w:num w:numId="181">
    <w:abstractNumId w:val="224"/>
  </w:num>
  <w:num w:numId="182">
    <w:abstractNumId w:val="48"/>
  </w:num>
  <w:num w:numId="183">
    <w:abstractNumId w:val="237"/>
  </w:num>
  <w:num w:numId="184">
    <w:abstractNumId w:val="123"/>
  </w:num>
  <w:num w:numId="185">
    <w:abstractNumId w:val="138"/>
  </w:num>
  <w:num w:numId="186">
    <w:abstractNumId w:val="106"/>
  </w:num>
  <w:num w:numId="187">
    <w:abstractNumId w:val="230"/>
  </w:num>
  <w:num w:numId="188">
    <w:abstractNumId w:val="247"/>
  </w:num>
  <w:num w:numId="189">
    <w:abstractNumId w:val="186"/>
  </w:num>
  <w:num w:numId="190">
    <w:abstractNumId w:val="26"/>
  </w:num>
  <w:num w:numId="191">
    <w:abstractNumId w:val="235"/>
  </w:num>
  <w:num w:numId="192">
    <w:abstractNumId w:val="197"/>
  </w:num>
  <w:num w:numId="193">
    <w:abstractNumId w:val="170"/>
  </w:num>
  <w:num w:numId="194">
    <w:abstractNumId w:val="228"/>
  </w:num>
  <w:num w:numId="195">
    <w:abstractNumId w:val="125"/>
  </w:num>
  <w:num w:numId="196">
    <w:abstractNumId w:val="39"/>
  </w:num>
  <w:num w:numId="197">
    <w:abstractNumId w:val="21"/>
  </w:num>
  <w:num w:numId="198">
    <w:abstractNumId w:val="171"/>
  </w:num>
  <w:num w:numId="199">
    <w:abstractNumId w:val="206"/>
    <w:lvlOverride w:ilvl="0">
      <w:startOverride w:val="1"/>
    </w:lvlOverride>
  </w:num>
  <w:num w:numId="200">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90"/>
  </w:num>
  <w:num w:numId="202">
    <w:abstractNumId w:val="114"/>
  </w:num>
  <w:num w:numId="203">
    <w:abstractNumId w:val="191"/>
  </w:num>
  <w:num w:numId="204">
    <w:abstractNumId w:val="229"/>
  </w:num>
  <w:num w:numId="205">
    <w:abstractNumId w:val="159"/>
  </w:num>
  <w:num w:numId="20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05"/>
  </w:num>
  <w:num w:numId="209">
    <w:abstractNumId w:val="115"/>
  </w:num>
  <w:num w:numId="210">
    <w:abstractNumId w:val="200"/>
  </w:num>
  <w:num w:numId="21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83"/>
  </w:num>
  <w:num w:numId="213">
    <w:abstractNumId w:val="54"/>
  </w:num>
  <w:num w:numId="214">
    <w:abstractNumId w:val="254"/>
  </w:num>
  <w:num w:numId="215">
    <w:abstractNumId w:val="78"/>
  </w:num>
  <w:num w:numId="216">
    <w:abstractNumId w:val="192"/>
  </w:num>
  <w:num w:numId="217">
    <w:abstractNumId w:val="188"/>
  </w:num>
  <w:num w:numId="218">
    <w:abstractNumId w:val="89"/>
  </w:num>
  <w:num w:numId="219">
    <w:abstractNumId w:val="87"/>
  </w:num>
  <w:num w:numId="220">
    <w:abstractNumId w:val="19"/>
  </w:num>
  <w:num w:numId="221">
    <w:abstractNumId w:val="33"/>
  </w:num>
  <w:num w:numId="222">
    <w:abstractNumId w:val="37"/>
  </w:num>
  <w:num w:numId="223">
    <w:abstractNumId w:val="214"/>
  </w:num>
  <w:num w:numId="224">
    <w:abstractNumId w:val="164"/>
  </w:num>
  <w:num w:numId="225">
    <w:abstractNumId w:val="75"/>
  </w:num>
  <w:num w:numId="226">
    <w:abstractNumId w:val="212"/>
  </w:num>
  <w:num w:numId="227">
    <w:abstractNumId w:val="36"/>
  </w:num>
  <w:num w:numId="228">
    <w:abstractNumId w:val="20"/>
  </w:num>
  <w:num w:numId="229">
    <w:abstractNumId w:val="120"/>
  </w:num>
  <w:num w:numId="230">
    <w:abstractNumId w:val="180"/>
  </w:num>
  <w:num w:numId="231">
    <w:abstractNumId w:val="122"/>
  </w:num>
  <w:num w:numId="232">
    <w:abstractNumId w:val="97"/>
  </w:num>
  <w:num w:numId="233">
    <w:abstractNumId w:val="240"/>
  </w:num>
  <w:num w:numId="234">
    <w:abstractNumId w:val="124"/>
  </w:num>
  <w:num w:numId="235">
    <w:abstractNumId w:val="256"/>
  </w:num>
  <w:num w:numId="236">
    <w:abstractNumId w:val="51"/>
  </w:num>
  <w:num w:numId="237">
    <w:abstractNumId w:val="101"/>
  </w:num>
  <w:num w:numId="238">
    <w:abstractNumId w:val="59"/>
  </w:num>
  <w:num w:numId="239">
    <w:abstractNumId w:val="8"/>
  </w:num>
  <w:num w:numId="240">
    <w:abstractNumId w:val="55"/>
  </w:num>
  <w:num w:numId="241">
    <w:abstractNumId w:val="193"/>
  </w:num>
  <w:num w:numId="242">
    <w:abstractNumId w:val="90"/>
  </w:num>
  <w:num w:numId="243">
    <w:abstractNumId w:val="244"/>
  </w:num>
  <w:num w:numId="244">
    <w:abstractNumId w:val="99"/>
  </w:num>
  <w:num w:numId="245">
    <w:abstractNumId w:val="189"/>
  </w:num>
  <w:num w:numId="246">
    <w:abstractNumId w:val="116"/>
  </w:num>
  <w:num w:numId="247">
    <w:abstractNumId w:val="202"/>
  </w:num>
  <w:num w:numId="248">
    <w:abstractNumId w:val="196"/>
  </w:num>
  <w:num w:numId="249">
    <w:abstractNumId w:val="167"/>
  </w:num>
  <w:num w:numId="250">
    <w:abstractNumId w:val="233"/>
  </w:num>
  <w:num w:numId="251">
    <w:abstractNumId w:val="243"/>
  </w:num>
  <w:num w:numId="252">
    <w:abstractNumId w:val="18"/>
  </w:num>
  <w:num w:numId="253">
    <w:abstractNumId w:val="136"/>
  </w:num>
  <w:num w:numId="254">
    <w:abstractNumId w:val="161"/>
  </w:num>
  <w:num w:numId="255">
    <w:abstractNumId w:val="105"/>
  </w:num>
  <w:num w:numId="256">
    <w:abstractNumId w:val="28"/>
  </w:num>
  <w:num w:numId="257">
    <w:abstractNumId w:val="44"/>
  </w:num>
  <w:num w:numId="258">
    <w:abstractNumId w:val="155"/>
  </w:num>
  <w:num w:numId="259">
    <w:abstractNumId w:val="179"/>
  </w:num>
  <w:num w:numId="260">
    <w:abstractNumId w:val="60"/>
  </w:num>
  <w:num w:numId="261">
    <w:abstractNumId w:val="203"/>
  </w:num>
  <w:num w:numId="262">
    <w:abstractNumId w:val="218"/>
  </w:num>
  <w:num w:numId="263">
    <w:abstractNumId w:val="227"/>
  </w:num>
  <w:num w:numId="264">
    <w:abstractNumId w:val="117"/>
  </w:num>
  <w:num w:numId="265">
    <w:abstractNumId w:val="223"/>
  </w:num>
  <w:num w:numId="266">
    <w:abstractNumId w:val="221"/>
  </w:num>
  <w:num w:numId="267">
    <w:abstractNumId w:val="183"/>
  </w:num>
  <w:num w:numId="268">
    <w:abstractNumId w:val="6"/>
  </w:num>
  <w:num w:numId="269">
    <w:abstractNumId w:val="103"/>
  </w:num>
  <w:num w:numId="270">
    <w:abstractNumId w:val="141"/>
  </w:num>
  <w:num w:numId="271">
    <w:abstractNumId w:val="71"/>
  </w:num>
  <w:num w:numId="272">
    <w:abstractNumId w:val="219"/>
  </w:num>
  <w:num w:numId="273">
    <w:abstractNumId w:val="174"/>
  </w:num>
  <w:num w:numId="274">
    <w:abstractNumId w:val="49"/>
  </w:num>
  <w:num w:numId="275">
    <w:abstractNumId w:val="64"/>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BE" w:vendorID="64" w:dllVersion="131078" w:nlCheck="1" w:checkStyle="0"/>
  <w:activeWritingStyle w:appName="MSWord" w:lang="en-GB" w:vendorID="64" w:dllVersion="131078" w:nlCheck="1" w:checkStyle="1"/>
  <w:activeWritingStyle w:appName="MSWord" w:lang="nb-NO"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IE" w:vendorID="64" w:dllVersion="131078" w:nlCheck="1" w:checkStyle="1"/>
  <w:defaultTabStop w:val="720"/>
  <w:hyphenationZone w:val="425"/>
  <w:characterSpacingControl w:val="doNotCompress"/>
  <w:hdrShapeDefaults>
    <o:shapedefaults v:ext="edit" spidmax="849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1F7F17"/>
    <w:rsid w:val="00002169"/>
    <w:rsid w:val="000079EC"/>
    <w:rsid w:val="00011970"/>
    <w:rsid w:val="00014A2F"/>
    <w:rsid w:val="0001559E"/>
    <w:rsid w:val="00015BCC"/>
    <w:rsid w:val="00020265"/>
    <w:rsid w:val="00020994"/>
    <w:rsid w:val="00022A12"/>
    <w:rsid w:val="00022F45"/>
    <w:rsid w:val="00027597"/>
    <w:rsid w:val="00032B63"/>
    <w:rsid w:val="000357AD"/>
    <w:rsid w:val="0004022D"/>
    <w:rsid w:val="000433E9"/>
    <w:rsid w:val="0004351D"/>
    <w:rsid w:val="000438F8"/>
    <w:rsid w:val="00044C26"/>
    <w:rsid w:val="000473B7"/>
    <w:rsid w:val="00050506"/>
    <w:rsid w:val="0005419B"/>
    <w:rsid w:val="000554F9"/>
    <w:rsid w:val="0006210F"/>
    <w:rsid w:val="00065F2E"/>
    <w:rsid w:val="00065FA9"/>
    <w:rsid w:val="0006663E"/>
    <w:rsid w:val="00066A88"/>
    <w:rsid w:val="000678FD"/>
    <w:rsid w:val="0007162B"/>
    <w:rsid w:val="00074E80"/>
    <w:rsid w:val="00075763"/>
    <w:rsid w:val="0007576B"/>
    <w:rsid w:val="000774A0"/>
    <w:rsid w:val="00077B96"/>
    <w:rsid w:val="00077D99"/>
    <w:rsid w:val="00081C87"/>
    <w:rsid w:val="0008468F"/>
    <w:rsid w:val="000847EE"/>
    <w:rsid w:val="00084E3D"/>
    <w:rsid w:val="00090D85"/>
    <w:rsid w:val="000942A4"/>
    <w:rsid w:val="00094800"/>
    <w:rsid w:val="00095945"/>
    <w:rsid w:val="00095B33"/>
    <w:rsid w:val="000960B0"/>
    <w:rsid w:val="00096496"/>
    <w:rsid w:val="00097FEB"/>
    <w:rsid w:val="000A1043"/>
    <w:rsid w:val="000A396D"/>
    <w:rsid w:val="000A44ED"/>
    <w:rsid w:val="000A46F2"/>
    <w:rsid w:val="000A48EC"/>
    <w:rsid w:val="000A4BF3"/>
    <w:rsid w:val="000A52FB"/>
    <w:rsid w:val="000A5813"/>
    <w:rsid w:val="000A67D6"/>
    <w:rsid w:val="000B0A4C"/>
    <w:rsid w:val="000B0B13"/>
    <w:rsid w:val="000B12B1"/>
    <w:rsid w:val="000B1B58"/>
    <w:rsid w:val="000B1ECB"/>
    <w:rsid w:val="000B7EEE"/>
    <w:rsid w:val="000C0FA8"/>
    <w:rsid w:val="000C3644"/>
    <w:rsid w:val="000C3DA8"/>
    <w:rsid w:val="000C4C49"/>
    <w:rsid w:val="000D0699"/>
    <w:rsid w:val="000D1F2A"/>
    <w:rsid w:val="000D22F2"/>
    <w:rsid w:val="000D2B5B"/>
    <w:rsid w:val="000D46AD"/>
    <w:rsid w:val="000D7C32"/>
    <w:rsid w:val="000D7CD4"/>
    <w:rsid w:val="000E18D5"/>
    <w:rsid w:val="000E299B"/>
    <w:rsid w:val="000E371F"/>
    <w:rsid w:val="000E495E"/>
    <w:rsid w:val="000E4DAA"/>
    <w:rsid w:val="000E6E8D"/>
    <w:rsid w:val="000E6ECC"/>
    <w:rsid w:val="000F1D84"/>
    <w:rsid w:val="000F220B"/>
    <w:rsid w:val="000F2D82"/>
    <w:rsid w:val="0010116E"/>
    <w:rsid w:val="00105B29"/>
    <w:rsid w:val="00105CFE"/>
    <w:rsid w:val="0010734F"/>
    <w:rsid w:val="00110DC6"/>
    <w:rsid w:val="001137FA"/>
    <w:rsid w:val="00117CC5"/>
    <w:rsid w:val="001204A0"/>
    <w:rsid w:val="001248E7"/>
    <w:rsid w:val="0012509B"/>
    <w:rsid w:val="00126A1C"/>
    <w:rsid w:val="001271ED"/>
    <w:rsid w:val="00127A4F"/>
    <w:rsid w:val="0013042C"/>
    <w:rsid w:val="001319E3"/>
    <w:rsid w:val="001329AD"/>
    <w:rsid w:val="00133AAC"/>
    <w:rsid w:val="00133E47"/>
    <w:rsid w:val="00134455"/>
    <w:rsid w:val="001345AE"/>
    <w:rsid w:val="00135E99"/>
    <w:rsid w:val="0014067C"/>
    <w:rsid w:val="00142141"/>
    <w:rsid w:val="00144762"/>
    <w:rsid w:val="001451CE"/>
    <w:rsid w:val="001473B0"/>
    <w:rsid w:val="0014758D"/>
    <w:rsid w:val="001510D7"/>
    <w:rsid w:val="00154A69"/>
    <w:rsid w:val="0016265B"/>
    <w:rsid w:val="00162726"/>
    <w:rsid w:val="001628B5"/>
    <w:rsid w:val="00162FB4"/>
    <w:rsid w:val="001635A2"/>
    <w:rsid w:val="00164184"/>
    <w:rsid w:val="001665BC"/>
    <w:rsid w:val="00171406"/>
    <w:rsid w:val="0017429B"/>
    <w:rsid w:val="00180150"/>
    <w:rsid w:val="001803D7"/>
    <w:rsid w:val="0018159A"/>
    <w:rsid w:val="00181AE3"/>
    <w:rsid w:val="00181B15"/>
    <w:rsid w:val="001824E3"/>
    <w:rsid w:val="0019381A"/>
    <w:rsid w:val="0019382C"/>
    <w:rsid w:val="00194034"/>
    <w:rsid w:val="0019494E"/>
    <w:rsid w:val="001A0BE4"/>
    <w:rsid w:val="001A2518"/>
    <w:rsid w:val="001A6ADB"/>
    <w:rsid w:val="001A78F7"/>
    <w:rsid w:val="001B0535"/>
    <w:rsid w:val="001B21F8"/>
    <w:rsid w:val="001B38CA"/>
    <w:rsid w:val="001B490E"/>
    <w:rsid w:val="001C0D52"/>
    <w:rsid w:val="001C1400"/>
    <w:rsid w:val="001C184C"/>
    <w:rsid w:val="001C1B10"/>
    <w:rsid w:val="001D0BE8"/>
    <w:rsid w:val="001D1B0B"/>
    <w:rsid w:val="001D43B7"/>
    <w:rsid w:val="001D7280"/>
    <w:rsid w:val="001D798C"/>
    <w:rsid w:val="001E09F3"/>
    <w:rsid w:val="001E1191"/>
    <w:rsid w:val="001E40BC"/>
    <w:rsid w:val="001E49F7"/>
    <w:rsid w:val="001E52B0"/>
    <w:rsid w:val="001E5737"/>
    <w:rsid w:val="001E6041"/>
    <w:rsid w:val="001E7233"/>
    <w:rsid w:val="001F0541"/>
    <w:rsid w:val="001F1029"/>
    <w:rsid w:val="001F4C55"/>
    <w:rsid w:val="001F4F15"/>
    <w:rsid w:val="001F5228"/>
    <w:rsid w:val="001F5CAC"/>
    <w:rsid w:val="001F5DBB"/>
    <w:rsid w:val="001F7ACE"/>
    <w:rsid w:val="001F7F17"/>
    <w:rsid w:val="00201FB2"/>
    <w:rsid w:val="00204469"/>
    <w:rsid w:val="00210A5E"/>
    <w:rsid w:val="00211F50"/>
    <w:rsid w:val="0021635C"/>
    <w:rsid w:val="0022078A"/>
    <w:rsid w:val="00220918"/>
    <w:rsid w:val="002252CC"/>
    <w:rsid w:val="00230E88"/>
    <w:rsid w:val="0023245E"/>
    <w:rsid w:val="00233EFD"/>
    <w:rsid w:val="00234F69"/>
    <w:rsid w:val="00235A25"/>
    <w:rsid w:val="00235E19"/>
    <w:rsid w:val="00236DBF"/>
    <w:rsid w:val="00237477"/>
    <w:rsid w:val="002414D5"/>
    <w:rsid w:val="00241F22"/>
    <w:rsid w:val="0024294D"/>
    <w:rsid w:val="00242B94"/>
    <w:rsid w:val="0024340B"/>
    <w:rsid w:val="00244D38"/>
    <w:rsid w:val="002452AB"/>
    <w:rsid w:val="00245E7D"/>
    <w:rsid w:val="00246B35"/>
    <w:rsid w:val="002554DB"/>
    <w:rsid w:val="00266F7E"/>
    <w:rsid w:val="00271A2B"/>
    <w:rsid w:val="0027576F"/>
    <w:rsid w:val="00275B40"/>
    <w:rsid w:val="002774B4"/>
    <w:rsid w:val="00280886"/>
    <w:rsid w:val="0028208E"/>
    <w:rsid w:val="00282520"/>
    <w:rsid w:val="0028291B"/>
    <w:rsid w:val="002834CC"/>
    <w:rsid w:val="002835A4"/>
    <w:rsid w:val="0028452E"/>
    <w:rsid w:val="00284745"/>
    <w:rsid w:val="00284779"/>
    <w:rsid w:val="00286BC3"/>
    <w:rsid w:val="00293FF8"/>
    <w:rsid w:val="002948B2"/>
    <w:rsid w:val="00296495"/>
    <w:rsid w:val="002A114A"/>
    <w:rsid w:val="002A3BA1"/>
    <w:rsid w:val="002A7EA5"/>
    <w:rsid w:val="002A7EC7"/>
    <w:rsid w:val="002B0127"/>
    <w:rsid w:val="002B512C"/>
    <w:rsid w:val="002B5C1B"/>
    <w:rsid w:val="002B5C79"/>
    <w:rsid w:val="002B5CF7"/>
    <w:rsid w:val="002B6E86"/>
    <w:rsid w:val="002B73C9"/>
    <w:rsid w:val="002B7EC1"/>
    <w:rsid w:val="002C1D4D"/>
    <w:rsid w:val="002C3E42"/>
    <w:rsid w:val="002C52A3"/>
    <w:rsid w:val="002C534F"/>
    <w:rsid w:val="002C542A"/>
    <w:rsid w:val="002C5DEE"/>
    <w:rsid w:val="002C7CC1"/>
    <w:rsid w:val="002D0CC7"/>
    <w:rsid w:val="002D1AE8"/>
    <w:rsid w:val="002D1B58"/>
    <w:rsid w:val="002D20DB"/>
    <w:rsid w:val="002D2656"/>
    <w:rsid w:val="002D2B78"/>
    <w:rsid w:val="002D432C"/>
    <w:rsid w:val="002D434E"/>
    <w:rsid w:val="002D71AC"/>
    <w:rsid w:val="002D72A1"/>
    <w:rsid w:val="002E2814"/>
    <w:rsid w:val="002E3B6F"/>
    <w:rsid w:val="002E59D3"/>
    <w:rsid w:val="002E7F76"/>
    <w:rsid w:val="002F2605"/>
    <w:rsid w:val="002F3CEA"/>
    <w:rsid w:val="002F499E"/>
    <w:rsid w:val="002F6A45"/>
    <w:rsid w:val="002F701E"/>
    <w:rsid w:val="00300578"/>
    <w:rsid w:val="00302130"/>
    <w:rsid w:val="00304447"/>
    <w:rsid w:val="00305E1C"/>
    <w:rsid w:val="00306B5C"/>
    <w:rsid w:val="00306EE5"/>
    <w:rsid w:val="0030730B"/>
    <w:rsid w:val="0031032A"/>
    <w:rsid w:val="00310532"/>
    <w:rsid w:val="00310D21"/>
    <w:rsid w:val="00310FF8"/>
    <w:rsid w:val="003110C0"/>
    <w:rsid w:val="003152D7"/>
    <w:rsid w:val="00317185"/>
    <w:rsid w:val="003202F5"/>
    <w:rsid w:val="003209C1"/>
    <w:rsid w:val="003209C4"/>
    <w:rsid w:val="003238FA"/>
    <w:rsid w:val="00323CA2"/>
    <w:rsid w:val="00325664"/>
    <w:rsid w:val="00325C01"/>
    <w:rsid w:val="00326FDC"/>
    <w:rsid w:val="0033029F"/>
    <w:rsid w:val="00332649"/>
    <w:rsid w:val="003327B1"/>
    <w:rsid w:val="003331C8"/>
    <w:rsid w:val="00334828"/>
    <w:rsid w:val="003356CD"/>
    <w:rsid w:val="003356F2"/>
    <w:rsid w:val="00340A4D"/>
    <w:rsid w:val="00340AFB"/>
    <w:rsid w:val="0034162A"/>
    <w:rsid w:val="0034184A"/>
    <w:rsid w:val="003419E4"/>
    <w:rsid w:val="003471CF"/>
    <w:rsid w:val="003524EE"/>
    <w:rsid w:val="00352BEA"/>
    <w:rsid w:val="00353B55"/>
    <w:rsid w:val="003626FF"/>
    <w:rsid w:val="00371B28"/>
    <w:rsid w:val="00372A1D"/>
    <w:rsid w:val="00375169"/>
    <w:rsid w:val="00380075"/>
    <w:rsid w:val="00384794"/>
    <w:rsid w:val="00386DCE"/>
    <w:rsid w:val="00387F76"/>
    <w:rsid w:val="003904FF"/>
    <w:rsid w:val="003947FF"/>
    <w:rsid w:val="00394D72"/>
    <w:rsid w:val="00395899"/>
    <w:rsid w:val="003978FE"/>
    <w:rsid w:val="00397E6F"/>
    <w:rsid w:val="003A580A"/>
    <w:rsid w:val="003A68D9"/>
    <w:rsid w:val="003B13DD"/>
    <w:rsid w:val="003B43ED"/>
    <w:rsid w:val="003B7C79"/>
    <w:rsid w:val="003C1929"/>
    <w:rsid w:val="003C4245"/>
    <w:rsid w:val="003C4338"/>
    <w:rsid w:val="003C5938"/>
    <w:rsid w:val="003C713C"/>
    <w:rsid w:val="003D0BDF"/>
    <w:rsid w:val="003D14D5"/>
    <w:rsid w:val="003D17CC"/>
    <w:rsid w:val="003D1B20"/>
    <w:rsid w:val="003D465F"/>
    <w:rsid w:val="003D54EE"/>
    <w:rsid w:val="003D581C"/>
    <w:rsid w:val="003D605C"/>
    <w:rsid w:val="003D6B41"/>
    <w:rsid w:val="003E030F"/>
    <w:rsid w:val="003E1398"/>
    <w:rsid w:val="003E5257"/>
    <w:rsid w:val="003E763F"/>
    <w:rsid w:val="003F10B9"/>
    <w:rsid w:val="003F1275"/>
    <w:rsid w:val="003F39BD"/>
    <w:rsid w:val="003F5629"/>
    <w:rsid w:val="003F7083"/>
    <w:rsid w:val="003F708D"/>
    <w:rsid w:val="00401250"/>
    <w:rsid w:val="00402B0A"/>
    <w:rsid w:val="00403305"/>
    <w:rsid w:val="00403FF6"/>
    <w:rsid w:val="00413771"/>
    <w:rsid w:val="004137CE"/>
    <w:rsid w:val="00414E00"/>
    <w:rsid w:val="0041775C"/>
    <w:rsid w:val="00421109"/>
    <w:rsid w:val="00424B9F"/>
    <w:rsid w:val="004315C5"/>
    <w:rsid w:val="00432371"/>
    <w:rsid w:val="00432C15"/>
    <w:rsid w:val="00433496"/>
    <w:rsid w:val="00434C10"/>
    <w:rsid w:val="00435C23"/>
    <w:rsid w:val="00435EA4"/>
    <w:rsid w:val="0044153B"/>
    <w:rsid w:val="004459B4"/>
    <w:rsid w:val="00446588"/>
    <w:rsid w:val="00446C9B"/>
    <w:rsid w:val="00447A91"/>
    <w:rsid w:val="0045232C"/>
    <w:rsid w:val="00453D76"/>
    <w:rsid w:val="00453FF9"/>
    <w:rsid w:val="00456104"/>
    <w:rsid w:val="0046089D"/>
    <w:rsid w:val="00462502"/>
    <w:rsid w:val="004643E4"/>
    <w:rsid w:val="00464EEE"/>
    <w:rsid w:val="00465D40"/>
    <w:rsid w:val="0046612B"/>
    <w:rsid w:val="0047411C"/>
    <w:rsid w:val="00475058"/>
    <w:rsid w:val="00475534"/>
    <w:rsid w:val="00475E77"/>
    <w:rsid w:val="004807E2"/>
    <w:rsid w:val="00484E2D"/>
    <w:rsid w:val="00485EE3"/>
    <w:rsid w:val="00486081"/>
    <w:rsid w:val="004906E6"/>
    <w:rsid w:val="00494006"/>
    <w:rsid w:val="004946B7"/>
    <w:rsid w:val="00495D93"/>
    <w:rsid w:val="004A086C"/>
    <w:rsid w:val="004A0F9C"/>
    <w:rsid w:val="004A1150"/>
    <w:rsid w:val="004A21CA"/>
    <w:rsid w:val="004A2C96"/>
    <w:rsid w:val="004A456D"/>
    <w:rsid w:val="004A46E9"/>
    <w:rsid w:val="004A4844"/>
    <w:rsid w:val="004A5792"/>
    <w:rsid w:val="004A59D5"/>
    <w:rsid w:val="004A639B"/>
    <w:rsid w:val="004A64EF"/>
    <w:rsid w:val="004A7664"/>
    <w:rsid w:val="004A7B12"/>
    <w:rsid w:val="004A7E78"/>
    <w:rsid w:val="004B1498"/>
    <w:rsid w:val="004B472C"/>
    <w:rsid w:val="004B4A4C"/>
    <w:rsid w:val="004C0E3C"/>
    <w:rsid w:val="004C163C"/>
    <w:rsid w:val="004C2BDB"/>
    <w:rsid w:val="004C4D95"/>
    <w:rsid w:val="004C514A"/>
    <w:rsid w:val="004C5181"/>
    <w:rsid w:val="004C5F1D"/>
    <w:rsid w:val="004C7117"/>
    <w:rsid w:val="004C741F"/>
    <w:rsid w:val="004D0D98"/>
    <w:rsid w:val="004D0F24"/>
    <w:rsid w:val="004D2C7C"/>
    <w:rsid w:val="004D321E"/>
    <w:rsid w:val="004D3D01"/>
    <w:rsid w:val="004E03E2"/>
    <w:rsid w:val="004E07BB"/>
    <w:rsid w:val="004E5FED"/>
    <w:rsid w:val="004E657E"/>
    <w:rsid w:val="004E78AE"/>
    <w:rsid w:val="004F11DA"/>
    <w:rsid w:val="004F17BF"/>
    <w:rsid w:val="004F1CD8"/>
    <w:rsid w:val="004F2C4C"/>
    <w:rsid w:val="004F5562"/>
    <w:rsid w:val="004F63E8"/>
    <w:rsid w:val="004F744E"/>
    <w:rsid w:val="004F7AB9"/>
    <w:rsid w:val="00500524"/>
    <w:rsid w:val="00500B5D"/>
    <w:rsid w:val="00502DA6"/>
    <w:rsid w:val="00505ABD"/>
    <w:rsid w:val="00507458"/>
    <w:rsid w:val="005106CB"/>
    <w:rsid w:val="005107DF"/>
    <w:rsid w:val="005118FA"/>
    <w:rsid w:val="005150CF"/>
    <w:rsid w:val="005176C0"/>
    <w:rsid w:val="0051772F"/>
    <w:rsid w:val="005179F9"/>
    <w:rsid w:val="00520D35"/>
    <w:rsid w:val="00521495"/>
    <w:rsid w:val="00521956"/>
    <w:rsid w:val="00522132"/>
    <w:rsid w:val="00522967"/>
    <w:rsid w:val="00522E94"/>
    <w:rsid w:val="00527181"/>
    <w:rsid w:val="005300AD"/>
    <w:rsid w:val="00530B3A"/>
    <w:rsid w:val="005374BC"/>
    <w:rsid w:val="00540373"/>
    <w:rsid w:val="00540AD4"/>
    <w:rsid w:val="00547039"/>
    <w:rsid w:val="005556E3"/>
    <w:rsid w:val="0055715B"/>
    <w:rsid w:val="00560AC0"/>
    <w:rsid w:val="00560C75"/>
    <w:rsid w:val="00561210"/>
    <w:rsid w:val="0056224D"/>
    <w:rsid w:val="0056315C"/>
    <w:rsid w:val="00564E59"/>
    <w:rsid w:val="005669E1"/>
    <w:rsid w:val="00577CD5"/>
    <w:rsid w:val="005834AD"/>
    <w:rsid w:val="00584BD4"/>
    <w:rsid w:val="00591B94"/>
    <w:rsid w:val="00592617"/>
    <w:rsid w:val="0059473F"/>
    <w:rsid w:val="00595AC7"/>
    <w:rsid w:val="00596344"/>
    <w:rsid w:val="00596C23"/>
    <w:rsid w:val="005975F2"/>
    <w:rsid w:val="005A1616"/>
    <w:rsid w:val="005A292C"/>
    <w:rsid w:val="005A2E46"/>
    <w:rsid w:val="005A37B5"/>
    <w:rsid w:val="005A435C"/>
    <w:rsid w:val="005A5556"/>
    <w:rsid w:val="005B088A"/>
    <w:rsid w:val="005B1C65"/>
    <w:rsid w:val="005B47AE"/>
    <w:rsid w:val="005B7B10"/>
    <w:rsid w:val="005C07A5"/>
    <w:rsid w:val="005C0F63"/>
    <w:rsid w:val="005C1D09"/>
    <w:rsid w:val="005C1D47"/>
    <w:rsid w:val="005C575F"/>
    <w:rsid w:val="005C5C46"/>
    <w:rsid w:val="005D15AA"/>
    <w:rsid w:val="005D1A26"/>
    <w:rsid w:val="005D336D"/>
    <w:rsid w:val="005D5B3A"/>
    <w:rsid w:val="005D6E1C"/>
    <w:rsid w:val="005D707D"/>
    <w:rsid w:val="005E3180"/>
    <w:rsid w:val="005E47A7"/>
    <w:rsid w:val="005E75E6"/>
    <w:rsid w:val="005F01D5"/>
    <w:rsid w:val="005F15DD"/>
    <w:rsid w:val="005F21EC"/>
    <w:rsid w:val="005F550D"/>
    <w:rsid w:val="005F63B2"/>
    <w:rsid w:val="005F75CF"/>
    <w:rsid w:val="00601DFE"/>
    <w:rsid w:val="00606662"/>
    <w:rsid w:val="00615385"/>
    <w:rsid w:val="006158F3"/>
    <w:rsid w:val="00615D02"/>
    <w:rsid w:val="00616A5C"/>
    <w:rsid w:val="006208A6"/>
    <w:rsid w:val="006242DD"/>
    <w:rsid w:val="00625A5B"/>
    <w:rsid w:val="00625ED4"/>
    <w:rsid w:val="00626B91"/>
    <w:rsid w:val="00626B9A"/>
    <w:rsid w:val="0063192E"/>
    <w:rsid w:val="006321AB"/>
    <w:rsid w:val="006337CD"/>
    <w:rsid w:val="0063434A"/>
    <w:rsid w:val="00635656"/>
    <w:rsid w:val="00635D1D"/>
    <w:rsid w:val="00637B5E"/>
    <w:rsid w:val="00640F01"/>
    <w:rsid w:val="00641FCD"/>
    <w:rsid w:val="006423BA"/>
    <w:rsid w:val="0064246F"/>
    <w:rsid w:val="0064416F"/>
    <w:rsid w:val="00645E83"/>
    <w:rsid w:val="006460D1"/>
    <w:rsid w:val="006469DE"/>
    <w:rsid w:val="00650214"/>
    <w:rsid w:val="00651BA4"/>
    <w:rsid w:val="006529A2"/>
    <w:rsid w:val="006557DE"/>
    <w:rsid w:val="00655F55"/>
    <w:rsid w:val="006575AA"/>
    <w:rsid w:val="00660BD0"/>
    <w:rsid w:val="00661EF6"/>
    <w:rsid w:val="00661F84"/>
    <w:rsid w:val="006738CF"/>
    <w:rsid w:val="00676BA9"/>
    <w:rsid w:val="006806E6"/>
    <w:rsid w:val="00680E8D"/>
    <w:rsid w:val="00684B97"/>
    <w:rsid w:val="00685222"/>
    <w:rsid w:val="00685B2B"/>
    <w:rsid w:val="00691665"/>
    <w:rsid w:val="00692EC0"/>
    <w:rsid w:val="00695CDF"/>
    <w:rsid w:val="006A1E1A"/>
    <w:rsid w:val="006A28C6"/>
    <w:rsid w:val="006A336D"/>
    <w:rsid w:val="006A4D27"/>
    <w:rsid w:val="006A62D7"/>
    <w:rsid w:val="006A6434"/>
    <w:rsid w:val="006B0769"/>
    <w:rsid w:val="006B1013"/>
    <w:rsid w:val="006B1CCF"/>
    <w:rsid w:val="006B3558"/>
    <w:rsid w:val="006B5DB4"/>
    <w:rsid w:val="006B67E0"/>
    <w:rsid w:val="006B7E2F"/>
    <w:rsid w:val="006C51F0"/>
    <w:rsid w:val="006C5F2F"/>
    <w:rsid w:val="006D07EE"/>
    <w:rsid w:val="006D15C0"/>
    <w:rsid w:val="006D33FA"/>
    <w:rsid w:val="006D35FD"/>
    <w:rsid w:val="006D3A61"/>
    <w:rsid w:val="006D41F0"/>
    <w:rsid w:val="006D429C"/>
    <w:rsid w:val="006D7143"/>
    <w:rsid w:val="006D75D5"/>
    <w:rsid w:val="006D7613"/>
    <w:rsid w:val="006E2733"/>
    <w:rsid w:val="006E4E68"/>
    <w:rsid w:val="006E4F7D"/>
    <w:rsid w:val="006E536C"/>
    <w:rsid w:val="006E7A53"/>
    <w:rsid w:val="006E7DA0"/>
    <w:rsid w:val="006F1B2E"/>
    <w:rsid w:val="006F488C"/>
    <w:rsid w:val="006F56B1"/>
    <w:rsid w:val="00701111"/>
    <w:rsid w:val="0070111A"/>
    <w:rsid w:val="00701BC4"/>
    <w:rsid w:val="007025BA"/>
    <w:rsid w:val="00703EAC"/>
    <w:rsid w:val="00711A6A"/>
    <w:rsid w:val="00712ECE"/>
    <w:rsid w:val="00716E2B"/>
    <w:rsid w:val="00720DB9"/>
    <w:rsid w:val="00722488"/>
    <w:rsid w:val="007231C3"/>
    <w:rsid w:val="00723CAA"/>
    <w:rsid w:val="00724656"/>
    <w:rsid w:val="00725D4F"/>
    <w:rsid w:val="00731D0E"/>
    <w:rsid w:val="007323B5"/>
    <w:rsid w:val="0073245D"/>
    <w:rsid w:val="00733461"/>
    <w:rsid w:val="007338F0"/>
    <w:rsid w:val="00733C78"/>
    <w:rsid w:val="007348B7"/>
    <w:rsid w:val="00734C86"/>
    <w:rsid w:val="00740497"/>
    <w:rsid w:val="00743786"/>
    <w:rsid w:val="00746FC9"/>
    <w:rsid w:val="0074794E"/>
    <w:rsid w:val="00750AF5"/>
    <w:rsid w:val="00751397"/>
    <w:rsid w:val="0075255E"/>
    <w:rsid w:val="00755861"/>
    <w:rsid w:val="007569EE"/>
    <w:rsid w:val="00757CBB"/>
    <w:rsid w:val="00761A36"/>
    <w:rsid w:val="00762596"/>
    <w:rsid w:val="007636B4"/>
    <w:rsid w:val="00764585"/>
    <w:rsid w:val="0076622C"/>
    <w:rsid w:val="007708B1"/>
    <w:rsid w:val="007713E3"/>
    <w:rsid w:val="007726B4"/>
    <w:rsid w:val="00773BC6"/>
    <w:rsid w:val="007806EA"/>
    <w:rsid w:val="00782A8B"/>
    <w:rsid w:val="007866D4"/>
    <w:rsid w:val="00790AA7"/>
    <w:rsid w:val="00791EE8"/>
    <w:rsid w:val="00792CAE"/>
    <w:rsid w:val="00793AC8"/>
    <w:rsid w:val="007941CD"/>
    <w:rsid w:val="00796E2C"/>
    <w:rsid w:val="007A10B3"/>
    <w:rsid w:val="007A191E"/>
    <w:rsid w:val="007A4201"/>
    <w:rsid w:val="007A4280"/>
    <w:rsid w:val="007A5790"/>
    <w:rsid w:val="007B0549"/>
    <w:rsid w:val="007B401B"/>
    <w:rsid w:val="007B4612"/>
    <w:rsid w:val="007C0F14"/>
    <w:rsid w:val="007C103C"/>
    <w:rsid w:val="007C2549"/>
    <w:rsid w:val="007C25CD"/>
    <w:rsid w:val="007C3108"/>
    <w:rsid w:val="007C4CC6"/>
    <w:rsid w:val="007D5B7A"/>
    <w:rsid w:val="007D78FD"/>
    <w:rsid w:val="007E1798"/>
    <w:rsid w:val="007E21CC"/>
    <w:rsid w:val="007E2542"/>
    <w:rsid w:val="007E4802"/>
    <w:rsid w:val="007F1AED"/>
    <w:rsid w:val="007F2040"/>
    <w:rsid w:val="007F214A"/>
    <w:rsid w:val="007F222D"/>
    <w:rsid w:val="007F32E2"/>
    <w:rsid w:val="007F36E4"/>
    <w:rsid w:val="007F3776"/>
    <w:rsid w:val="007F500D"/>
    <w:rsid w:val="007F7459"/>
    <w:rsid w:val="007F7623"/>
    <w:rsid w:val="00800897"/>
    <w:rsid w:val="0080237D"/>
    <w:rsid w:val="00803C7B"/>
    <w:rsid w:val="008062C2"/>
    <w:rsid w:val="00806FFD"/>
    <w:rsid w:val="008072A4"/>
    <w:rsid w:val="008133AD"/>
    <w:rsid w:val="008141C6"/>
    <w:rsid w:val="00815AD2"/>
    <w:rsid w:val="00816E85"/>
    <w:rsid w:val="00821043"/>
    <w:rsid w:val="00821CA0"/>
    <w:rsid w:val="00823DA1"/>
    <w:rsid w:val="008246F5"/>
    <w:rsid w:val="0082474D"/>
    <w:rsid w:val="00824D5C"/>
    <w:rsid w:val="00827DB2"/>
    <w:rsid w:val="00831549"/>
    <w:rsid w:val="00832F98"/>
    <w:rsid w:val="00834493"/>
    <w:rsid w:val="00834956"/>
    <w:rsid w:val="00834B1C"/>
    <w:rsid w:val="008356BD"/>
    <w:rsid w:val="00836DCF"/>
    <w:rsid w:val="00842D47"/>
    <w:rsid w:val="00844BDF"/>
    <w:rsid w:val="00846C25"/>
    <w:rsid w:val="0084774D"/>
    <w:rsid w:val="0085073E"/>
    <w:rsid w:val="00850C43"/>
    <w:rsid w:val="00852AA6"/>
    <w:rsid w:val="00853AD8"/>
    <w:rsid w:val="00860524"/>
    <w:rsid w:val="00860CD1"/>
    <w:rsid w:val="008628B3"/>
    <w:rsid w:val="008638BA"/>
    <w:rsid w:val="00864055"/>
    <w:rsid w:val="00865686"/>
    <w:rsid w:val="00866A0B"/>
    <w:rsid w:val="00866B3F"/>
    <w:rsid w:val="008714AC"/>
    <w:rsid w:val="00874683"/>
    <w:rsid w:val="00882477"/>
    <w:rsid w:val="008826E6"/>
    <w:rsid w:val="00882D8D"/>
    <w:rsid w:val="008834C1"/>
    <w:rsid w:val="00886C5F"/>
    <w:rsid w:val="00897837"/>
    <w:rsid w:val="008A189B"/>
    <w:rsid w:val="008A3EBD"/>
    <w:rsid w:val="008A6645"/>
    <w:rsid w:val="008A74E2"/>
    <w:rsid w:val="008A78A7"/>
    <w:rsid w:val="008B11F2"/>
    <w:rsid w:val="008B32F6"/>
    <w:rsid w:val="008B5A7C"/>
    <w:rsid w:val="008B7A5B"/>
    <w:rsid w:val="008C08CD"/>
    <w:rsid w:val="008C1E3C"/>
    <w:rsid w:val="008C4B35"/>
    <w:rsid w:val="008C4F40"/>
    <w:rsid w:val="008D7B1E"/>
    <w:rsid w:val="008E0CC9"/>
    <w:rsid w:val="008E15FB"/>
    <w:rsid w:val="008E3976"/>
    <w:rsid w:val="008E5F26"/>
    <w:rsid w:val="008E66EE"/>
    <w:rsid w:val="008F0D21"/>
    <w:rsid w:val="008F0E2B"/>
    <w:rsid w:val="008F16E1"/>
    <w:rsid w:val="008F3CED"/>
    <w:rsid w:val="008F655D"/>
    <w:rsid w:val="00901B61"/>
    <w:rsid w:val="00903143"/>
    <w:rsid w:val="00903AE6"/>
    <w:rsid w:val="00904971"/>
    <w:rsid w:val="00905988"/>
    <w:rsid w:val="00906F39"/>
    <w:rsid w:val="009130CC"/>
    <w:rsid w:val="00913D3A"/>
    <w:rsid w:val="00913F81"/>
    <w:rsid w:val="00914FE7"/>
    <w:rsid w:val="00916660"/>
    <w:rsid w:val="00917924"/>
    <w:rsid w:val="00922219"/>
    <w:rsid w:val="0092324B"/>
    <w:rsid w:val="009240E0"/>
    <w:rsid w:val="00924963"/>
    <w:rsid w:val="00924ABF"/>
    <w:rsid w:val="00924B53"/>
    <w:rsid w:val="0092544A"/>
    <w:rsid w:val="009258E6"/>
    <w:rsid w:val="00933DE5"/>
    <w:rsid w:val="009356CF"/>
    <w:rsid w:val="00937C77"/>
    <w:rsid w:val="009405EC"/>
    <w:rsid w:val="009421BF"/>
    <w:rsid w:val="0094419B"/>
    <w:rsid w:val="00944EAE"/>
    <w:rsid w:val="00945856"/>
    <w:rsid w:val="00947C8F"/>
    <w:rsid w:val="00950DE8"/>
    <w:rsid w:val="00951297"/>
    <w:rsid w:val="009529E4"/>
    <w:rsid w:val="009536E1"/>
    <w:rsid w:val="00955027"/>
    <w:rsid w:val="00956FA6"/>
    <w:rsid w:val="00960838"/>
    <w:rsid w:val="009620D8"/>
    <w:rsid w:val="00962D12"/>
    <w:rsid w:val="00966136"/>
    <w:rsid w:val="0096635A"/>
    <w:rsid w:val="009673F8"/>
    <w:rsid w:val="0097007B"/>
    <w:rsid w:val="00970186"/>
    <w:rsid w:val="009710BC"/>
    <w:rsid w:val="00972AEE"/>
    <w:rsid w:val="009771F8"/>
    <w:rsid w:val="0098140B"/>
    <w:rsid w:val="009817B2"/>
    <w:rsid w:val="00981BB5"/>
    <w:rsid w:val="009821EA"/>
    <w:rsid w:val="009843B8"/>
    <w:rsid w:val="00984991"/>
    <w:rsid w:val="0098633C"/>
    <w:rsid w:val="009874D2"/>
    <w:rsid w:val="009879B6"/>
    <w:rsid w:val="009902CC"/>
    <w:rsid w:val="0099138A"/>
    <w:rsid w:val="00991D8D"/>
    <w:rsid w:val="00992CCF"/>
    <w:rsid w:val="009949A2"/>
    <w:rsid w:val="0099656C"/>
    <w:rsid w:val="00997BCF"/>
    <w:rsid w:val="009A0EA5"/>
    <w:rsid w:val="009A1698"/>
    <w:rsid w:val="009A1B4F"/>
    <w:rsid w:val="009A2B8E"/>
    <w:rsid w:val="009A3818"/>
    <w:rsid w:val="009A4ED5"/>
    <w:rsid w:val="009A54CC"/>
    <w:rsid w:val="009A6602"/>
    <w:rsid w:val="009A69EE"/>
    <w:rsid w:val="009A767D"/>
    <w:rsid w:val="009B3963"/>
    <w:rsid w:val="009B409E"/>
    <w:rsid w:val="009C1BCE"/>
    <w:rsid w:val="009C725A"/>
    <w:rsid w:val="009D046F"/>
    <w:rsid w:val="009D08CF"/>
    <w:rsid w:val="009D4012"/>
    <w:rsid w:val="009D489D"/>
    <w:rsid w:val="009D55A1"/>
    <w:rsid w:val="009E042B"/>
    <w:rsid w:val="009E5EE0"/>
    <w:rsid w:val="009E74ED"/>
    <w:rsid w:val="009F1AD9"/>
    <w:rsid w:val="009F201B"/>
    <w:rsid w:val="009F35F8"/>
    <w:rsid w:val="009F3FE6"/>
    <w:rsid w:val="00A017B1"/>
    <w:rsid w:val="00A03872"/>
    <w:rsid w:val="00A07581"/>
    <w:rsid w:val="00A07661"/>
    <w:rsid w:val="00A12C78"/>
    <w:rsid w:val="00A143DF"/>
    <w:rsid w:val="00A166BD"/>
    <w:rsid w:val="00A216B5"/>
    <w:rsid w:val="00A23A8B"/>
    <w:rsid w:val="00A241CF"/>
    <w:rsid w:val="00A241FB"/>
    <w:rsid w:val="00A249B0"/>
    <w:rsid w:val="00A249B9"/>
    <w:rsid w:val="00A2557B"/>
    <w:rsid w:val="00A26A2E"/>
    <w:rsid w:val="00A26B4E"/>
    <w:rsid w:val="00A327C9"/>
    <w:rsid w:val="00A3384C"/>
    <w:rsid w:val="00A34457"/>
    <w:rsid w:val="00A349C3"/>
    <w:rsid w:val="00A34AE7"/>
    <w:rsid w:val="00A40217"/>
    <w:rsid w:val="00A4376A"/>
    <w:rsid w:val="00A44A94"/>
    <w:rsid w:val="00A44F13"/>
    <w:rsid w:val="00A4531F"/>
    <w:rsid w:val="00A4582D"/>
    <w:rsid w:val="00A46B87"/>
    <w:rsid w:val="00A52280"/>
    <w:rsid w:val="00A54F3F"/>
    <w:rsid w:val="00A61140"/>
    <w:rsid w:val="00A62139"/>
    <w:rsid w:val="00A625C1"/>
    <w:rsid w:val="00A63037"/>
    <w:rsid w:val="00A709F4"/>
    <w:rsid w:val="00A70D12"/>
    <w:rsid w:val="00A72E12"/>
    <w:rsid w:val="00A73350"/>
    <w:rsid w:val="00A7433E"/>
    <w:rsid w:val="00A817AA"/>
    <w:rsid w:val="00A825E9"/>
    <w:rsid w:val="00A82D09"/>
    <w:rsid w:val="00A83FBD"/>
    <w:rsid w:val="00A85E77"/>
    <w:rsid w:val="00A8625D"/>
    <w:rsid w:val="00A900AA"/>
    <w:rsid w:val="00A91059"/>
    <w:rsid w:val="00A92DE1"/>
    <w:rsid w:val="00A94FA7"/>
    <w:rsid w:val="00A96EBC"/>
    <w:rsid w:val="00A9747A"/>
    <w:rsid w:val="00A97AB8"/>
    <w:rsid w:val="00AA251B"/>
    <w:rsid w:val="00AA2548"/>
    <w:rsid w:val="00AA3FF7"/>
    <w:rsid w:val="00AA6291"/>
    <w:rsid w:val="00AA7C46"/>
    <w:rsid w:val="00AB12AE"/>
    <w:rsid w:val="00AB264C"/>
    <w:rsid w:val="00AB3AD7"/>
    <w:rsid w:val="00AB7264"/>
    <w:rsid w:val="00AC1717"/>
    <w:rsid w:val="00AC2C7C"/>
    <w:rsid w:val="00AC45C4"/>
    <w:rsid w:val="00AC4A9A"/>
    <w:rsid w:val="00AD0245"/>
    <w:rsid w:val="00AD258F"/>
    <w:rsid w:val="00AD3F4F"/>
    <w:rsid w:val="00AD4235"/>
    <w:rsid w:val="00AD7528"/>
    <w:rsid w:val="00AD7B95"/>
    <w:rsid w:val="00AD7C01"/>
    <w:rsid w:val="00AE1DEF"/>
    <w:rsid w:val="00AE3151"/>
    <w:rsid w:val="00AE3254"/>
    <w:rsid w:val="00AE4D14"/>
    <w:rsid w:val="00AE4E87"/>
    <w:rsid w:val="00AE6E44"/>
    <w:rsid w:val="00AE7791"/>
    <w:rsid w:val="00AE78E3"/>
    <w:rsid w:val="00AF189F"/>
    <w:rsid w:val="00AF23A4"/>
    <w:rsid w:val="00AF28CA"/>
    <w:rsid w:val="00AF3253"/>
    <w:rsid w:val="00AF6541"/>
    <w:rsid w:val="00AF6DF7"/>
    <w:rsid w:val="00AF7C12"/>
    <w:rsid w:val="00B00746"/>
    <w:rsid w:val="00B00D37"/>
    <w:rsid w:val="00B01517"/>
    <w:rsid w:val="00B028E2"/>
    <w:rsid w:val="00B069EB"/>
    <w:rsid w:val="00B129FD"/>
    <w:rsid w:val="00B14329"/>
    <w:rsid w:val="00B14426"/>
    <w:rsid w:val="00B16706"/>
    <w:rsid w:val="00B20E6E"/>
    <w:rsid w:val="00B23AD0"/>
    <w:rsid w:val="00B2401F"/>
    <w:rsid w:val="00B265EE"/>
    <w:rsid w:val="00B26CED"/>
    <w:rsid w:val="00B27DEB"/>
    <w:rsid w:val="00B31FB5"/>
    <w:rsid w:val="00B32259"/>
    <w:rsid w:val="00B3257E"/>
    <w:rsid w:val="00B37694"/>
    <w:rsid w:val="00B37BA4"/>
    <w:rsid w:val="00B4099A"/>
    <w:rsid w:val="00B40F39"/>
    <w:rsid w:val="00B4314A"/>
    <w:rsid w:val="00B43DD5"/>
    <w:rsid w:val="00B448D8"/>
    <w:rsid w:val="00B457C9"/>
    <w:rsid w:val="00B5007B"/>
    <w:rsid w:val="00B50C50"/>
    <w:rsid w:val="00B50D95"/>
    <w:rsid w:val="00B51339"/>
    <w:rsid w:val="00B61D74"/>
    <w:rsid w:val="00B62821"/>
    <w:rsid w:val="00B64058"/>
    <w:rsid w:val="00B6466E"/>
    <w:rsid w:val="00B65006"/>
    <w:rsid w:val="00B66E01"/>
    <w:rsid w:val="00B6787E"/>
    <w:rsid w:val="00B70A66"/>
    <w:rsid w:val="00B71AEC"/>
    <w:rsid w:val="00B74349"/>
    <w:rsid w:val="00B755F6"/>
    <w:rsid w:val="00B76031"/>
    <w:rsid w:val="00B80CFB"/>
    <w:rsid w:val="00B82475"/>
    <w:rsid w:val="00B82BE8"/>
    <w:rsid w:val="00B833D9"/>
    <w:rsid w:val="00B83754"/>
    <w:rsid w:val="00B8468D"/>
    <w:rsid w:val="00B84E50"/>
    <w:rsid w:val="00B85656"/>
    <w:rsid w:val="00B8729D"/>
    <w:rsid w:val="00B91113"/>
    <w:rsid w:val="00B9331A"/>
    <w:rsid w:val="00B93385"/>
    <w:rsid w:val="00B962AD"/>
    <w:rsid w:val="00B97591"/>
    <w:rsid w:val="00BA0D6C"/>
    <w:rsid w:val="00BA0D9E"/>
    <w:rsid w:val="00BA2486"/>
    <w:rsid w:val="00BA61D5"/>
    <w:rsid w:val="00BA6758"/>
    <w:rsid w:val="00BA7C9A"/>
    <w:rsid w:val="00BB41A1"/>
    <w:rsid w:val="00BB41DC"/>
    <w:rsid w:val="00BB45DF"/>
    <w:rsid w:val="00BB467C"/>
    <w:rsid w:val="00BB78C2"/>
    <w:rsid w:val="00BB7F57"/>
    <w:rsid w:val="00BB7FB2"/>
    <w:rsid w:val="00BC15B8"/>
    <w:rsid w:val="00BC39BF"/>
    <w:rsid w:val="00BC59CD"/>
    <w:rsid w:val="00BC5B0E"/>
    <w:rsid w:val="00BD0C70"/>
    <w:rsid w:val="00BD13FC"/>
    <w:rsid w:val="00BD61B5"/>
    <w:rsid w:val="00BD6931"/>
    <w:rsid w:val="00BE27E7"/>
    <w:rsid w:val="00BE376C"/>
    <w:rsid w:val="00BE3A00"/>
    <w:rsid w:val="00BE42CA"/>
    <w:rsid w:val="00BF1F37"/>
    <w:rsid w:val="00BF677D"/>
    <w:rsid w:val="00C02451"/>
    <w:rsid w:val="00C02BB4"/>
    <w:rsid w:val="00C054C8"/>
    <w:rsid w:val="00C06DFF"/>
    <w:rsid w:val="00C07A8B"/>
    <w:rsid w:val="00C13D42"/>
    <w:rsid w:val="00C143C7"/>
    <w:rsid w:val="00C16BA9"/>
    <w:rsid w:val="00C20B22"/>
    <w:rsid w:val="00C23B38"/>
    <w:rsid w:val="00C23D75"/>
    <w:rsid w:val="00C2479B"/>
    <w:rsid w:val="00C30374"/>
    <w:rsid w:val="00C33E9F"/>
    <w:rsid w:val="00C36D52"/>
    <w:rsid w:val="00C44BE4"/>
    <w:rsid w:val="00C45FEC"/>
    <w:rsid w:val="00C46FD1"/>
    <w:rsid w:val="00C479D2"/>
    <w:rsid w:val="00C50848"/>
    <w:rsid w:val="00C53516"/>
    <w:rsid w:val="00C535E7"/>
    <w:rsid w:val="00C54CB3"/>
    <w:rsid w:val="00C6052F"/>
    <w:rsid w:val="00C6115E"/>
    <w:rsid w:val="00C621D3"/>
    <w:rsid w:val="00C66221"/>
    <w:rsid w:val="00C668D8"/>
    <w:rsid w:val="00C66B64"/>
    <w:rsid w:val="00C66F23"/>
    <w:rsid w:val="00C72FCC"/>
    <w:rsid w:val="00C754F9"/>
    <w:rsid w:val="00C7573E"/>
    <w:rsid w:val="00C774DA"/>
    <w:rsid w:val="00C800C6"/>
    <w:rsid w:val="00C810E5"/>
    <w:rsid w:val="00C81348"/>
    <w:rsid w:val="00C81639"/>
    <w:rsid w:val="00C83811"/>
    <w:rsid w:val="00C853BB"/>
    <w:rsid w:val="00C903AB"/>
    <w:rsid w:val="00C93BF4"/>
    <w:rsid w:val="00C95985"/>
    <w:rsid w:val="00C96C3D"/>
    <w:rsid w:val="00CA1245"/>
    <w:rsid w:val="00CA2201"/>
    <w:rsid w:val="00CA326E"/>
    <w:rsid w:val="00CA38EA"/>
    <w:rsid w:val="00CA6D80"/>
    <w:rsid w:val="00CA7054"/>
    <w:rsid w:val="00CA7774"/>
    <w:rsid w:val="00CB0899"/>
    <w:rsid w:val="00CB09B2"/>
    <w:rsid w:val="00CB0BF0"/>
    <w:rsid w:val="00CB14A9"/>
    <w:rsid w:val="00CB2D84"/>
    <w:rsid w:val="00CB3355"/>
    <w:rsid w:val="00CB3543"/>
    <w:rsid w:val="00CB5496"/>
    <w:rsid w:val="00CB763E"/>
    <w:rsid w:val="00CB77D9"/>
    <w:rsid w:val="00CC0269"/>
    <w:rsid w:val="00CC09A6"/>
    <w:rsid w:val="00CC11DA"/>
    <w:rsid w:val="00CC2093"/>
    <w:rsid w:val="00CC2D21"/>
    <w:rsid w:val="00CC3DFC"/>
    <w:rsid w:val="00CC5B90"/>
    <w:rsid w:val="00CC6598"/>
    <w:rsid w:val="00CC720E"/>
    <w:rsid w:val="00CC7AE3"/>
    <w:rsid w:val="00CD0261"/>
    <w:rsid w:val="00CD04A2"/>
    <w:rsid w:val="00CD04D6"/>
    <w:rsid w:val="00CD1A4E"/>
    <w:rsid w:val="00CD2409"/>
    <w:rsid w:val="00CD27CB"/>
    <w:rsid w:val="00CD648A"/>
    <w:rsid w:val="00CD6536"/>
    <w:rsid w:val="00CE024A"/>
    <w:rsid w:val="00CE0C47"/>
    <w:rsid w:val="00CE0E8F"/>
    <w:rsid w:val="00CE34F9"/>
    <w:rsid w:val="00CE455D"/>
    <w:rsid w:val="00CE4CB3"/>
    <w:rsid w:val="00CE4E8F"/>
    <w:rsid w:val="00CE532E"/>
    <w:rsid w:val="00CE54B6"/>
    <w:rsid w:val="00CE6396"/>
    <w:rsid w:val="00CF18D6"/>
    <w:rsid w:val="00CF2846"/>
    <w:rsid w:val="00CF69F1"/>
    <w:rsid w:val="00CF730A"/>
    <w:rsid w:val="00CF7770"/>
    <w:rsid w:val="00D0198E"/>
    <w:rsid w:val="00D03639"/>
    <w:rsid w:val="00D03D03"/>
    <w:rsid w:val="00D0798E"/>
    <w:rsid w:val="00D1117A"/>
    <w:rsid w:val="00D13504"/>
    <w:rsid w:val="00D1571B"/>
    <w:rsid w:val="00D168B0"/>
    <w:rsid w:val="00D177B1"/>
    <w:rsid w:val="00D17B60"/>
    <w:rsid w:val="00D22229"/>
    <w:rsid w:val="00D22C4A"/>
    <w:rsid w:val="00D22C72"/>
    <w:rsid w:val="00D237C3"/>
    <w:rsid w:val="00D30F51"/>
    <w:rsid w:val="00D31276"/>
    <w:rsid w:val="00D32FB9"/>
    <w:rsid w:val="00D34CD8"/>
    <w:rsid w:val="00D36C76"/>
    <w:rsid w:val="00D40552"/>
    <w:rsid w:val="00D417CF"/>
    <w:rsid w:val="00D453E4"/>
    <w:rsid w:val="00D469F1"/>
    <w:rsid w:val="00D5452D"/>
    <w:rsid w:val="00D55EB4"/>
    <w:rsid w:val="00D56426"/>
    <w:rsid w:val="00D56B0F"/>
    <w:rsid w:val="00D600C3"/>
    <w:rsid w:val="00D6025F"/>
    <w:rsid w:val="00D610C6"/>
    <w:rsid w:val="00D623F6"/>
    <w:rsid w:val="00D64415"/>
    <w:rsid w:val="00D65676"/>
    <w:rsid w:val="00D73016"/>
    <w:rsid w:val="00D73D13"/>
    <w:rsid w:val="00D76479"/>
    <w:rsid w:val="00D76547"/>
    <w:rsid w:val="00D76781"/>
    <w:rsid w:val="00D76B38"/>
    <w:rsid w:val="00D76EF0"/>
    <w:rsid w:val="00D82F9F"/>
    <w:rsid w:val="00D83EAD"/>
    <w:rsid w:val="00D90762"/>
    <w:rsid w:val="00D94511"/>
    <w:rsid w:val="00D97DD8"/>
    <w:rsid w:val="00DA0120"/>
    <w:rsid w:val="00DA022A"/>
    <w:rsid w:val="00DA4258"/>
    <w:rsid w:val="00DA4534"/>
    <w:rsid w:val="00DA46A3"/>
    <w:rsid w:val="00DA4E51"/>
    <w:rsid w:val="00DA5DB4"/>
    <w:rsid w:val="00DA711E"/>
    <w:rsid w:val="00DA75E9"/>
    <w:rsid w:val="00DA7647"/>
    <w:rsid w:val="00DB0220"/>
    <w:rsid w:val="00DB02CC"/>
    <w:rsid w:val="00DB0365"/>
    <w:rsid w:val="00DB2232"/>
    <w:rsid w:val="00DB255A"/>
    <w:rsid w:val="00DB360C"/>
    <w:rsid w:val="00DC1016"/>
    <w:rsid w:val="00DC27BF"/>
    <w:rsid w:val="00DC6811"/>
    <w:rsid w:val="00DD37B8"/>
    <w:rsid w:val="00DD4385"/>
    <w:rsid w:val="00DE0595"/>
    <w:rsid w:val="00DF31AA"/>
    <w:rsid w:val="00DF48EB"/>
    <w:rsid w:val="00E121BE"/>
    <w:rsid w:val="00E15269"/>
    <w:rsid w:val="00E154F7"/>
    <w:rsid w:val="00E166FA"/>
    <w:rsid w:val="00E16E97"/>
    <w:rsid w:val="00E20A8B"/>
    <w:rsid w:val="00E20F78"/>
    <w:rsid w:val="00E24061"/>
    <w:rsid w:val="00E31E57"/>
    <w:rsid w:val="00E31EF8"/>
    <w:rsid w:val="00E31F12"/>
    <w:rsid w:val="00E34AB2"/>
    <w:rsid w:val="00E36847"/>
    <w:rsid w:val="00E36F35"/>
    <w:rsid w:val="00E37E70"/>
    <w:rsid w:val="00E426E3"/>
    <w:rsid w:val="00E43F14"/>
    <w:rsid w:val="00E44B47"/>
    <w:rsid w:val="00E44E8A"/>
    <w:rsid w:val="00E4702C"/>
    <w:rsid w:val="00E5424C"/>
    <w:rsid w:val="00E54276"/>
    <w:rsid w:val="00E548A1"/>
    <w:rsid w:val="00E557E1"/>
    <w:rsid w:val="00E60B4D"/>
    <w:rsid w:val="00E626DF"/>
    <w:rsid w:val="00E64C73"/>
    <w:rsid w:val="00E668DA"/>
    <w:rsid w:val="00E7127C"/>
    <w:rsid w:val="00E71FA6"/>
    <w:rsid w:val="00E732E7"/>
    <w:rsid w:val="00E7672B"/>
    <w:rsid w:val="00E80BC0"/>
    <w:rsid w:val="00E819E7"/>
    <w:rsid w:val="00E830D3"/>
    <w:rsid w:val="00E84BCF"/>
    <w:rsid w:val="00E8732F"/>
    <w:rsid w:val="00E93293"/>
    <w:rsid w:val="00E93C51"/>
    <w:rsid w:val="00EA102D"/>
    <w:rsid w:val="00EA2271"/>
    <w:rsid w:val="00EA3988"/>
    <w:rsid w:val="00EA3D60"/>
    <w:rsid w:val="00EA511B"/>
    <w:rsid w:val="00EA5463"/>
    <w:rsid w:val="00EA598C"/>
    <w:rsid w:val="00EB0417"/>
    <w:rsid w:val="00EB361D"/>
    <w:rsid w:val="00EB3B0F"/>
    <w:rsid w:val="00EB445E"/>
    <w:rsid w:val="00EB53F6"/>
    <w:rsid w:val="00EB5D31"/>
    <w:rsid w:val="00EC4029"/>
    <w:rsid w:val="00EC42BD"/>
    <w:rsid w:val="00EC5B9F"/>
    <w:rsid w:val="00EC6230"/>
    <w:rsid w:val="00EC673B"/>
    <w:rsid w:val="00EC68D7"/>
    <w:rsid w:val="00EC773D"/>
    <w:rsid w:val="00ED0C20"/>
    <w:rsid w:val="00ED1CE6"/>
    <w:rsid w:val="00ED2052"/>
    <w:rsid w:val="00ED4334"/>
    <w:rsid w:val="00ED4C46"/>
    <w:rsid w:val="00ED6E65"/>
    <w:rsid w:val="00EE3742"/>
    <w:rsid w:val="00EE710C"/>
    <w:rsid w:val="00EF0DFB"/>
    <w:rsid w:val="00EF1CB8"/>
    <w:rsid w:val="00EF34B0"/>
    <w:rsid w:val="00EF4EB2"/>
    <w:rsid w:val="00EF5DA5"/>
    <w:rsid w:val="00F0176A"/>
    <w:rsid w:val="00F01B2B"/>
    <w:rsid w:val="00F01DAD"/>
    <w:rsid w:val="00F021ED"/>
    <w:rsid w:val="00F0356F"/>
    <w:rsid w:val="00F0362A"/>
    <w:rsid w:val="00F0650C"/>
    <w:rsid w:val="00F07AD9"/>
    <w:rsid w:val="00F135F8"/>
    <w:rsid w:val="00F224A1"/>
    <w:rsid w:val="00F24549"/>
    <w:rsid w:val="00F2743C"/>
    <w:rsid w:val="00F27838"/>
    <w:rsid w:val="00F3039E"/>
    <w:rsid w:val="00F31928"/>
    <w:rsid w:val="00F35D9B"/>
    <w:rsid w:val="00F41577"/>
    <w:rsid w:val="00F41ACC"/>
    <w:rsid w:val="00F42A05"/>
    <w:rsid w:val="00F43756"/>
    <w:rsid w:val="00F43C9C"/>
    <w:rsid w:val="00F4480A"/>
    <w:rsid w:val="00F44861"/>
    <w:rsid w:val="00F476EA"/>
    <w:rsid w:val="00F526CA"/>
    <w:rsid w:val="00F5304A"/>
    <w:rsid w:val="00F55DF3"/>
    <w:rsid w:val="00F567D1"/>
    <w:rsid w:val="00F57793"/>
    <w:rsid w:val="00F60903"/>
    <w:rsid w:val="00F6207D"/>
    <w:rsid w:val="00F6312F"/>
    <w:rsid w:val="00F63948"/>
    <w:rsid w:val="00F7043D"/>
    <w:rsid w:val="00F738C1"/>
    <w:rsid w:val="00F75A6E"/>
    <w:rsid w:val="00F764DA"/>
    <w:rsid w:val="00F77837"/>
    <w:rsid w:val="00F81BCA"/>
    <w:rsid w:val="00F824DD"/>
    <w:rsid w:val="00F840F8"/>
    <w:rsid w:val="00F84237"/>
    <w:rsid w:val="00F84516"/>
    <w:rsid w:val="00F84B36"/>
    <w:rsid w:val="00F865A3"/>
    <w:rsid w:val="00F87ED3"/>
    <w:rsid w:val="00F91AA3"/>
    <w:rsid w:val="00F93269"/>
    <w:rsid w:val="00F956E3"/>
    <w:rsid w:val="00F95CC4"/>
    <w:rsid w:val="00F970B7"/>
    <w:rsid w:val="00FA3E07"/>
    <w:rsid w:val="00FA6650"/>
    <w:rsid w:val="00FA7C13"/>
    <w:rsid w:val="00FB4956"/>
    <w:rsid w:val="00FB5B82"/>
    <w:rsid w:val="00FB66B9"/>
    <w:rsid w:val="00FB7749"/>
    <w:rsid w:val="00FC2D96"/>
    <w:rsid w:val="00FC30FA"/>
    <w:rsid w:val="00FC71CF"/>
    <w:rsid w:val="00FC7DEE"/>
    <w:rsid w:val="00FD07AF"/>
    <w:rsid w:val="00FD2991"/>
    <w:rsid w:val="00FD346E"/>
    <w:rsid w:val="00FD4BBF"/>
    <w:rsid w:val="00FD5CC1"/>
    <w:rsid w:val="00FD6A3E"/>
    <w:rsid w:val="00FE0F36"/>
    <w:rsid w:val="00FE1675"/>
    <w:rsid w:val="00FE1A6B"/>
    <w:rsid w:val="00FE3C31"/>
    <w:rsid w:val="00FE47B5"/>
    <w:rsid w:val="00FF0214"/>
    <w:rsid w:val="00FF056E"/>
    <w:rsid w:val="00FF1220"/>
    <w:rsid w:val="00FF240B"/>
    <w:rsid w:val="00FF47EE"/>
    <w:rsid w:val="00FF6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4993"/>
    <o:shapelayout v:ext="edit">
      <o:idmap v:ext="edit" data="1"/>
    </o:shapelayout>
  </w:shapeDefaults>
  <w:decimalSymbol w:val=","/>
  <w:listSeparator w:val=";"/>
  <w14:docId w14:val="70B7D122"/>
  <w15:docId w15:val="{2500DC78-19DC-4491-8D1E-E3675A777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eading 1 Char1 Char1,Heading 1 Char Char Char1,Heading 1 Char1 Char1 Char Char,Heading 1 Char Char Char1 Char Char,Heading 1 Char Char1,Heading 1 Char1 Char1 Char1,Heading 1 Char Char Char1 Char1"/>
    <w:basedOn w:val="Normal"/>
    <w:next w:val="Normal"/>
    <w:link w:val="Heading1Char"/>
    <w:qFormat/>
    <w:rsid w:val="008F655D"/>
    <w:pPr>
      <w:keepNext/>
      <w:pBdr>
        <w:top w:val="single" w:sz="4" w:space="1" w:color="auto"/>
        <w:left w:val="single" w:sz="4" w:space="4" w:color="auto"/>
        <w:right w:val="single" w:sz="4" w:space="4" w:color="auto"/>
      </w:pBdr>
      <w:shd w:val="pct5" w:color="auto" w:fill="FFFFFF"/>
      <w:tabs>
        <w:tab w:val="num" w:pos="360"/>
      </w:tabs>
      <w:spacing w:before="240" w:after="60" w:line="240" w:lineRule="auto"/>
      <w:ind w:left="360" w:hanging="360"/>
      <w:jc w:val="center"/>
      <w:outlineLvl w:val="0"/>
    </w:pPr>
    <w:rPr>
      <w:rFonts w:ascii="Times New Roman" w:eastAsia="Times New Roman" w:hAnsi="Times New Roman" w:cs="Times New Roman"/>
      <w:b/>
      <w:kern w:val="28"/>
      <w:sz w:val="32"/>
      <w:szCs w:val="32"/>
    </w:rPr>
  </w:style>
  <w:style w:type="paragraph" w:styleId="Heading2">
    <w:name w:val="heading 2"/>
    <w:basedOn w:val="Normal"/>
    <w:next w:val="Normal"/>
    <w:link w:val="Heading2Char"/>
    <w:qFormat/>
    <w:rsid w:val="001F7F17"/>
    <w:pPr>
      <w:keepNext/>
      <w:spacing w:before="480" w:after="480" w:line="240" w:lineRule="auto"/>
      <w:ind w:left="1080" w:hanging="1080"/>
      <w:jc w:val="both"/>
      <w:outlineLvl w:val="1"/>
    </w:pPr>
    <w:rPr>
      <w:rFonts w:ascii="Times New Roman" w:eastAsia="SimSun" w:hAnsi="Times New Roman" w:cs="Times New Roman"/>
      <w:color w:val="000000"/>
      <w:sz w:val="36"/>
      <w:szCs w:val="20"/>
    </w:rPr>
  </w:style>
  <w:style w:type="paragraph" w:styleId="Heading3">
    <w:name w:val="heading 3"/>
    <w:basedOn w:val="Normal"/>
    <w:next w:val="Num-DocParagraph"/>
    <w:link w:val="Heading3Char"/>
    <w:qFormat/>
    <w:rsid w:val="001F7F17"/>
    <w:pPr>
      <w:keepNext/>
      <w:tabs>
        <w:tab w:val="left" w:pos="851"/>
        <w:tab w:val="left" w:pos="1191"/>
        <w:tab w:val="left" w:pos="1531"/>
      </w:tabs>
      <w:spacing w:after="240" w:line="240" w:lineRule="auto"/>
      <w:jc w:val="both"/>
      <w:outlineLvl w:val="2"/>
    </w:pPr>
    <w:rPr>
      <w:rFonts w:ascii="Times New Roman" w:eastAsia="SimSun" w:hAnsi="Times New Roman" w:cs="Times New Roman"/>
      <w:b/>
      <w:sz w:val="24"/>
      <w:szCs w:val="20"/>
    </w:rPr>
  </w:style>
  <w:style w:type="paragraph" w:styleId="Heading4">
    <w:name w:val="heading 4"/>
    <w:basedOn w:val="Normal"/>
    <w:next w:val="Normal"/>
    <w:link w:val="Heading4Char"/>
    <w:qFormat/>
    <w:rsid w:val="001F7F17"/>
    <w:pPr>
      <w:keepNext/>
      <w:spacing w:before="240" w:after="240" w:line="240" w:lineRule="auto"/>
      <w:ind w:left="1980" w:hanging="900"/>
      <w:jc w:val="both"/>
      <w:outlineLvl w:val="3"/>
    </w:pPr>
    <w:rPr>
      <w:rFonts w:ascii="Times New Roman" w:eastAsia="SimSun" w:hAnsi="Times New Roman" w:cs="Times New Roman"/>
      <w:b/>
      <w:bCs/>
      <w:i/>
      <w:iCs/>
      <w:color w:val="000000"/>
      <w:sz w:val="24"/>
      <w:szCs w:val="20"/>
    </w:rPr>
  </w:style>
  <w:style w:type="paragraph" w:styleId="Heading5">
    <w:name w:val="heading 5"/>
    <w:basedOn w:val="Normal"/>
    <w:next w:val="Normal"/>
    <w:link w:val="Heading5Char"/>
    <w:qFormat/>
    <w:rsid w:val="001F7F17"/>
    <w:pPr>
      <w:spacing w:before="240" w:after="60" w:line="240" w:lineRule="auto"/>
      <w:jc w:val="both"/>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1F7F17"/>
    <w:pPr>
      <w:spacing w:before="240" w:after="60" w:line="240" w:lineRule="auto"/>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qFormat/>
    <w:rsid w:val="001F7F17"/>
    <w:pPr>
      <w:spacing w:before="240" w:after="60" w:line="240" w:lineRule="auto"/>
      <w:jc w:val="both"/>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1F7F17"/>
    <w:pPr>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1F7F17"/>
    <w:pPr>
      <w:spacing w:before="240" w:after="60" w:line="240" w:lineRule="auto"/>
      <w:jc w:val="both"/>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1 Char2,Heading 1 Char Char Char1 Char2,Heading 1 Char1 Char1 Char Char Char1,Heading 1 Char Char Char1 Char Char Char1,Heading 1 Char Char1 Char1,Heading 1 Char1 Char1 Char1 Char1,Heading 1 Char Char Char1 Char1 Char"/>
    <w:basedOn w:val="DefaultParagraphFont"/>
    <w:link w:val="Heading1"/>
    <w:rsid w:val="008F655D"/>
    <w:rPr>
      <w:rFonts w:ascii="Times New Roman" w:eastAsia="Times New Roman" w:hAnsi="Times New Roman" w:cs="Times New Roman"/>
      <w:b/>
      <w:kern w:val="28"/>
      <w:sz w:val="32"/>
      <w:szCs w:val="32"/>
      <w:shd w:val="pct5" w:color="auto" w:fill="FFFFFF"/>
      <w:lang w:eastAsia="fr-FR"/>
    </w:rPr>
  </w:style>
  <w:style w:type="character" w:customStyle="1" w:styleId="Heading2Char">
    <w:name w:val="Heading 2 Char"/>
    <w:basedOn w:val="DefaultParagraphFont"/>
    <w:link w:val="Heading2"/>
    <w:rsid w:val="001F7F17"/>
    <w:rPr>
      <w:rFonts w:ascii="Times New Roman" w:eastAsia="SimSun" w:hAnsi="Times New Roman" w:cs="Times New Roman"/>
      <w:color w:val="000000"/>
      <w:sz w:val="36"/>
      <w:szCs w:val="20"/>
      <w:lang w:eastAsia="fr-FR"/>
    </w:rPr>
  </w:style>
  <w:style w:type="character" w:customStyle="1" w:styleId="Heading3Char">
    <w:name w:val="Heading 3 Char"/>
    <w:basedOn w:val="DefaultParagraphFont"/>
    <w:link w:val="Heading3"/>
    <w:rsid w:val="001F7F17"/>
    <w:rPr>
      <w:rFonts w:ascii="Times New Roman" w:eastAsia="SimSun" w:hAnsi="Times New Roman" w:cs="Times New Roman"/>
      <w:b/>
      <w:sz w:val="24"/>
      <w:szCs w:val="20"/>
      <w:lang w:eastAsia="fr-FR"/>
    </w:rPr>
  </w:style>
  <w:style w:type="character" w:customStyle="1" w:styleId="Heading4Char">
    <w:name w:val="Heading 4 Char"/>
    <w:basedOn w:val="DefaultParagraphFont"/>
    <w:link w:val="Heading4"/>
    <w:rsid w:val="001F7F17"/>
    <w:rPr>
      <w:rFonts w:ascii="Times New Roman" w:eastAsia="SimSun" w:hAnsi="Times New Roman" w:cs="Times New Roman"/>
      <w:b/>
      <w:bCs/>
      <w:i/>
      <w:iCs/>
      <w:color w:val="000000"/>
      <w:sz w:val="24"/>
      <w:szCs w:val="20"/>
      <w:lang w:eastAsia="fr-FR"/>
    </w:rPr>
  </w:style>
  <w:style w:type="character" w:customStyle="1" w:styleId="Heading5Char">
    <w:name w:val="Heading 5 Char"/>
    <w:basedOn w:val="DefaultParagraphFont"/>
    <w:link w:val="Heading5"/>
    <w:rsid w:val="001F7F17"/>
    <w:rPr>
      <w:rFonts w:ascii="Times New Roman" w:eastAsia="Times New Roman" w:hAnsi="Times New Roman" w:cs="Times New Roman"/>
      <w:szCs w:val="20"/>
      <w:lang w:val="fr-FR" w:eastAsia="fr-FR"/>
    </w:rPr>
  </w:style>
  <w:style w:type="character" w:customStyle="1" w:styleId="Heading6Char">
    <w:name w:val="Heading 6 Char"/>
    <w:basedOn w:val="DefaultParagraphFont"/>
    <w:link w:val="Heading6"/>
    <w:rsid w:val="001F7F17"/>
    <w:rPr>
      <w:rFonts w:ascii="Times New Roman" w:eastAsia="Times New Roman" w:hAnsi="Times New Roman" w:cs="Times New Roman"/>
      <w:i/>
      <w:szCs w:val="20"/>
      <w:lang w:val="fr-FR" w:eastAsia="fr-FR"/>
    </w:rPr>
  </w:style>
  <w:style w:type="character" w:customStyle="1" w:styleId="Heading7Char">
    <w:name w:val="Heading 7 Char"/>
    <w:basedOn w:val="DefaultParagraphFont"/>
    <w:link w:val="Heading7"/>
    <w:rsid w:val="001F7F17"/>
    <w:rPr>
      <w:rFonts w:ascii="Arial" w:eastAsia="Times New Roman" w:hAnsi="Arial" w:cs="Times New Roman"/>
      <w:sz w:val="20"/>
      <w:szCs w:val="20"/>
      <w:lang w:val="fr-FR" w:eastAsia="fr-FR"/>
    </w:rPr>
  </w:style>
  <w:style w:type="character" w:customStyle="1" w:styleId="Heading8Char">
    <w:name w:val="Heading 8 Char"/>
    <w:basedOn w:val="DefaultParagraphFont"/>
    <w:link w:val="Heading8"/>
    <w:rsid w:val="001F7F17"/>
    <w:rPr>
      <w:rFonts w:ascii="Arial" w:eastAsia="Times New Roman" w:hAnsi="Arial" w:cs="Times New Roman"/>
      <w:i/>
      <w:sz w:val="20"/>
      <w:szCs w:val="20"/>
      <w:lang w:val="fr-FR" w:eastAsia="fr-FR"/>
    </w:rPr>
  </w:style>
  <w:style w:type="character" w:customStyle="1" w:styleId="Heading9Char">
    <w:name w:val="Heading 9 Char"/>
    <w:basedOn w:val="DefaultParagraphFont"/>
    <w:link w:val="Heading9"/>
    <w:rsid w:val="001F7F17"/>
    <w:rPr>
      <w:rFonts w:ascii="Arial" w:eastAsia="Times New Roman" w:hAnsi="Arial" w:cs="Times New Roman"/>
      <w:b/>
      <w:i/>
      <w:sz w:val="18"/>
      <w:szCs w:val="20"/>
      <w:lang w:val="fr-FR" w:eastAsia="fr-FR"/>
    </w:rPr>
  </w:style>
  <w:style w:type="numbering" w:customStyle="1" w:styleId="NoList1">
    <w:name w:val="No List1"/>
    <w:next w:val="NoList"/>
    <w:uiPriority w:val="99"/>
    <w:semiHidden/>
    <w:rsid w:val="001F7F17"/>
  </w:style>
  <w:style w:type="paragraph" w:customStyle="1" w:styleId="Num-DocParagraph">
    <w:name w:val="Num-Doc Paragraph"/>
    <w:basedOn w:val="Corpsdetexte1"/>
    <w:rsid w:val="001F7F17"/>
    <w:pPr>
      <w:tabs>
        <w:tab w:val="left" w:pos="851"/>
        <w:tab w:val="left" w:pos="1191"/>
        <w:tab w:val="left" w:pos="1531"/>
      </w:tabs>
      <w:spacing w:before="0" w:after="240"/>
    </w:pPr>
    <w:rPr>
      <w:rFonts w:ascii="Times" w:eastAsia="Times New Roman" w:hAnsi="Times"/>
      <w:sz w:val="22"/>
    </w:rPr>
  </w:style>
  <w:style w:type="paragraph" w:customStyle="1" w:styleId="Corpsdetexte1">
    <w:name w:val="Corps de texte1"/>
    <w:basedOn w:val="Normal"/>
    <w:rsid w:val="001F7F17"/>
    <w:pPr>
      <w:spacing w:before="100" w:after="100" w:line="240" w:lineRule="auto"/>
      <w:jc w:val="both"/>
    </w:pPr>
    <w:rPr>
      <w:rFonts w:ascii="Times New Roman" w:eastAsia="SimSun" w:hAnsi="Times New Roman" w:cs="Times New Roman"/>
      <w:sz w:val="24"/>
      <w:szCs w:val="20"/>
    </w:rPr>
  </w:style>
  <w:style w:type="paragraph" w:customStyle="1" w:styleId="CharZchnZchn">
    <w:name w:val="Char Zchn Zchn"/>
    <w:basedOn w:val="Normal"/>
    <w:rsid w:val="001F7F17"/>
    <w:pPr>
      <w:spacing w:after="160" w:line="240" w:lineRule="exact"/>
    </w:pPr>
    <w:rPr>
      <w:rFonts w:ascii="Tahoma" w:eastAsia="Times New Roman" w:hAnsi="Tahoma" w:cs="Times New Roman"/>
      <w:sz w:val="20"/>
      <w:szCs w:val="20"/>
    </w:rPr>
  </w:style>
  <w:style w:type="paragraph" w:customStyle="1" w:styleId="Text1Char">
    <w:name w:val="Text 1 Char"/>
    <w:basedOn w:val="Normal"/>
    <w:rsid w:val="001F7F17"/>
    <w:pPr>
      <w:spacing w:after="240" w:line="240" w:lineRule="auto"/>
      <w:jc w:val="both"/>
    </w:pPr>
    <w:rPr>
      <w:rFonts w:ascii="Times New Roman" w:eastAsia="Times New Roman" w:hAnsi="Times New Roman" w:cs="Times New Roman"/>
      <w:sz w:val="24"/>
      <w:szCs w:val="24"/>
    </w:rPr>
  </w:style>
  <w:style w:type="character" w:customStyle="1" w:styleId="Text1CharChar1">
    <w:name w:val="Text 1 Char Char1"/>
    <w:rsid w:val="001F7F17"/>
    <w:rPr>
      <w:sz w:val="24"/>
      <w:lang w:val="fr-FR" w:eastAsia="fr-FR"/>
    </w:rPr>
  </w:style>
  <w:style w:type="paragraph" w:customStyle="1" w:styleId="NumPar1">
    <w:name w:val="NumPar 1"/>
    <w:basedOn w:val="Normal"/>
    <w:next w:val="Normal"/>
    <w:rsid w:val="001F7F17"/>
    <w:pPr>
      <w:spacing w:after="240" w:line="240" w:lineRule="auto"/>
      <w:ind w:left="483" w:hanging="483"/>
      <w:jc w:val="both"/>
    </w:pPr>
    <w:rPr>
      <w:rFonts w:ascii="Times New Roman" w:eastAsia="Times New Roman" w:hAnsi="Times New Roman" w:cs="Times New Roman"/>
      <w:sz w:val="24"/>
      <w:szCs w:val="20"/>
    </w:rPr>
  </w:style>
  <w:style w:type="paragraph" w:styleId="Header">
    <w:name w:val="header"/>
    <w:basedOn w:val="Normal"/>
    <w:link w:val="HeaderChar"/>
    <w:rsid w:val="001F7F17"/>
    <w:pPr>
      <w:tabs>
        <w:tab w:val="center" w:pos="4153"/>
        <w:tab w:val="right" w:pos="8306"/>
      </w:tabs>
      <w:spacing w:after="0" w:line="240" w:lineRule="auto"/>
      <w:jc w:val="both"/>
    </w:pPr>
    <w:rPr>
      <w:rFonts w:ascii="Times New Roman" w:eastAsia="Times New Roman" w:hAnsi="Times New Roman" w:cs="Times New Roman"/>
      <w:sz w:val="24"/>
      <w:szCs w:val="20"/>
    </w:rPr>
  </w:style>
  <w:style w:type="character" w:customStyle="1" w:styleId="HeaderChar">
    <w:name w:val="Header Char"/>
    <w:basedOn w:val="DefaultParagraphFont"/>
    <w:link w:val="Header"/>
    <w:rsid w:val="001F7F17"/>
    <w:rPr>
      <w:rFonts w:ascii="Times New Roman" w:eastAsia="Times New Roman" w:hAnsi="Times New Roman" w:cs="Times New Roman"/>
      <w:sz w:val="24"/>
      <w:szCs w:val="20"/>
      <w:lang w:val="fr-FR" w:eastAsia="fr-FR"/>
    </w:rPr>
  </w:style>
  <w:style w:type="paragraph" w:styleId="BodyText">
    <w:name w:val="Body Text"/>
    <w:basedOn w:val="Normal"/>
    <w:link w:val="BodyTextChar"/>
    <w:qFormat/>
    <w:rsid w:val="001F7F17"/>
    <w:pPr>
      <w:tabs>
        <w:tab w:val="left" w:pos="851"/>
        <w:tab w:val="left" w:pos="1191"/>
        <w:tab w:val="left" w:pos="1531"/>
      </w:tabs>
      <w:spacing w:after="240" w:line="240" w:lineRule="auto"/>
      <w:jc w:val="both"/>
    </w:pPr>
    <w:rPr>
      <w:rFonts w:ascii="Times" w:eastAsia="Times New Roman" w:hAnsi="Times" w:cs="Times New Roman"/>
      <w:szCs w:val="20"/>
    </w:rPr>
  </w:style>
  <w:style w:type="character" w:customStyle="1" w:styleId="BodyTextChar">
    <w:name w:val="Body Text Char"/>
    <w:basedOn w:val="DefaultParagraphFont"/>
    <w:link w:val="BodyText"/>
    <w:rsid w:val="001F7F17"/>
    <w:rPr>
      <w:rFonts w:ascii="Times" w:eastAsia="Times New Roman" w:hAnsi="Times" w:cs="Times New Roman"/>
      <w:szCs w:val="20"/>
      <w:lang w:eastAsia="fr-FR"/>
    </w:rPr>
  </w:style>
  <w:style w:type="paragraph" w:customStyle="1" w:styleId="BULLETcadre">
    <w:name w:val="BULLET_cadre"/>
    <w:basedOn w:val="Normal"/>
    <w:rsid w:val="001F7F17"/>
    <w:pPr>
      <w:pBdr>
        <w:top w:val="single" w:sz="6" w:space="10" w:color="auto"/>
        <w:left w:val="single" w:sz="6" w:space="10" w:color="auto"/>
        <w:bottom w:val="single" w:sz="6" w:space="10" w:color="auto"/>
        <w:right w:val="single" w:sz="6" w:space="10" w:color="auto"/>
      </w:pBdr>
      <w:shd w:val="pct10" w:color="auto" w:fill="auto"/>
      <w:overflowPunct w:val="0"/>
      <w:autoSpaceDE w:val="0"/>
      <w:autoSpaceDN w:val="0"/>
      <w:adjustRightInd w:val="0"/>
      <w:spacing w:before="240" w:after="0" w:line="240" w:lineRule="auto"/>
      <w:ind w:left="2268" w:hanging="567"/>
      <w:jc w:val="both"/>
      <w:textAlignment w:val="baseline"/>
    </w:pPr>
    <w:rPr>
      <w:rFonts w:ascii="Optima" w:eastAsia="Times New Roman" w:hAnsi="Optima" w:cs="Times New Roman"/>
      <w:szCs w:val="20"/>
    </w:rPr>
  </w:style>
  <w:style w:type="paragraph" w:customStyle="1" w:styleId="Address">
    <w:name w:val="Address"/>
    <w:basedOn w:val="Normal"/>
    <w:rsid w:val="001F7F17"/>
    <w:pPr>
      <w:spacing w:after="0" w:line="240" w:lineRule="auto"/>
      <w:jc w:val="both"/>
    </w:pPr>
    <w:rPr>
      <w:rFonts w:ascii="Times New Roman" w:eastAsia="Times New Roman" w:hAnsi="Times New Roman" w:cs="Times New Roman"/>
      <w:sz w:val="24"/>
      <w:szCs w:val="20"/>
    </w:rPr>
  </w:style>
  <w:style w:type="character" w:styleId="FootnoteReference">
    <w:name w:val="footnote reference"/>
    <w:aliases w:val="BVI fnr,16 Point,Superscript 6 Point,Footnote Reference Number,Footnote Reference_LVL6,Footnote Reference_LVL61,Footnote Reference_LVL62,Footnote Reference_LVL63,Footnote Reference_LVL64,Texto nota al pie"/>
    <w:rsid w:val="001F7F17"/>
    <w:rPr>
      <w:rFonts w:cs="Times New Roman"/>
      <w:vertAlign w:val="superscript"/>
    </w:rPr>
  </w:style>
  <w:style w:type="character" w:styleId="Hyperlink">
    <w:name w:val="Hyperlink"/>
    <w:uiPriority w:val="99"/>
    <w:rsid w:val="001F7F17"/>
    <w:rPr>
      <w:rFonts w:cs="Times New Roman"/>
      <w:color w:val="0000FF"/>
      <w:u w:val="single"/>
    </w:rPr>
  </w:style>
  <w:style w:type="paragraph" w:styleId="FootnoteText">
    <w:name w:val="footnote text"/>
    <w:basedOn w:val="Normal"/>
    <w:link w:val="FootnoteTextChar"/>
    <w:uiPriority w:val="99"/>
    <w:semiHidden/>
    <w:rsid w:val="001F7F17"/>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1F7F17"/>
    <w:rPr>
      <w:rFonts w:ascii="Times New Roman" w:eastAsia="Times New Roman" w:hAnsi="Times New Roman" w:cs="Times New Roman"/>
      <w:sz w:val="20"/>
      <w:szCs w:val="20"/>
      <w:lang w:eastAsia="fr-FR"/>
    </w:rPr>
  </w:style>
  <w:style w:type="character" w:styleId="PageNumber">
    <w:name w:val="page number"/>
    <w:rsid w:val="001F7F17"/>
    <w:rPr>
      <w:rFonts w:cs="Times New Roman"/>
    </w:rPr>
  </w:style>
  <w:style w:type="paragraph" w:styleId="Footer">
    <w:name w:val="footer"/>
    <w:basedOn w:val="Normal"/>
    <w:link w:val="FooterChar"/>
    <w:uiPriority w:val="99"/>
    <w:rsid w:val="001F7F17"/>
    <w:pPr>
      <w:tabs>
        <w:tab w:val="center" w:pos="4320"/>
        <w:tab w:val="right" w:pos="8640"/>
      </w:tabs>
      <w:spacing w:after="0" w:line="240" w:lineRule="auto"/>
      <w:jc w:val="both"/>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1F7F17"/>
    <w:rPr>
      <w:rFonts w:ascii="Times New Roman" w:eastAsia="Times New Roman" w:hAnsi="Times New Roman" w:cs="Times New Roman"/>
      <w:sz w:val="24"/>
      <w:szCs w:val="20"/>
      <w:lang w:eastAsia="fr-FR"/>
    </w:rPr>
  </w:style>
  <w:style w:type="paragraph" w:styleId="TOC1">
    <w:name w:val="toc 1"/>
    <w:basedOn w:val="Normal"/>
    <w:next w:val="Normal"/>
    <w:autoRedefine/>
    <w:uiPriority w:val="39"/>
    <w:rsid w:val="00522132"/>
    <w:pPr>
      <w:tabs>
        <w:tab w:val="left" w:pos="1680"/>
        <w:tab w:val="right" w:pos="7972"/>
      </w:tabs>
      <w:spacing w:before="360" w:after="120" w:line="240" w:lineRule="auto"/>
    </w:pPr>
    <w:rPr>
      <w:rFonts w:ascii="Arial" w:eastAsia="Times New Roman" w:hAnsi="Arial" w:cs="Arial"/>
      <w:b/>
      <w:bCs/>
      <w:caps/>
      <w:noProof/>
      <w:sz w:val="24"/>
      <w:szCs w:val="24"/>
    </w:rPr>
  </w:style>
  <w:style w:type="paragraph" w:styleId="TOC2">
    <w:name w:val="toc 2"/>
    <w:basedOn w:val="Normal"/>
    <w:next w:val="Normal"/>
    <w:autoRedefine/>
    <w:uiPriority w:val="39"/>
    <w:rsid w:val="000E299B"/>
    <w:pPr>
      <w:tabs>
        <w:tab w:val="left" w:pos="720"/>
        <w:tab w:val="right" w:pos="7972"/>
      </w:tabs>
      <w:spacing w:before="240" w:after="0" w:line="240" w:lineRule="auto"/>
      <w:ind w:right="1213"/>
      <w:jc w:val="both"/>
    </w:pPr>
    <w:rPr>
      <w:rFonts w:ascii="Times New Roman" w:eastAsia="Times New Roman" w:hAnsi="Times New Roman" w:cs="Times New Roman"/>
      <w:noProof/>
      <w:sz w:val="20"/>
      <w:szCs w:val="20"/>
    </w:rPr>
  </w:style>
  <w:style w:type="paragraph" w:styleId="TOC3">
    <w:name w:val="toc 3"/>
    <w:basedOn w:val="Normal"/>
    <w:next w:val="Normal"/>
    <w:autoRedefine/>
    <w:uiPriority w:val="39"/>
    <w:rsid w:val="001F7F17"/>
    <w:pPr>
      <w:tabs>
        <w:tab w:val="right" w:pos="7972"/>
      </w:tabs>
      <w:spacing w:after="0" w:line="240" w:lineRule="auto"/>
      <w:ind w:left="240"/>
    </w:pPr>
    <w:rPr>
      <w:rFonts w:ascii="Times New Roman" w:eastAsia="Times New Roman" w:hAnsi="Times New Roman" w:cs="Times New Roman"/>
      <w:noProof/>
      <w:sz w:val="20"/>
      <w:szCs w:val="20"/>
    </w:rPr>
  </w:style>
  <w:style w:type="paragraph" w:styleId="BodyText3">
    <w:name w:val="Body Text 3"/>
    <w:basedOn w:val="Normal"/>
    <w:link w:val="BodyText3Char"/>
    <w:rsid w:val="001F7F17"/>
    <w:pPr>
      <w:spacing w:after="0" w:line="240" w:lineRule="auto"/>
    </w:pPr>
    <w:rPr>
      <w:rFonts w:ascii="Arial" w:eastAsia="Times New Roman" w:hAnsi="Arial" w:cs="Times New Roman"/>
      <w:szCs w:val="20"/>
    </w:rPr>
  </w:style>
  <w:style w:type="character" w:customStyle="1" w:styleId="BodyText3Char">
    <w:name w:val="Body Text 3 Char"/>
    <w:basedOn w:val="DefaultParagraphFont"/>
    <w:link w:val="BodyText3"/>
    <w:rsid w:val="001F7F17"/>
    <w:rPr>
      <w:rFonts w:ascii="Arial" w:eastAsia="Times New Roman" w:hAnsi="Arial" w:cs="Times New Roman"/>
      <w:szCs w:val="20"/>
    </w:rPr>
  </w:style>
  <w:style w:type="paragraph" w:customStyle="1" w:styleId="NormalIndent1">
    <w:name w:val="Normal Indent 1"/>
    <w:basedOn w:val="NormalIndent"/>
    <w:link w:val="NormalIndent1Char"/>
    <w:autoRedefine/>
    <w:rsid w:val="001F7F17"/>
    <w:pPr>
      <w:tabs>
        <w:tab w:val="num" w:pos="540"/>
        <w:tab w:val="num" w:pos="1494"/>
      </w:tabs>
      <w:ind w:left="1494" w:hanging="360"/>
    </w:pPr>
    <w:rPr>
      <w:i/>
      <w:sz w:val="24"/>
    </w:rPr>
  </w:style>
  <w:style w:type="paragraph" w:styleId="NormalIndent">
    <w:name w:val="Normal Indent"/>
    <w:basedOn w:val="Normal"/>
    <w:link w:val="NormalIndentChar"/>
    <w:rsid w:val="001F7F17"/>
    <w:pPr>
      <w:spacing w:after="0" w:line="240" w:lineRule="auto"/>
      <w:ind w:left="720"/>
    </w:pPr>
    <w:rPr>
      <w:rFonts w:ascii="Times New Roman" w:eastAsia="Times New Roman" w:hAnsi="Times New Roman" w:cs="Times New Roman"/>
      <w:sz w:val="20"/>
      <w:szCs w:val="20"/>
    </w:rPr>
  </w:style>
  <w:style w:type="paragraph" w:customStyle="1" w:styleId="NormalIndent2">
    <w:name w:val="Normal Indent 2"/>
    <w:basedOn w:val="NormalIndent1"/>
    <w:autoRedefine/>
    <w:rsid w:val="001F7F17"/>
    <w:pPr>
      <w:tabs>
        <w:tab w:val="clear" w:pos="540"/>
        <w:tab w:val="num" w:pos="927"/>
      </w:tabs>
      <w:ind w:left="927"/>
      <w:jc w:val="both"/>
    </w:pPr>
  </w:style>
  <w:style w:type="paragraph" w:customStyle="1" w:styleId="Brdtekst1">
    <w:name w:val="Brødtekst1"/>
    <w:basedOn w:val="Normal"/>
    <w:rsid w:val="001F7F17"/>
    <w:pPr>
      <w:spacing w:after="0" w:line="240" w:lineRule="auto"/>
      <w:jc w:val="both"/>
    </w:pPr>
    <w:rPr>
      <w:rFonts w:ascii="Times New Roman" w:eastAsia="Times New Roman" w:hAnsi="Times New Roman" w:cs="Times New Roman"/>
      <w:sz w:val="20"/>
      <w:szCs w:val="20"/>
    </w:rPr>
  </w:style>
  <w:style w:type="paragraph" w:styleId="BodyText2">
    <w:name w:val="Body Text 2"/>
    <w:basedOn w:val="Normal"/>
    <w:link w:val="BodyText2Char"/>
    <w:rsid w:val="001F7F17"/>
    <w:pPr>
      <w:spacing w:after="0" w:line="240" w:lineRule="auto"/>
      <w:jc w:val="both"/>
    </w:pPr>
    <w:rPr>
      <w:rFonts w:ascii="Arial" w:eastAsia="Times New Roman" w:hAnsi="Arial" w:cs="Times New Roman"/>
      <w:sz w:val="18"/>
      <w:szCs w:val="20"/>
    </w:rPr>
  </w:style>
  <w:style w:type="character" w:customStyle="1" w:styleId="BodyText2Char">
    <w:name w:val="Body Text 2 Char"/>
    <w:basedOn w:val="DefaultParagraphFont"/>
    <w:link w:val="BodyText2"/>
    <w:rsid w:val="001F7F17"/>
    <w:rPr>
      <w:rFonts w:ascii="Arial" w:eastAsia="Times New Roman" w:hAnsi="Arial" w:cs="Times New Roman"/>
      <w:sz w:val="18"/>
      <w:szCs w:val="20"/>
    </w:rPr>
  </w:style>
  <w:style w:type="paragraph" w:customStyle="1" w:styleId="Text1">
    <w:name w:val="Text 1"/>
    <w:basedOn w:val="Normal"/>
    <w:rsid w:val="001F7F17"/>
    <w:pPr>
      <w:spacing w:after="240" w:line="240" w:lineRule="auto"/>
      <w:jc w:val="both"/>
    </w:pPr>
    <w:rPr>
      <w:rFonts w:ascii="Times New Roman" w:eastAsia="Times New Roman" w:hAnsi="Times New Roman" w:cs="Times New Roman"/>
      <w:sz w:val="24"/>
      <w:szCs w:val="24"/>
    </w:rPr>
  </w:style>
  <w:style w:type="character" w:customStyle="1" w:styleId="Text1Char1">
    <w:name w:val="Text 1 Char1"/>
    <w:rsid w:val="001F7F17"/>
    <w:rPr>
      <w:sz w:val="24"/>
      <w:lang w:val="fr-FR" w:eastAsia="fr-FR"/>
    </w:rPr>
  </w:style>
  <w:style w:type="paragraph" w:customStyle="1" w:styleId="StyleNum-DocParagraph12ptItalicBlackAfter6ptTop">
    <w:name w:val="Style Num-Doc Paragraph + 12 pt Italic Black After:  6 pt Top: ..."/>
    <w:basedOn w:val="Brdtekst1"/>
    <w:rsid w:val="001F7F17"/>
    <w:pPr>
      <w:pBdr>
        <w:top w:val="single" w:sz="12" w:space="0" w:color="auto"/>
        <w:left w:val="single" w:sz="12" w:space="4" w:color="auto"/>
        <w:bottom w:val="single" w:sz="12" w:space="1" w:color="auto"/>
        <w:right w:val="single" w:sz="12" w:space="4" w:color="auto"/>
      </w:pBdr>
      <w:spacing w:after="120"/>
    </w:pPr>
    <w:rPr>
      <w:i/>
      <w:iCs/>
      <w:color w:val="000000"/>
      <w:sz w:val="24"/>
    </w:rPr>
  </w:style>
  <w:style w:type="paragraph" w:customStyle="1" w:styleId="111">
    <w:name w:val="111"/>
    <w:basedOn w:val="Normal"/>
    <w:rsid w:val="001F7F17"/>
    <w:pPr>
      <w:tabs>
        <w:tab w:val="num" w:pos="720"/>
      </w:tabs>
      <w:spacing w:after="0" w:line="240" w:lineRule="auto"/>
      <w:ind w:left="720" w:hanging="360"/>
    </w:pPr>
    <w:rPr>
      <w:rFonts w:ascii="Times New Roman" w:eastAsia="Times New Roman" w:hAnsi="Times New Roman" w:cs="Times New Roman"/>
      <w:b/>
      <w:bCs/>
      <w:color w:val="000000"/>
      <w:sz w:val="24"/>
      <w:szCs w:val="24"/>
    </w:rPr>
  </w:style>
  <w:style w:type="paragraph" w:customStyle="1" w:styleId="TexteGras">
    <w:name w:val="Texte Gras"/>
    <w:basedOn w:val="Normal"/>
    <w:rsid w:val="001F7F17"/>
    <w:pPr>
      <w:spacing w:after="0" w:line="240" w:lineRule="auto"/>
      <w:outlineLvl w:val="0"/>
    </w:pPr>
    <w:rPr>
      <w:rFonts w:ascii="Times New Roman" w:eastAsia="Times New Roman" w:hAnsi="Times New Roman" w:cs="Times New Roman"/>
      <w:b/>
      <w:color w:val="000000"/>
      <w:sz w:val="24"/>
      <w:szCs w:val="24"/>
    </w:rPr>
  </w:style>
  <w:style w:type="paragraph" w:styleId="TOC4">
    <w:name w:val="toc 4"/>
    <w:basedOn w:val="Normal"/>
    <w:next w:val="Normal"/>
    <w:autoRedefine/>
    <w:uiPriority w:val="39"/>
    <w:rsid w:val="001F7F17"/>
    <w:pPr>
      <w:tabs>
        <w:tab w:val="left" w:pos="1680"/>
        <w:tab w:val="right" w:pos="7920"/>
      </w:tabs>
      <w:spacing w:after="0" w:line="240" w:lineRule="auto"/>
      <w:ind w:left="1620" w:right="1113" w:hanging="1260"/>
    </w:pPr>
    <w:rPr>
      <w:rFonts w:ascii="Times New Roman" w:eastAsia="Times New Roman" w:hAnsi="Times New Roman" w:cs="Times New Roman"/>
      <w:i/>
      <w:sz w:val="20"/>
      <w:szCs w:val="24"/>
    </w:rPr>
  </w:style>
  <w:style w:type="paragraph" w:customStyle="1" w:styleId="StyleBoldItalicBlackUnderline">
    <w:name w:val="Style Bold Italic Black Underline"/>
    <w:basedOn w:val="Normal"/>
    <w:rsid w:val="001F7F17"/>
    <w:pPr>
      <w:spacing w:after="0" w:line="240" w:lineRule="auto"/>
      <w:outlineLvl w:val="0"/>
    </w:pPr>
    <w:rPr>
      <w:rFonts w:ascii="Times New Roman" w:eastAsia="Times New Roman" w:hAnsi="Times New Roman" w:cs="Times New Roman"/>
      <w:b/>
      <w:i/>
      <w:color w:val="000000"/>
      <w:sz w:val="24"/>
      <w:szCs w:val="24"/>
      <w:u w:val="single"/>
    </w:rPr>
  </w:style>
  <w:style w:type="paragraph" w:customStyle="1" w:styleId="StyleBoldItalicBlackUnderlineJustified">
    <w:name w:val="Style Bold Italic Black Underline Justified"/>
    <w:basedOn w:val="Normal"/>
    <w:rsid w:val="001F7F17"/>
    <w:pPr>
      <w:numPr>
        <w:numId w:val="5"/>
      </w:numPr>
      <w:spacing w:after="0" w:line="240" w:lineRule="auto"/>
      <w:jc w:val="both"/>
    </w:pPr>
    <w:rPr>
      <w:rFonts w:ascii="Times New Roman" w:eastAsia="Times New Roman" w:hAnsi="Times New Roman" w:cs="Times New Roman"/>
      <w:b/>
      <w:bCs/>
      <w:i/>
      <w:iCs/>
      <w:color w:val="000000"/>
      <w:sz w:val="24"/>
      <w:szCs w:val="20"/>
      <w:u w:val="single"/>
    </w:rPr>
  </w:style>
  <w:style w:type="paragraph" w:customStyle="1" w:styleId="StyleText1CharBoldBlack">
    <w:name w:val="Style Text 1 Char + Bold Black"/>
    <w:basedOn w:val="Text1Char"/>
    <w:rsid w:val="001F7F17"/>
    <w:pPr>
      <w:tabs>
        <w:tab w:val="num" w:pos="540"/>
      </w:tabs>
    </w:pPr>
    <w:rPr>
      <w:b/>
      <w:bCs/>
      <w:color w:val="000000"/>
    </w:rPr>
  </w:style>
  <w:style w:type="paragraph" w:customStyle="1" w:styleId="StyleText1ItalicBlack">
    <w:name w:val="Style Text 1 + Italic Black"/>
    <w:basedOn w:val="Text1"/>
    <w:rsid w:val="001F7F17"/>
    <w:pPr>
      <w:numPr>
        <w:numId w:val="4"/>
      </w:numPr>
      <w:tabs>
        <w:tab w:val="clear" w:pos="360"/>
      </w:tabs>
    </w:pPr>
    <w:rPr>
      <w:iCs/>
      <w:color w:val="000000"/>
    </w:rPr>
  </w:style>
  <w:style w:type="character" w:customStyle="1" w:styleId="StyleText1ItalicBlackChar">
    <w:name w:val="Style Text 1 + Italic Black Char"/>
    <w:rsid w:val="001F7F17"/>
    <w:rPr>
      <w:color w:val="000000"/>
      <w:sz w:val="24"/>
      <w:lang w:val="fr-FR" w:eastAsia="fr-FR"/>
    </w:rPr>
  </w:style>
  <w:style w:type="paragraph" w:customStyle="1" w:styleId="StyleText1CharItalicBlackAfter0pt">
    <w:name w:val="Style Text 1 Char + Italic Black After:  0 pt"/>
    <w:basedOn w:val="Text1Char"/>
    <w:rsid w:val="001F7F17"/>
    <w:pPr>
      <w:spacing w:after="0"/>
    </w:pPr>
    <w:rPr>
      <w:iCs/>
      <w:color w:val="000000"/>
      <w:szCs w:val="20"/>
    </w:rPr>
  </w:style>
  <w:style w:type="paragraph" w:customStyle="1" w:styleId="StyleText1CharItalicBlack">
    <w:name w:val="Style Text 1 Char + Italic Black"/>
    <w:basedOn w:val="Text1Char"/>
    <w:rsid w:val="001F7F17"/>
    <w:rPr>
      <w:iCs/>
      <w:color w:val="000000"/>
    </w:rPr>
  </w:style>
  <w:style w:type="character" w:customStyle="1" w:styleId="StyleText1CharItalicBlackChar">
    <w:name w:val="Style Text 1 Char + Italic Black Char"/>
    <w:rsid w:val="001F7F17"/>
    <w:rPr>
      <w:color w:val="000000"/>
      <w:sz w:val="24"/>
      <w:lang w:val="fr-FR" w:eastAsia="fr-FR"/>
    </w:rPr>
  </w:style>
  <w:style w:type="paragraph" w:customStyle="1" w:styleId="StyleStyleNum-DocParagraph12ptItalicBlackAfter6ptTop">
    <w:name w:val="Style Style Num-Doc Paragraph + 12 pt Italic Black After:  6 pt Top..."/>
    <w:basedOn w:val="StyleNum-DocParagraph12ptItalicBlackAfter6ptTop"/>
    <w:rsid w:val="001F7F17"/>
    <w:pPr>
      <w:tabs>
        <w:tab w:val="num" w:pos="720"/>
      </w:tabs>
      <w:spacing w:before="120"/>
      <w:ind w:left="720" w:hanging="360"/>
    </w:pPr>
    <w:rPr>
      <w:i w:val="0"/>
      <w:iCs w:val="0"/>
    </w:rPr>
  </w:style>
  <w:style w:type="table" w:styleId="TableGrid">
    <w:name w:val="Table Grid"/>
    <w:basedOn w:val="TableNormal"/>
    <w:rsid w:val="001F7F1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1F7F1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1F7F17"/>
    <w:rPr>
      <w:rFonts w:ascii="Tahoma" w:eastAsia="Times New Roman" w:hAnsi="Tahoma" w:cs="Tahoma"/>
      <w:sz w:val="16"/>
      <w:szCs w:val="16"/>
      <w:lang w:eastAsia="fr-FR"/>
    </w:rPr>
  </w:style>
  <w:style w:type="paragraph" w:styleId="NormalWeb">
    <w:name w:val="Normal (Web)"/>
    <w:basedOn w:val="Normal"/>
    <w:rsid w:val="001F7F17"/>
    <w:pPr>
      <w:spacing w:before="100" w:beforeAutospacing="1" w:after="100" w:afterAutospacing="1" w:line="240" w:lineRule="auto"/>
    </w:pPr>
    <w:rPr>
      <w:rFonts w:ascii="Times New Roman" w:eastAsia="Times New Roman" w:hAnsi="Times New Roman" w:cs="Times New Roman"/>
      <w:sz w:val="24"/>
      <w:szCs w:val="24"/>
    </w:rPr>
  </w:style>
  <w:style w:type="paragraph" w:styleId="TOC5">
    <w:name w:val="toc 5"/>
    <w:basedOn w:val="Normal"/>
    <w:next w:val="Normal"/>
    <w:autoRedefine/>
    <w:uiPriority w:val="39"/>
    <w:rsid w:val="001F7F17"/>
    <w:pPr>
      <w:spacing w:after="0" w:line="240" w:lineRule="auto"/>
      <w:ind w:left="960"/>
    </w:pPr>
    <w:rPr>
      <w:rFonts w:ascii="Times New Roman" w:eastAsia="Times New Roman" w:hAnsi="Times New Roman" w:cs="Times New Roman"/>
      <w:sz w:val="24"/>
      <w:szCs w:val="24"/>
    </w:rPr>
  </w:style>
  <w:style w:type="paragraph" w:styleId="TOC6">
    <w:name w:val="toc 6"/>
    <w:basedOn w:val="Normal"/>
    <w:next w:val="Normal"/>
    <w:autoRedefine/>
    <w:uiPriority w:val="39"/>
    <w:rsid w:val="001F7F17"/>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uiPriority w:val="39"/>
    <w:rsid w:val="001F7F17"/>
    <w:pPr>
      <w:spacing w:after="0" w:line="240" w:lineRule="auto"/>
      <w:ind w:left="1440"/>
    </w:pPr>
    <w:rPr>
      <w:rFonts w:ascii="Times New Roman" w:eastAsia="Times New Roman" w:hAnsi="Times New Roman" w:cs="Times New Roman"/>
      <w:sz w:val="24"/>
      <w:szCs w:val="24"/>
    </w:rPr>
  </w:style>
  <w:style w:type="paragraph" w:styleId="TOC8">
    <w:name w:val="toc 8"/>
    <w:basedOn w:val="Normal"/>
    <w:next w:val="Normal"/>
    <w:autoRedefine/>
    <w:uiPriority w:val="39"/>
    <w:rsid w:val="001F7F17"/>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uiPriority w:val="39"/>
    <w:rsid w:val="001F7F17"/>
    <w:pPr>
      <w:spacing w:after="0" w:line="240" w:lineRule="auto"/>
      <w:ind w:left="1920"/>
    </w:pPr>
    <w:rPr>
      <w:rFonts w:ascii="Times New Roman" w:eastAsia="Times New Roman" w:hAnsi="Times New Roman" w:cs="Times New Roman"/>
      <w:sz w:val="24"/>
      <w:szCs w:val="24"/>
    </w:rPr>
  </w:style>
  <w:style w:type="character" w:styleId="CommentReference">
    <w:name w:val="annotation reference"/>
    <w:uiPriority w:val="99"/>
    <w:rsid w:val="001F7F17"/>
    <w:rPr>
      <w:rFonts w:cs="Times New Roman"/>
      <w:sz w:val="16"/>
    </w:rPr>
  </w:style>
  <w:style w:type="paragraph" w:styleId="CommentText">
    <w:name w:val="annotation text"/>
    <w:basedOn w:val="Normal"/>
    <w:link w:val="CommentTextChar"/>
    <w:uiPriority w:val="99"/>
    <w:rsid w:val="001F7F1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F7F17"/>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semiHidden/>
    <w:rsid w:val="001F7F17"/>
    <w:rPr>
      <w:b/>
      <w:bCs/>
    </w:rPr>
  </w:style>
  <w:style w:type="character" w:customStyle="1" w:styleId="CommentSubjectChar">
    <w:name w:val="Comment Subject Char"/>
    <w:basedOn w:val="CommentTextChar"/>
    <w:link w:val="CommentSubject"/>
    <w:semiHidden/>
    <w:rsid w:val="001F7F17"/>
    <w:rPr>
      <w:rFonts w:ascii="Times New Roman" w:eastAsia="Times New Roman" w:hAnsi="Times New Roman" w:cs="Times New Roman"/>
      <w:b/>
      <w:bCs/>
      <w:sz w:val="20"/>
      <w:szCs w:val="20"/>
      <w:lang w:eastAsia="fr-FR"/>
    </w:rPr>
  </w:style>
  <w:style w:type="paragraph" w:customStyle="1" w:styleId="Default">
    <w:name w:val="Default"/>
    <w:rsid w:val="001F7F1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llowedHyperlink">
    <w:name w:val="FollowedHyperlink"/>
    <w:uiPriority w:val="99"/>
    <w:rsid w:val="001F7F17"/>
    <w:rPr>
      <w:rFonts w:cs="Times New Roman"/>
      <w:color w:val="606420"/>
      <w:u w:val="single"/>
    </w:rPr>
  </w:style>
  <w:style w:type="paragraph" w:styleId="ListParagraph">
    <w:name w:val="List Paragraph"/>
    <w:basedOn w:val="Normal"/>
    <w:uiPriority w:val="34"/>
    <w:qFormat/>
    <w:rsid w:val="001F7F17"/>
    <w:pPr>
      <w:ind w:left="720"/>
      <w:contextualSpacing/>
    </w:pPr>
    <w:rPr>
      <w:rFonts w:ascii="Calibri" w:eastAsia="Times New Roman" w:hAnsi="Calibri" w:cs="Times New Roman"/>
    </w:rPr>
  </w:style>
  <w:style w:type="paragraph" w:customStyle="1" w:styleId="Tekstas">
    <w:name w:val="Tekstas"/>
    <w:basedOn w:val="Normal"/>
    <w:rsid w:val="001F7F17"/>
    <w:pPr>
      <w:spacing w:after="120" w:line="240" w:lineRule="auto"/>
      <w:jc w:val="both"/>
    </w:pPr>
    <w:rPr>
      <w:rFonts w:ascii="Times New Roman" w:eastAsia="Times New Roman" w:hAnsi="Times New Roman" w:cs="Times New Roman"/>
      <w:sz w:val="24"/>
      <w:szCs w:val="24"/>
    </w:rPr>
  </w:style>
  <w:style w:type="paragraph" w:styleId="Caption">
    <w:name w:val="caption"/>
    <w:basedOn w:val="Normal"/>
    <w:next w:val="Normal"/>
    <w:autoRedefine/>
    <w:qFormat/>
    <w:rsid w:val="00B93385"/>
    <w:pPr>
      <w:spacing w:after="80" w:line="240" w:lineRule="auto"/>
      <w:jc w:val="center"/>
    </w:pPr>
    <w:rPr>
      <w:rFonts w:ascii="Times New Roman" w:eastAsia="Calibri" w:hAnsi="Times New Roman" w:cs="Times New Roman"/>
      <w:b/>
      <w:bCs/>
      <w:szCs w:val="20"/>
    </w:rPr>
  </w:style>
  <w:style w:type="paragraph" w:customStyle="1" w:styleId="Corpsdetexte2">
    <w:name w:val="Corps de texte2"/>
    <w:basedOn w:val="Normal"/>
    <w:rsid w:val="001F7F17"/>
    <w:pPr>
      <w:spacing w:before="100" w:after="100" w:line="240" w:lineRule="auto"/>
      <w:jc w:val="both"/>
    </w:pPr>
    <w:rPr>
      <w:rFonts w:ascii="Times New Roman" w:eastAsia="SimSun" w:hAnsi="Times New Roman" w:cs="Times New Roman"/>
      <w:sz w:val="24"/>
      <w:szCs w:val="20"/>
    </w:rPr>
  </w:style>
  <w:style w:type="paragraph" w:customStyle="1" w:styleId="CharZchnZchn1">
    <w:name w:val="Char Zchn Zchn1"/>
    <w:basedOn w:val="Normal"/>
    <w:rsid w:val="001F7F17"/>
    <w:pPr>
      <w:spacing w:after="160" w:line="240" w:lineRule="exact"/>
    </w:pPr>
    <w:rPr>
      <w:rFonts w:ascii="Tahoma" w:eastAsia="Times New Roman" w:hAnsi="Tahoma" w:cs="Times New Roman"/>
      <w:sz w:val="20"/>
      <w:szCs w:val="20"/>
    </w:rPr>
  </w:style>
  <w:style w:type="paragraph" w:styleId="Revision">
    <w:name w:val="Revision"/>
    <w:hidden/>
    <w:uiPriority w:val="99"/>
    <w:semiHidden/>
    <w:rsid w:val="001F7F17"/>
    <w:pPr>
      <w:spacing w:after="0" w:line="240" w:lineRule="auto"/>
    </w:pPr>
    <w:rPr>
      <w:rFonts w:ascii="Times New Roman" w:eastAsia="Times New Roman" w:hAnsi="Times New Roman" w:cs="Times New Roman"/>
      <w:sz w:val="24"/>
      <w:szCs w:val="24"/>
    </w:rPr>
  </w:style>
  <w:style w:type="paragraph" w:customStyle="1" w:styleId="Text2">
    <w:name w:val="Text 2"/>
    <w:basedOn w:val="Normal"/>
    <w:rsid w:val="001F7F17"/>
    <w:pPr>
      <w:tabs>
        <w:tab w:val="left" w:pos="2161"/>
      </w:tabs>
      <w:spacing w:after="240" w:line="240" w:lineRule="auto"/>
      <w:ind w:left="1202"/>
      <w:jc w:val="both"/>
    </w:pPr>
    <w:rPr>
      <w:rFonts w:ascii="Times New Roman" w:eastAsia="Times New Roman" w:hAnsi="Times New Roman" w:cs="Times New Roman"/>
      <w:sz w:val="24"/>
      <w:szCs w:val="20"/>
    </w:rPr>
  </w:style>
  <w:style w:type="character" w:customStyle="1" w:styleId="Heading1Char1">
    <w:name w:val="Heading 1 Char1"/>
    <w:aliases w:val="Heading 1 Char Char,Heading 1 Char1 Char1 Char,Heading 1 Char Char Char1 Char,Heading 1 Char1 Char1 Char Char Char,Heading 1 Char Char Char1 Char Char Char,Heading 1 Char Char1 Char,Heading 1 Char1 Char1 Char1 Char"/>
    <w:rsid w:val="001F7F17"/>
    <w:rPr>
      <w:rFonts w:eastAsia="SimSun"/>
      <w:b/>
      <w:kern w:val="28"/>
      <w:sz w:val="32"/>
      <w:lang w:val="fr-FR" w:eastAsia="fr-FR" w:bidi="fr-FR"/>
    </w:rPr>
  </w:style>
  <w:style w:type="paragraph" w:styleId="ListBullet">
    <w:name w:val="List Bullet"/>
    <w:basedOn w:val="Normal"/>
    <w:autoRedefine/>
    <w:rsid w:val="001F7F17"/>
    <w:pPr>
      <w:tabs>
        <w:tab w:val="num" w:pos="360"/>
      </w:tabs>
      <w:spacing w:after="0" w:line="240" w:lineRule="auto"/>
      <w:ind w:left="360" w:hanging="360"/>
      <w:jc w:val="both"/>
    </w:pPr>
    <w:rPr>
      <w:rFonts w:ascii="Times New Roman" w:eastAsia="Times New Roman" w:hAnsi="Times New Roman" w:cs="Times New Roman"/>
      <w:sz w:val="24"/>
      <w:szCs w:val="20"/>
    </w:rPr>
  </w:style>
  <w:style w:type="paragraph" w:customStyle="1" w:styleId="SubTitle1">
    <w:name w:val="SubTitle 1"/>
    <w:basedOn w:val="Normal"/>
    <w:next w:val="Normal"/>
    <w:rsid w:val="001F7F17"/>
    <w:pPr>
      <w:spacing w:after="240" w:line="240" w:lineRule="auto"/>
      <w:jc w:val="center"/>
    </w:pPr>
    <w:rPr>
      <w:rFonts w:ascii="Times New Roman" w:eastAsia="Times New Roman" w:hAnsi="Times New Roman" w:cs="Times New Roman"/>
      <w:b/>
      <w:snapToGrid w:val="0"/>
      <w:sz w:val="40"/>
      <w:szCs w:val="20"/>
    </w:rPr>
  </w:style>
  <w:style w:type="paragraph" w:customStyle="1" w:styleId="Application1">
    <w:name w:val="Application1"/>
    <w:basedOn w:val="Heading1"/>
    <w:next w:val="Application2"/>
    <w:rsid w:val="001F7F17"/>
    <w:pPr>
      <w:pageBreakBefore/>
      <w:widowControl w:val="0"/>
      <w:pBdr>
        <w:top w:val="none" w:sz="0" w:space="0" w:color="auto"/>
        <w:left w:val="none" w:sz="0" w:space="0" w:color="auto"/>
        <w:right w:val="none" w:sz="0" w:space="0" w:color="auto"/>
      </w:pBdr>
      <w:shd w:val="clear" w:color="auto" w:fill="auto"/>
      <w:tabs>
        <w:tab w:val="num" w:pos="720"/>
      </w:tabs>
      <w:spacing w:before="0" w:after="480"/>
      <w:jc w:val="left"/>
    </w:pPr>
    <w:rPr>
      <w:rFonts w:ascii="Arial" w:hAnsi="Arial"/>
      <w:caps/>
      <w:snapToGrid w:val="0"/>
      <w:sz w:val="28"/>
    </w:rPr>
  </w:style>
  <w:style w:type="paragraph" w:customStyle="1" w:styleId="Application2">
    <w:name w:val="Application2"/>
    <w:basedOn w:val="Normal"/>
    <w:autoRedefine/>
    <w:rsid w:val="001F7F17"/>
    <w:pPr>
      <w:widowControl w:val="0"/>
      <w:suppressAutoHyphens/>
      <w:spacing w:before="120" w:after="120" w:line="240" w:lineRule="auto"/>
    </w:pPr>
    <w:rPr>
      <w:rFonts w:ascii="Times New Roman" w:eastAsia="Times New Roman" w:hAnsi="Times New Roman" w:cs="Times New Roman"/>
      <w:b/>
      <w:snapToGrid w:val="0"/>
      <w:spacing w:val="-2"/>
      <w:sz w:val="28"/>
      <w:szCs w:val="28"/>
      <w:u w:val="single"/>
    </w:rPr>
  </w:style>
  <w:style w:type="paragraph" w:customStyle="1" w:styleId="text20">
    <w:name w:val="text2"/>
    <w:basedOn w:val="Normal"/>
    <w:rsid w:val="001F7F17"/>
    <w:pPr>
      <w:spacing w:after="240" w:line="240" w:lineRule="auto"/>
      <w:ind w:left="1077"/>
    </w:pPr>
    <w:rPr>
      <w:rFonts w:ascii="Times New Roman" w:eastAsia="Times New Roman" w:hAnsi="Times New Roman" w:cs="Times New Roman"/>
      <w:sz w:val="24"/>
      <w:szCs w:val="20"/>
    </w:rPr>
  </w:style>
  <w:style w:type="paragraph" w:customStyle="1" w:styleId="text10">
    <w:name w:val="text1"/>
    <w:basedOn w:val="Normal"/>
    <w:rsid w:val="001F7F17"/>
    <w:pPr>
      <w:spacing w:after="240" w:line="240" w:lineRule="auto"/>
      <w:ind w:left="483"/>
    </w:pPr>
    <w:rPr>
      <w:rFonts w:ascii="Times New Roman" w:eastAsia="Times New Roman" w:hAnsi="Times New Roman" w:cs="Times New Roman"/>
      <w:sz w:val="24"/>
      <w:szCs w:val="20"/>
    </w:rPr>
  </w:style>
  <w:style w:type="paragraph" w:customStyle="1" w:styleId="text4">
    <w:name w:val="text4"/>
    <w:basedOn w:val="Normal"/>
    <w:rsid w:val="001F7F17"/>
    <w:pPr>
      <w:spacing w:after="240" w:line="240" w:lineRule="auto"/>
      <w:ind w:left="2880"/>
    </w:pPr>
    <w:rPr>
      <w:rFonts w:ascii="Times New Roman" w:eastAsia="Times New Roman" w:hAnsi="Times New Roman" w:cs="Times New Roman"/>
      <w:sz w:val="24"/>
      <w:szCs w:val="20"/>
    </w:rPr>
  </w:style>
  <w:style w:type="paragraph" w:styleId="Title">
    <w:name w:val="Title"/>
    <w:basedOn w:val="Normal"/>
    <w:link w:val="TitleChar"/>
    <w:qFormat/>
    <w:rsid w:val="001F7F17"/>
    <w:pPr>
      <w:widowControl w:val="0"/>
      <w:tabs>
        <w:tab w:val="left" w:pos="-720"/>
      </w:tabs>
      <w:suppressAutoHyphens/>
      <w:spacing w:after="0" w:line="240" w:lineRule="auto"/>
      <w:jc w:val="center"/>
    </w:pPr>
    <w:rPr>
      <w:rFonts w:ascii="Times New Roman" w:eastAsia="Times New Roman" w:hAnsi="Times New Roman" w:cs="Times New Roman"/>
      <w:b/>
      <w:snapToGrid w:val="0"/>
      <w:sz w:val="48"/>
      <w:szCs w:val="20"/>
    </w:rPr>
  </w:style>
  <w:style w:type="character" w:customStyle="1" w:styleId="TitleChar">
    <w:name w:val="Title Char"/>
    <w:basedOn w:val="DefaultParagraphFont"/>
    <w:link w:val="Title"/>
    <w:rsid w:val="001F7F17"/>
    <w:rPr>
      <w:rFonts w:ascii="Times New Roman" w:eastAsia="Times New Roman" w:hAnsi="Times New Roman" w:cs="Times New Roman"/>
      <w:b/>
      <w:snapToGrid w:val="0"/>
      <w:sz w:val="48"/>
      <w:szCs w:val="20"/>
      <w:lang w:val="fr-FR" w:eastAsia="fr-FR"/>
    </w:rPr>
  </w:style>
  <w:style w:type="paragraph" w:customStyle="1" w:styleId="internormal">
    <w:name w:val="internormal"/>
    <w:basedOn w:val="Normal"/>
    <w:rsid w:val="001F7F17"/>
    <w:pPr>
      <w:spacing w:after="0" w:line="240" w:lineRule="auto"/>
      <w:ind w:left="1701"/>
      <w:jc w:val="both"/>
    </w:pPr>
    <w:rPr>
      <w:rFonts w:ascii="Optima" w:eastAsia="Times New Roman" w:hAnsi="Optima" w:cs="Times New Roman"/>
      <w:szCs w:val="20"/>
    </w:rPr>
  </w:style>
  <w:style w:type="paragraph" w:styleId="BodyTextIndent">
    <w:name w:val="Body Text Indent"/>
    <w:basedOn w:val="Normal"/>
    <w:link w:val="BodyTextIndentChar"/>
    <w:rsid w:val="001F7F17"/>
    <w:pPr>
      <w:spacing w:after="0" w:line="240" w:lineRule="auto"/>
    </w:pPr>
    <w:rPr>
      <w:rFonts w:ascii="Times New Roman" w:eastAsia="Times New Roman" w:hAnsi="Times New Roman" w:cs="Times New Roman"/>
      <w:b/>
      <w:sz w:val="20"/>
      <w:szCs w:val="20"/>
    </w:rPr>
  </w:style>
  <w:style w:type="character" w:customStyle="1" w:styleId="BodyTextIndentChar">
    <w:name w:val="Body Text Indent Char"/>
    <w:basedOn w:val="DefaultParagraphFont"/>
    <w:link w:val="BodyTextIndent"/>
    <w:rsid w:val="001F7F17"/>
    <w:rPr>
      <w:rFonts w:ascii="Times New Roman" w:eastAsia="Times New Roman" w:hAnsi="Times New Roman" w:cs="Times New Roman"/>
      <w:b/>
      <w:sz w:val="20"/>
      <w:szCs w:val="20"/>
      <w:lang w:val="fr-FR"/>
    </w:rPr>
  </w:style>
  <w:style w:type="paragraph" w:customStyle="1" w:styleId="NoteHead">
    <w:name w:val="NoteHead"/>
    <w:basedOn w:val="Normal"/>
    <w:next w:val="Normal"/>
    <w:rsid w:val="001F7F17"/>
    <w:pPr>
      <w:spacing w:before="720" w:after="720" w:line="240" w:lineRule="auto"/>
      <w:jc w:val="center"/>
    </w:pPr>
    <w:rPr>
      <w:rFonts w:ascii="Times New Roman" w:eastAsia="Times New Roman" w:hAnsi="Times New Roman" w:cs="Times New Roman"/>
      <w:b/>
      <w:smallCaps/>
      <w:sz w:val="24"/>
      <w:szCs w:val="20"/>
    </w:rPr>
  </w:style>
  <w:style w:type="character" w:customStyle="1" w:styleId="NormalIndentChar">
    <w:name w:val="Normal Indent Char"/>
    <w:link w:val="NormalIndent"/>
    <w:rsid w:val="001F7F17"/>
    <w:rPr>
      <w:rFonts w:ascii="Times New Roman" w:eastAsia="Times New Roman" w:hAnsi="Times New Roman" w:cs="Times New Roman"/>
      <w:sz w:val="20"/>
      <w:szCs w:val="20"/>
      <w:lang w:val="fr-FR"/>
    </w:rPr>
  </w:style>
  <w:style w:type="character" w:customStyle="1" w:styleId="NormalIndent1Char">
    <w:name w:val="Normal Indent 1 Char"/>
    <w:link w:val="NormalIndent1"/>
    <w:rsid w:val="001F7F17"/>
    <w:rPr>
      <w:rFonts w:ascii="Times New Roman" w:eastAsia="Times New Roman" w:hAnsi="Times New Roman" w:cs="Times New Roman"/>
      <w:i/>
      <w:sz w:val="24"/>
      <w:szCs w:val="20"/>
      <w:lang w:val="fr-FR"/>
    </w:rPr>
  </w:style>
  <w:style w:type="paragraph" w:customStyle="1" w:styleId="normaltableau">
    <w:name w:val="normal_tableau"/>
    <w:basedOn w:val="Normal"/>
    <w:rsid w:val="001F7F17"/>
    <w:pPr>
      <w:spacing w:before="120" w:after="120" w:line="240" w:lineRule="auto"/>
      <w:jc w:val="both"/>
    </w:pPr>
    <w:rPr>
      <w:rFonts w:ascii="Optima" w:eastAsia="Times New Roman" w:hAnsi="Optima" w:cs="Times New Roman"/>
      <w:szCs w:val="20"/>
    </w:rPr>
  </w:style>
  <w:style w:type="paragraph" w:customStyle="1" w:styleId="article1">
    <w:name w:val="article1"/>
    <w:basedOn w:val="Normal"/>
    <w:rsid w:val="001F7F17"/>
    <w:pPr>
      <w:spacing w:before="240" w:after="0" w:line="240" w:lineRule="auto"/>
      <w:ind w:left="1701"/>
      <w:jc w:val="center"/>
    </w:pPr>
    <w:rPr>
      <w:rFonts w:ascii="Optima" w:eastAsia="Times New Roman" w:hAnsi="Optima" w:cs="Times New Roman"/>
      <w:b/>
      <w:szCs w:val="20"/>
      <w:u w:val="single"/>
    </w:rPr>
  </w:style>
  <w:style w:type="paragraph" w:customStyle="1" w:styleId="TableTitle">
    <w:name w:val="Table Title"/>
    <w:basedOn w:val="Normal"/>
    <w:next w:val="Normal"/>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b/>
      <w:szCs w:val="20"/>
    </w:rPr>
  </w:style>
  <w:style w:type="paragraph" w:customStyle="1" w:styleId="TableSub-title">
    <w:name w:val="Table Sub-title"/>
    <w:basedOn w:val="Normal"/>
    <w:next w:val="BodyText"/>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szCs w:val="20"/>
    </w:rPr>
  </w:style>
  <w:style w:type="paragraph" w:customStyle="1" w:styleId="SourceDescription">
    <w:name w:val="Source Description"/>
    <w:basedOn w:val="Normal"/>
    <w:next w:val="BodyText"/>
    <w:rsid w:val="001F7F17"/>
    <w:pPr>
      <w:widowControl w:val="0"/>
      <w:tabs>
        <w:tab w:val="left" w:pos="851"/>
        <w:tab w:val="left" w:pos="1191"/>
        <w:tab w:val="left" w:pos="1531"/>
      </w:tabs>
      <w:spacing w:after="0" w:line="240" w:lineRule="auto"/>
      <w:jc w:val="both"/>
    </w:pPr>
    <w:rPr>
      <w:rFonts w:ascii="Helvetica" w:eastAsia="Times New Roman" w:hAnsi="Helvetica" w:cs="Times New Roman"/>
      <w:sz w:val="18"/>
      <w:szCs w:val="20"/>
    </w:rPr>
  </w:style>
  <w:style w:type="paragraph" w:customStyle="1" w:styleId="Blockquote">
    <w:name w:val="Blockquote"/>
    <w:basedOn w:val="Normal"/>
    <w:rsid w:val="001F7F17"/>
    <w:pPr>
      <w:widowControl w:val="0"/>
      <w:spacing w:before="100" w:after="100" w:line="240" w:lineRule="auto"/>
      <w:ind w:left="360" w:right="360"/>
    </w:pPr>
    <w:rPr>
      <w:rFonts w:ascii="Times New Roman" w:eastAsia="Times New Roman" w:hAnsi="Times New Roman" w:cs="Times New Roman"/>
      <w:snapToGrid w:val="0"/>
      <w:sz w:val="24"/>
      <w:szCs w:val="20"/>
    </w:rPr>
  </w:style>
  <w:style w:type="character" w:styleId="Strong">
    <w:name w:val="Strong"/>
    <w:qFormat/>
    <w:rsid w:val="001F7F17"/>
    <w:rPr>
      <w:b/>
    </w:rPr>
  </w:style>
  <w:style w:type="paragraph" w:customStyle="1" w:styleId="Text11">
    <w:name w:val="Text 11"/>
    <w:basedOn w:val="Normal"/>
    <w:rsid w:val="001F7F17"/>
    <w:pPr>
      <w:spacing w:after="240" w:line="240" w:lineRule="auto"/>
      <w:jc w:val="both"/>
    </w:pPr>
    <w:rPr>
      <w:rFonts w:ascii="Times New Roman" w:eastAsia="Times New Roman" w:hAnsi="Times New Roman" w:cs="Times New Roman"/>
      <w:sz w:val="24"/>
      <w:szCs w:val="20"/>
    </w:rPr>
  </w:style>
  <w:style w:type="paragraph" w:customStyle="1" w:styleId="Num-DocParagraph1">
    <w:name w:val="Num-Doc Paragraph1"/>
    <w:basedOn w:val="Normal"/>
    <w:rsid w:val="001F7F17"/>
    <w:pPr>
      <w:tabs>
        <w:tab w:val="left" w:pos="851"/>
        <w:tab w:val="left" w:pos="1191"/>
        <w:tab w:val="left" w:pos="1531"/>
      </w:tabs>
      <w:spacing w:after="240" w:line="240" w:lineRule="auto"/>
      <w:jc w:val="both"/>
    </w:pPr>
    <w:rPr>
      <w:rFonts w:ascii="Times" w:eastAsia="Times New Roman" w:hAnsi="Times" w:cs="Times New Roman"/>
      <w:szCs w:val="20"/>
    </w:rPr>
  </w:style>
  <w:style w:type="paragraph" w:customStyle="1" w:styleId="Text12">
    <w:name w:val="Text 12"/>
    <w:basedOn w:val="Normal"/>
    <w:rsid w:val="001F7F17"/>
    <w:pPr>
      <w:spacing w:after="240" w:line="240" w:lineRule="auto"/>
      <w:jc w:val="both"/>
    </w:pPr>
    <w:rPr>
      <w:rFonts w:ascii="Times New Roman" w:eastAsia="Times New Roman" w:hAnsi="Times New Roman" w:cs="Times New Roman"/>
      <w:sz w:val="24"/>
      <w:szCs w:val="20"/>
    </w:rPr>
  </w:style>
  <w:style w:type="paragraph" w:customStyle="1" w:styleId="Text1Char2">
    <w:name w:val="Text 1 Char2"/>
    <w:basedOn w:val="Normal"/>
    <w:rsid w:val="001F7F17"/>
    <w:pPr>
      <w:spacing w:after="240" w:line="240" w:lineRule="auto"/>
      <w:jc w:val="both"/>
    </w:pPr>
    <w:rPr>
      <w:rFonts w:ascii="Times New Roman" w:eastAsia="Times New Roman" w:hAnsi="Times New Roman" w:cs="Times New Roman"/>
      <w:sz w:val="24"/>
      <w:szCs w:val="24"/>
    </w:rPr>
  </w:style>
  <w:style w:type="paragraph" w:customStyle="1" w:styleId="Num-DocParagraph2">
    <w:name w:val="Num-Doc Paragraph2"/>
    <w:basedOn w:val="Normal"/>
    <w:rsid w:val="001F7F17"/>
    <w:pPr>
      <w:tabs>
        <w:tab w:val="left" w:pos="851"/>
        <w:tab w:val="left" w:pos="1191"/>
        <w:tab w:val="left" w:pos="1531"/>
      </w:tabs>
      <w:spacing w:after="240" w:line="240" w:lineRule="auto"/>
      <w:jc w:val="both"/>
    </w:pPr>
    <w:rPr>
      <w:rFonts w:ascii="Times" w:eastAsia="Times New Roman" w:hAnsi="Times" w:cs="Times New Roman"/>
      <w:szCs w:val="20"/>
    </w:rPr>
  </w:style>
  <w:style w:type="paragraph" w:customStyle="1" w:styleId="NumPar2">
    <w:name w:val="NumPar 2"/>
    <w:basedOn w:val="Heading2"/>
    <w:next w:val="Text2"/>
    <w:rsid w:val="001F7F17"/>
    <w:pPr>
      <w:keepNext w:val="0"/>
      <w:numPr>
        <w:numId w:val="1"/>
      </w:numPr>
      <w:tabs>
        <w:tab w:val="clear" w:pos="360"/>
        <w:tab w:val="num" w:pos="1200"/>
      </w:tabs>
      <w:spacing w:before="0" w:after="240"/>
      <w:ind w:left="1200" w:hanging="720"/>
      <w:outlineLvl w:val="9"/>
    </w:pPr>
    <w:rPr>
      <w:rFonts w:eastAsia="Times New Roman"/>
      <w:sz w:val="24"/>
    </w:rPr>
  </w:style>
  <w:style w:type="paragraph" w:customStyle="1" w:styleId="SectionTitle">
    <w:name w:val="SectionTitle"/>
    <w:basedOn w:val="Normal"/>
    <w:next w:val="Heading1"/>
    <w:rsid w:val="001F7F17"/>
    <w:pPr>
      <w:keepNext/>
      <w:spacing w:after="480" w:line="240" w:lineRule="auto"/>
      <w:jc w:val="center"/>
    </w:pPr>
    <w:rPr>
      <w:rFonts w:ascii="Times New Roman" w:eastAsia="Times New Roman" w:hAnsi="Times New Roman" w:cs="Times New Roman"/>
      <w:b/>
      <w:smallCaps/>
      <w:sz w:val="28"/>
      <w:szCs w:val="20"/>
    </w:rPr>
  </w:style>
  <w:style w:type="paragraph" w:customStyle="1" w:styleId="Text3">
    <w:name w:val="Text 3"/>
    <w:basedOn w:val="Normal"/>
    <w:rsid w:val="001F7F17"/>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ListBullet1">
    <w:name w:val="List Bullet 1"/>
    <w:basedOn w:val="Text1"/>
    <w:rsid w:val="001F7F17"/>
    <w:pPr>
      <w:numPr>
        <w:numId w:val="2"/>
      </w:numPr>
    </w:pPr>
    <w:rPr>
      <w:szCs w:val="20"/>
    </w:rPr>
  </w:style>
  <w:style w:type="paragraph" w:customStyle="1" w:styleId="ListDash2">
    <w:name w:val="List Dash 2"/>
    <w:basedOn w:val="Text2"/>
    <w:rsid w:val="001F7F17"/>
    <w:pPr>
      <w:numPr>
        <w:numId w:val="6"/>
      </w:numPr>
      <w:tabs>
        <w:tab w:val="clear" w:pos="2161"/>
      </w:tabs>
    </w:pPr>
  </w:style>
  <w:style w:type="paragraph" w:customStyle="1" w:styleId="ListDash4">
    <w:name w:val="List Dash 4"/>
    <w:basedOn w:val="Normal"/>
    <w:rsid w:val="001F7F17"/>
    <w:pPr>
      <w:numPr>
        <w:numId w:val="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rsid w:val="001F7F17"/>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rsid w:val="001F7F17"/>
    <w:pPr>
      <w:numPr>
        <w:numId w:val="8"/>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rsid w:val="001F7F17"/>
    <w:pPr>
      <w:numPr>
        <w:ilvl w:val="1"/>
        <w:numId w:val="9"/>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rsid w:val="001F7F17"/>
    <w:pPr>
      <w:numPr>
        <w:ilvl w:val="2"/>
        <w:numId w:val="9"/>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rsid w:val="001F7F17"/>
    <w:pPr>
      <w:numPr>
        <w:ilvl w:val="3"/>
        <w:numId w:val="9"/>
      </w:numPr>
      <w:spacing w:after="240" w:line="240" w:lineRule="auto"/>
      <w:jc w:val="both"/>
    </w:pPr>
    <w:rPr>
      <w:rFonts w:ascii="Times New Roman" w:eastAsia="Times New Roman" w:hAnsi="Times New Roman" w:cs="Times New Roman"/>
      <w:sz w:val="24"/>
      <w:szCs w:val="20"/>
    </w:rPr>
  </w:style>
  <w:style w:type="paragraph" w:customStyle="1" w:styleId="BodySingle">
    <w:name w:val="Body Single"/>
    <w:basedOn w:val="BodyText"/>
    <w:rsid w:val="001F7F17"/>
    <w:pPr>
      <w:tabs>
        <w:tab w:val="clear" w:pos="851"/>
        <w:tab w:val="clear" w:pos="1191"/>
        <w:tab w:val="clear" w:pos="1531"/>
      </w:tabs>
      <w:spacing w:after="0" w:line="290" w:lineRule="atLeast"/>
      <w:jc w:val="left"/>
    </w:pPr>
    <w:rPr>
      <w:rFonts w:ascii="Times New Roman" w:hAnsi="Times New Roman"/>
      <w:sz w:val="24"/>
    </w:rPr>
  </w:style>
  <w:style w:type="paragraph" w:customStyle="1" w:styleId="BodyText21">
    <w:name w:val="Body Text 21"/>
    <w:basedOn w:val="Normal"/>
    <w:rsid w:val="001F7F17"/>
    <w:pPr>
      <w:tabs>
        <w:tab w:val="left" w:pos="420"/>
      </w:tabs>
      <w:spacing w:after="0" w:line="240" w:lineRule="auto"/>
      <w:jc w:val="both"/>
    </w:pPr>
    <w:rPr>
      <w:rFonts w:ascii="Times New Roman" w:eastAsia="Times New Roman" w:hAnsi="Times New Roman" w:cs="Times New Roman"/>
      <w:sz w:val="24"/>
      <w:szCs w:val="20"/>
    </w:rPr>
  </w:style>
  <w:style w:type="paragraph" w:customStyle="1" w:styleId="Table">
    <w:name w:val="Table"/>
    <w:basedOn w:val="Normal"/>
    <w:rsid w:val="001F7F17"/>
    <w:pPr>
      <w:keepNext/>
      <w:tabs>
        <w:tab w:val="left" w:pos="851"/>
      </w:tabs>
      <w:spacing w:after="0" w:line="240" w:lineRule="auto"/>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1F7F17"/>
    <w:pPr>
      <w:spacing w:after="160" w:line="240" w:lineRule="exact"/>
    </w:pPr>
    <w:rPr>
      <w:rFonts w:ascii="Tahoma" w:eastAsia="Times New Roman" w:hAnsi="Tahoma" w:cs="Times New Roman"/>
      <w:sz w:val="24"/>
      <w:szCs w:val="20"/>
    </w:rPr>
  </w:style>
  <w:style w:type="character" w:customStyle="1" w:styleId="Heading1Char1Char">
    <w:name w:val="Heading 1 Char1 Char"/>
    <w:aliases w:val="Heading 1 Char Char Char"/>
    <w:rsid w:val="001F7F17"/>
    <w:rPr>
      <w:b/>
    </w:rPr>
  </w:style>
  <w:style w:type="paragraph" w:styleId="EndnoteText">
    <w:name w:val="endnote text"/>
    <w:basedOn w:val="Normal"/>
    <w:link w:val="EndnoteTextChar"/>
    <w:uiPriority w:val="99"/>
    <w:rsid w:val="001F7F17"/>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1F7F17"/>
    <w:rPr>
      <w:rFonts w:ascii="Times New Roman" w:eastAsia="Times New Roman" w:hAnsi="Times New Roman" w:cs="Times New Roman"/>
      <w:sz w:val="20"/>
      <w:szCs w:val="20"/>
      <w:lang w:eastAsia="fr-FR"/>
    </w:rPr>
  </w:style>
  <w:style w:type="character" w:styleId="EndnoteReference">
    <w:name w:val="endnote reference"/>
    <w:uiPriority w:val="99"/>
    <w:rsid w:val="001F7F17"/>
    <w:rPr>
      <w:vertAlign w:val="superscript"/>
    </w:rPr>
  </w:style>
  <w:style w:type="character" w:customStyle="1" w:styleId="En-tte1">
    <w:name w:val="En-tête #1_"/>
    <w:link w:val="En-tte10"/>
    <w:uiPriority w:val="99"/>
    <w:rsid w:val="001F7F17"/>
    <w:rPr>
      <w:b/>
      <w:bCs/>
      <w:sz w:val="26"/>
      <w:szCs w:val="26"/>
      <w:shd w:val="clear" w:color="auto" w:fill="FFFFFF"/>
    </w:rPr>
  </w:style>
  <w:style w:type="paragraph" w:customStyle="1" w:styleId="En-tte10">
    <w:name w:val="En-tête #1"/>
    <w:basedOn w:val="Normal"/>
    <w:link w:val="En-tte1"/>
    <w:uiPriority w:val="99"/>
    <w:rsid w:val="001F7F17"/>
    <w:pPr>
      <w:widowControl w:val="0"/>
      <w:shd w:val="clear" w:color="auto" w:fill="FFFFFF"/>
      <w:spacing w:after="0" w:line="350" w:lineRule="exact"/>
      <w:jc w:val="center"/>
      <w:outlineLvl w:val="0"/>
    </w:pPr>
    <w:rPr>
      <w:b/>
      <w:bCs/>
      <w:sz w:val="26"/>
      <w:szCs w:val="26"/>
    </w:rPr>
  </w:style>
  <w:style w:type="character" w:customStyle="1" w:styleId="Style11pt1">
    <w:name w:val="Style 11 pt1"/>
    <w:rsid w:val="001F7F17"/>
    <w:rPr>
      <w:sz w:val="22"/>
      <w:szCs w:val="22"/>
    </w:rPr>
  </w:style>
  <w:style w:type="paragraph" w:styleId="TOCHeading">
    <w:name w:val="TOC Heading"/>
    <w:basedOn w:val="Heading1"/>
    <w:next w:val="Normal"/>
    <w:uiPriority w:val="39"/>
    <w:semiHidden/>
    <w:unhideWhenUsed/>
    <w:qFormat/>
    <w:rsid w:val="001F7F17"/>
    <w:pPr>
      <w:keepLines/>
      <w:pBdr>
        <w:top w:val="none" w:sz="0" w:space="0" w:color="auto"/>
        <w:left w:val="none" w:sz="0" w:space="0" w:color="auto"/>
        <w:right w:val="none" w:sz="0" w:space="0" w:color="auto"/>
      </w:pBdr>
      <w:shd w:val="clear" w:color="auto" w:fill="auto"/>
      <w:tabs>
        <w:tab w:val="clear" w:pos="360"/>
      </w:tabs>
      <w:spacing w:before="480" w:after="0" w:line="276" w:lineRule="auto"/>
      <w:ind w:left="0" w:firstLine="0"/>
      <w:jc w:val="left"/>
      <w:outlineLvl w:val="9"/>
    </w:pPr>
    <w:rPr>
      <w:rFonts w:ascii="Cambria" w:eastAsia="MS Gothic" w:hAnsi="Cambria"/>
      <w:bCs/>
      <w:color w:val="365F91"/>
      <w:kern w:val="0"/>
      <w:sz w:val="28"/>
      <w:szCs w:val="28"/>
    </w:rPr>
  </w:style>
  <w:style w:type="numbering" w:customStyle="1" w:styleId="NoList11">
    <w:name w:val="No List11"/>
    <w:next w:val="NoList"/>
    <w:uiPriority w:val="99"/>
    <w:semiHidden/>
    <w:rsid w:val="001F7F17"/>
  </w:style>
  <w:style w:type="paragraph" w:customStyle="1" w:styleId="BodyText1">
    <w:name w:val="Body Text1"/>
    <w:basedOn w:val="Normal"/>
    <w:rsid w:val="001F7F17"/>
    <w:pPr>
      <w:spacing w:after="0" w:line="240" w:lineRule="auto"/>
      <w:jc w:val="both"/>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next w:val="Normal"/>
    <w:rsid w:val="001F7F17"/>
    <w:pPr>
      <w:spacing w:after="160" w:line="240" w:lineRule="exact"/>
    </w:pPr>
    <w:rPr>
      <w:rFonts w:ascii="Tahoma" w:eastAsia="Times New Roman" w:hAnsi="Tahoma" w:cs="Times New Roman"/>
      <w:sz w:val="24"/>
      <w:szCs w:val="20"/>
    </w:rPr>
  </w:style>
  <w:style w:type="paragraph" w:customStyle="1" w:styleId="Subject">
    <w:name w:val="Subject"/>
    <w:basedOn w:val="Normal"/>
    <w:next w:val="Normal"/>
    <w:rsid w:val="001F7F17"/>
    <w:pPr>
      <w:spacing w:after="480" w:line="240" w:lineRule="auto"/>
      <w:ind w:left="1531" w:hanging="1531"/>
    </w:pPr>
    <w:rPr>
      <w:rFonts w:ascii="Times New Roman" w:eastAsia="Times New Roman" w:hAnsi="Times New Roman" w:cs="Times New Roman"/>
      <w:b/>
      <w:sz w:val="24"/>
      <w:szCs w:val="20"/>
    </w:rPr>
  </w:style>
  <w:style w:type="table" w:customStyle="1" w:styleId="TableGrid1">
    <w:name w:val="Table Grid1"/>
    <w:basedOn w:val="TableNormal"/>
    <w:next w:val="TableGrid"/>
    <w:rsid w:val="001F7F1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F7F1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F7F1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title">
    <w:name w:val="Annexe_title"/>
    <w:basedOn w:val="Heading1"/>
    <w:next w:val="Normal"/>
    <w:autoRedefine/>
    <w:rsid w:val="001F7F17"/>
    <w:pPr>
      <w:keepNext w:val="0"/>
      <w:pageBreakBefore/>
      <w:pBdr>
        <w:top w:val="none" w:sz="0" w:space="0" w:color="auto"/>
        <w:left w:val="none" w:sz="0" w:space="0" w:color="auto"/>
        <w:right w:val="none" w:sz="0" w:space="0" w:color="auto"/>
      </w:pBdr>
      <w:shd w:val="clear" w:color="auto" w:fill="auto"/>
      <w:tabs>
        <w:tab w:val="clear" w:pos="360"/>
      </w:tabs>
      <w:spacing w:before="0" w:after="240"/>
      <w:ind w:left="0" w:firstLine="0"/>
      <w:outlineLvl w:val="9"/>
    </w:pPr>
    <w:rPr>
      <w:caps/>
      <w:kern w:val="0"/>
    </w:rPr>
  </w:style>
  <w:style w:type="paragraph" w:styleId="PlainText">
    <w:name w:val="Plain Text"/>
    <w:basedOn w:val="Normal"/>
    <w:link w:val="PlainTextChar"/>
    <w:uiPriority w:val="99"/>
    <w:rsid w:val="001F7F17"/>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1F7F17"/>
    <w:rPr>
      <w:rFonts w:ascii="Courier New" w:eastAsia="Times New Roman" w:hAnsi="Courier New" w:cs="Courier New"/>
      <w:sz w:val="20"/>
      <w:szCs w:val="20"/>
      <w:lang w:eastAsia="fr-FR"/>
    </w:rPr>
  </w:style>
  <w:style w:type="paragraph" w:styleId="NoSpacing">
    <w:name w:val="No Spacing"/>
    <w:uiPriority w:val="1"/>
    <w:qFormat/>
    <w:rsid w:val="001F7F17"/>
    <w:pPr>
      <w:spacing w:after="0" w:line="240" w:lineRule="auto"/>
      <w:ind w:left="1701"/>
      <w:jc w:val="both"/>
    </w:pPr>
    <w:rPr>
      <w:rFonts w:ascii="Optima" w:eastAsia="Times New Roman" w:hAnsi="Optima" w:cs="Times New Roman"/>
      <w:szCs w:val="20"/>
    </w:rPr>
  </w:style>
  <w:style w:type="table" w:customStyle="1" w:styleId="TableGrid4">
    <w:name w:val="Table Grid4"/>
    <w:basedOn w:val="TableNormal"/>
    <w:next w:val="TableGrid"/>
    <w:uiPriority w:val="59"/>
    <w:rsid w:val="001F7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drant">
    <w:name w:val="Considérant"/>
    <w:basedOn w:val="Normal"/>
    <w:rsid w:val="001F7F17"/>
    <w:pPr>
      <w:numPr>
        <w:numId w:val="10"/>
      </w:numPr>
      <w:tabs>
        <w:tab w:val="num" w:pos="360"/>
      </w:tabs>
      <w:spacing w:before="120" w:after="120" w:line="240" w:lineRule="auto"/>
      <w:jc w:val="both"/>
    </w:pPr>
    <w:rPr>
      <w:rFonts w:ascii="Times New Roman" w:eastAsia="Calibri" w:hAnsi="Times New Roman" w:cs="Times New Roman"/>
      <w:sz w:val="24"/>
    </w:rPr>
  </w:style>
  <w:style w:type="paragraph" w:customStyle="1" w:styleId="xl65">
    <w:name w:val="xl65"/>
    <w:basedOn w:val="Normal"/>
    <w:rsid w:val="001F7F1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1F7F17"/>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1F7F1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1F7F17"/>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1F7F1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4">
    <w:name w:val="xl74"/>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5">
    <w:name w:val="xl75"/>
    <w:basedOn w:val="Normal"/>
    <w:rsid w:val="001F7F1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1F7F1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1F7F17"/>
    <w:pPr>
      <w:shd w:val="clear" w:color="000000"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1F7F17"/>
    <w:pP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1F7F1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0">
    <w:name w:val="xl80"/>
    <w:basedOn w:val="Normal"/>
    <w:rsid w:val="001F7F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2">
    <w:name w:val="xl82"/>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3">
    <w:name w:val="xl83"/>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4">
    <w:name w:val="xl84"/>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5">
    <w:name w:val="xl85"/>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6">
    <w:name w:val="xl86"/>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D0198E"/>
    <w:pPr>
      <w:widowControl w:val="0"/>
      <w:spacing w:after="0" w:line="240" w:lineRule="auto"/>
    </w:pPr>
  </w:style>
  <w:style w:type="paragraph" w:styleId="ListNumber5">
    <w:name w:val="List Number 5"/>
    <w:basedOn w:val="Normal"/>
    <w:rsid w:val="00D0198E"/>
    <w:pPr>
      <w:tabs>
        <w:tab w:val="num" w:pos="480"/>
        <w:tab w:val="num" w:pos="1492"/>
      </w:tabs>
      <w:spacing w:after="240" w:line="240" w:lineRule="auto"/>
      <w:ind w:left="1492" w:hanging="360"/>
      <w:jc w:val="both"/>
    </w:pPr>
    <w:rPr>
      <w:rFonts w:ascii="Times New Roman" w:eastAsia="Times New Roman" w:hAnsi="Times New Roman"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779914">
      <w:bodyDiv w:val="1"/>
      <w:marLeft w:val="0"/>
      <w:marRight w:val="0"/>
      <w:marTop w:val="0"/>
      <w:marBottom w:val="0"/>
      <w:divBdr>
        <w:top w:val="none" w:sz="0" w:space="0" w:color="auto"/>
        <w:left w:val="none" w:sz="0" w:space="0" w:color="auto"/>
        <w:bottom w:val="none" w:sz="0" w:space="0" w:color="auto"/>
        <w:right w:val="none" w:sz="0" w:space="0" w:color="auto"/>
      </w:divBdr>
    </w:div>
    <w:div w:id="428475433">
      <w:bodyDiv w:val="1"/>
      <w:marLeft w:val="0"/>
      <w:marRight w:val="0"/>
      <w:marTop w:val="0"/>
      <w:marBottom w:val="0"/>
      <w:divBdr>
        <w:top w:val="none" w:sz="0" w:space="0" w:color="auto"/>
        <w:left w:val="none" w:sz="0" w:space="0" w:color="auto"/>
        <w:bottom w:val="none" w:sz="0" w:space="0" w:color="auto"/>
        <w:right w:val="none" w:sz="0" w:space="0" w:color="auto"/>
      </w:divBdr>
    </w:div>
    <w:div w:id="430777804">
      <w:bodyDiv w:val="1"/>
      <w:marLeft w:val="0"/>
      <w:marRight w:val="0"/>
      <w:marTop w:val="0"/>
      <w:marBottom w:val="0"/>
      <w:divBdr>
        <w:top w:val="none" w:sz="0" w:space="0" w:color="auto"/>
        <w:left w:val="none" w:sz="0" w:space="0" w:color="auto"/>
        <w:bottom w:val="none" w:sz="0" w:space="0" w:color="auto"/>
        <w:right w:val="none" w:sz="0" w:space="0" w:color="auto"/>
      </w:divBdr>
    </w:div>
    <w:div w:id="511723687">
      <w:bodyDiv w:val="1"/>
      <w:marLeft w:val="0"/>
      <w:marRight w:val="0"/>
      <w:marTop w:val="0"/>
      <w:marBottom w:val="0"/>
      <w:divBdr>
        <w:top w:val="none" w:sz="0" w:space="0" w:color="auto"/>
        <w:left w:val="none" w:sz="0" w:space="0" w:color="auto"/>
        <w:bottom w:val="none" w:sz="0" w:space="0" w:color="auto"/>
        <w:right w:val="none" w:sz="0" w:space="0" w:color="auto"/>
      </w:divBdr>
    </w:div>
    <w:div w:id="695496654">
      <w:bodyDiv w:val="1"/>
      <w:marLeft w:val="0"/>
      <w:marRight w:val="0"/>
      <w:marTop w:val="0"/>
      <w:marBottom w:val="0"/>
      <w:divBdr>
        <w:top w:val="none" w:sz="0" w:space="0" w:color="auto"/>
        <w:left w:val="none" w:sz="0" w:space="0" w:color="auto"/>
        <w:bottom w:val="none" w:sz="0" w:space="0" w:color="auto"/>
        <w:right w:val="none" w:sz="0" w:space="0" w:color="auto"/>
      </w:divBdr>
    </w:div>
    <w:div w:id="1176000288">
      <w:bodyDiv w:val="1"/>
      <w:marLeft w:val="0"/>
      <w:marRight w:val="0"/>
      <w:marTop w:val="0"/>
      <w:marBottom w:val="0"/>
      <w:divBdr>
        <w:top w:val="none" w:sz="0" w:space="0" w:color="auto"/>
        <w:left w:val="none" w:sz="0" w:space="0" w:color="auto"/>
        <w:bottom w:val="none" w:sz="0" w:space="0" w:color="auto"/>
        <w:right w:val="none" w:sz="0" w:space="0" w:color="auto"/>
      </w:divBdr>
    </w:div>
    <w:div w:id="1294868664">
      <w:bodyDiv w:val="1"/>
      <w:marLeft w:val="0"/>
      <w:marRight w:val="0"/>
      <w:marTop w:val="0"/>
      <w:marBottom w:val="0"/>
      <w:divBdr>
        <w:top w:val="none" w:sz="0" w:space="0" w:color="auto"/>
        <w:left w:val="none" w:sz="0" w:space="0" w:color="auto"/>
        <w:bottom w:val="none" w:sz="0" w:space="0" w:color="auto"/>
        <w:right w:val="none" w:sz="0" w:space="0" w:color="auto"/>
      </w:divBdr>
    </w:div>
    <w:div w:id="1813326235">
      <w:bodyDiv w:val="1"/>
      <w:marLeft w:val="0"/>
      <w:marRight w:val="0"/>
      <w:marTop w:val="0"/>
      <w:marBottom w:val="0"/>
      <w:divBdr>
        <w:top w:val="none" w:sz="0" w:space="0" w:color="auto"/>
        <w:left w:val="none" w:sz="0" w:space="0" w:color="auto"/>
        <w:bottom w:val="none" w:sz="0" w:space="0" w:color="auto"/>
        <w:right w:val="none" w:sz="0" w:space="0" w:color="auto"/>
      </w:divBdr>
    </w:div>
    <w:div w:id="1972518704">
      <w:bodyDiv w:val="1"/>
      <w:marLeft w:val="0"/>
      <w:marRight w:val="0"/>
      <w:marTop w:val="0"/>
      <w:marBottom w:val="0"/>
      <w:divBdr>
        <w:top w:val="none" w:sz="0" w:space="0" w:color="auto"/>
        <w:left w:val="none" w:sz="0" w:space="0" w:color="auto"/>
        <w:bottom w:val="none" w:sz="0" w:space="0" w:color="auto"/>
        <w:right w:val="none" w:sz="0" w:space="0" w:color="auto"/>
      </w:divBdr>
    </w:div>
    <w:div w:id="200504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europa.eu/enlargement/neighbourhood/countries/israel/index_en.htm" TargetMode="External"/><Relationship Id="rId18" Type="http://schemas.openxmlformats.org/officeDocument/2006/relationships/hyperlink" Target="http://ec.europa.eu/enlargement/neighbourhood/countries/palestine/index_en.htm" TargetMode="External"/><Relationship Id="rId26" Type="http://schemas.openxmlformats.org/officeDocument/2006/relationships/hyperlink" Target="http://ec.europa.eu/enlargement/neighbourhood/countries/ukraine/index_en.htm" TargetMode="External"/><Relationship Id="rId39" Type="http://schemas.openxmlformats.org/officeDocument/2006/relationships/hyperlink" Target="http://ec.europa.eu/budget/contracts_grants/info_contracts/legal_entities/legal-entities_fr.cfm%23en" TargetMode="External"/><Relationship Id="rId21" Type="http://schemas.openxmlformats.org/officeDocument/2006/relationships/hyperlink" Target="http://ec.europa.eu/enlargement/neighbourhood/countries/armenia/index_en.htm" TargetMode="External"/><Relationship Id="rId34" Type="http://schemas.openxmlformats.org/officeDocument/2006/relationships/hyperlink" Target="https://ec.europa.eu/europeaid/funding/communication-and-visibility-manual-eu-external-actions_en" TargetMode="External"/><Relationship Id="rId42" Type="http://schemas.openxmlformats.org/officeDocument/2006/relationships/hyperlink" Target="http://ec.europa.eu/europeaid/funding/about-funding-and-procedures/procedures-and-practical-guide-prag_en" TargetMode="External"/><Relationship Id="rId47" Type="http://schemas.openxmlformats.org/officeDocument/2006/relationships/header" Target="header1.xml"/><Relationship Id="rId50" Type="http://schemas.openxmlformats.org/officeDocument/2006/relationships/image" Target="media/image8.png"/><Relationship Id="rId55" Type="http://schemas.openxmlformats.org/officeDocument/2006/relationships/header" Target="header5.xml"/><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c.europa.eu/enlargement/neighbourhood/countries/libya/index_en.htm" TargetMode="External"/><Relationship Id="rId29" Type="http://schemas.openxmlformats.org/officeDocument/2006/relationships/hyperlink" Target="http://ec.europa.eu/enlargement/instruments/funding-by-country/kosovo/index_en.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nlargement/neighbourhood/countries/algeria/index_en.htm" TargetMode="External"/><Relationship Id="rId24" Type="http://schemas.openxmlformats.org/officeDocument/2006/relationships/hyperlink" Target="http://ec.europa.eu/enlargement/neighbourhood/countries/georgia/index_en.htm" TargetMode="External"/><Relationship Id="rId32" Type="http://schemas.openxmlformats.org/officeDocument/2006/relationships/hyperlink" Target="http://ec.europa.eu/enlargement/instruments/funding-by-country/turkey/index_en.htm" TargetMode="External"/><Relationship Id="rId37" Type="http://schemas.openxmlformats.org/officeDocument/2006/relationships/image" Target="media/image4.emf"/><Relationship Id="rId40" Type="http://schemas.openxmlformats.org/officeDocument/2006/relationships/hyperlink" Target="http://ec.europa.eu/budget/library/contracts_grants/info_contracts/financial_id/fich_sign_ba_gb_fr.pdf" TargetMode="External"/><Relationship Id="rId45" Type="http://schemas.openxmlformats.org/officeDocument/2006/relationships/image" Target="media/image6.jpeg"/><Relationship Id="rId53" Type="http://schemas.openxmlformats.org/officeDocument/2006/relationships/header" Target="header3.xml"/><Relationship Id="rId58" Type="http://schemas.openxmlformats.org/officeDocument/2006/relationships/footer" Target="footer5.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nlargement/neighbourhood/countries/lebanon/index_en.htm" TargetMode="External"/><Relationship Id="rId23" Type="http://schemas.openxmlformats.org/officeDocument/2006/relationships/hyperlink" Target="http://ec.europa.eu/enlargement/neighbourhood/countries/belarus/index_en.htm" TargetMode="External"/><Relationship Id="rId28" Type="http://schemas.openxmlformats.org/officeDocument/2006/relationships/hyperlink" Target="http://ec.europa.eu/enlargement/instruments/funding-by-country/bosnia-herzegovina/index_en.htm" TargetMode="External"/><Relationship Id="rId36" Type="http://schemas.openxmlformats.org/officeDocument/2006/relationships/image" Target="media/image3.emf"/><Relationship Id="rId49" Type="http://schemas.openxmlformats.org/officeDocument/2006/relationships/footer" Target="footer3.xml"/><Relationship Id="rId57" Type="http://schemas.openxmlformats.org/officeDocument/2006/relationships/footer" Target="footer4.xml"/><Relationship Id="rId61" Type="http://schemas.openxmlformats.org/officeDocument/2006/relationships/header" Target="header8.xml"/><Relationship Id="rId10" Type="http://schemas.openxmlformats.org/officeDocument/2006/relationships/hyperlink" Target="http://eeas.europa.eu/enp/" TargetMode="External"/><Relationship Id="rId19" Type="http://schemas.openxmlformats.org/officeDocument/2006/relationships/hyperlink" Target="http://ec.europa.eu/enlargement/neighbourhood/countries/syria/index_en.htm" TargetMode="External"/><Relationship Id="rId31" Type="http://schemas.openxmlformats.org/officeDocument/2006/relationships/hyperlink" Target="http://ec.europa.eu/enlargement/instruments/funding-by-country/serbia/index_en.htm" TargetMode="External"/><Relationship Id="rId44" Type="http://schemas.openxmlformats.org/officeDocument/2006/relationships/hyperlink" Target="http://europass.cedefop.europa.eu/en/documents/curriculum-vitae/templates-instructions" TargetMode="External"/><Relationship Id="rId52" Type="http://schemas.openxmlformats.org/officeDocument/2006/relationships/header" Target="header2.xml"/><Relationship Id="rId60" Type="http://schemas.openxmlformats.org/officeDocument/2006/relationships/image" Target="media/image10.wmf"/><Relationship Id="rId65"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c.europa.eu/enlargement/neighbourhood/countries/jordan/index_en.htm" TargetMode="External"/><Relationship Id="rId22" Type="http://schemas.openxmlformats.org/officeDocument/2006/relationships/hyperlink" Target="http://ec.europa.eu/enlargement/neighbourhood/countries/azerbaijan/index_en.htm" TargetMode="External"/><Relationship Id="rId27" Type="http://schemas.openxmlformats.org/officeDocument/2006/relationships/hyperlink" Target="http://ec.europa.eu/enlargement/instruments/funding-by-country/albania/index_en.htm" TargetMode="External"/><Relationship Id="rId30" Type="http://schemas.openxmlformats.org/officeDocument/2006/relationships/hyperlink" Target="http://ec.europa.eu/enlargement/instruments/funding-by-country/montenegro/index_en.htm" TargetMode="External"/><Relationship Id="rId35" Type="http://schemas.openxmlformats.org/officeDocument/2006/relationships/image" Target="media/image2.wmf"/><Relationship Id="rId43" Type="http://schemas.openxmlformats.org/officeDocument/2006/relationships/hyperlink" Target="http://ec.europa.eu/europeaid/work/procedures/implementation/index_fr.htm%20" TargetMode="External"/><Relationship Id="rId48" Type="http://schemas.openxmlformats.org/officeDocument/2006/relationships/footer" Target="footer2.xml"/><Relationship Id="rId56" Type="http://schemas.openxmlformats.org/officeDocument/2006/relationships/header" Target="header6.xml"/><Relationship Id="rId64"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ec.europa.eu/enlargement/neighbourhood/countries/egypt/index_en.htm" TargetMode="External"/><Relationship Id="rId17" Type="http://schemas.openxmlformats.org/officeDocument/2006/relationships/hyperlink" Target="http://ec.europa.eu/enlargement/neighbourhood/countries/morocco/index_en.htm" TargetMode="External"/><Relationship Id="rId25" Type="http://schemas.openxmlformats.org/officeDocument/2006/relationships/hyperlink" Target="http://ec.europa.eu/enlargement/neighbourhood/countries/moldova/index_en.htm" TargetMode="External"/><Relationship Id="rId33" Type="http://schemas.openxmlformats.org/officeDocument/2006/relationships/hyperlink" Target="https://ec.europa.eu/neighbourhood-enlargement/sites/near/files/taiex_privacy_statement_online.pdf" TargetMode="External"/><Relationship Id="rId38" Type="http://schemas.openxmlformats.org/officeDocument/2006/relationships/image" Target="media/image5.emf"/><Relationship Id="rId46" Type="http://schemas.openxmlformats.org/officeDocument/2006/relationships/image" Target="media/image7.jpeg"/><Relationship Id="rId59" Type="http://schemas.openxmlformats.org/officeDocument/2006/relationships/header" Target="header7.xml"/><Relationship Id="rId67" Type="http://schemas.openxmlformats.org/officeDocument/2006/relationships/theme" Target="theme/theme1.xml"/><Relationship Id="rId20" Type="http://schemas.openxmlformats.org/officeDocument/2006/relationships/hyperlink" Target="http://ec.europa.eu/enlargement/neighbourhood/countries/tunisia/index_en.htm" TargetMode="External"/><Relationship Id="rId41" Type="http://schemas.openxmlformats.org/officeDocument/2006/relationships/hyperlink" Target="https://ec.europa.eu/neighbourhood-enlargement/tenders/twinning_en" TargetMode="External"/><Relationship Id="rId54" Type="http://schemas.openxmlformats.org/officeDocument/2006/relationships/header" Target="header4.xml"/><Relationship Id="rId62" Type="http://schemas.openxmlformats.org/officeDocument/2006/relationships/header" Target="header9.xml"/></Relationships>
</file>

<file path=word/_rels/footnotes.xml.rels><?xml version="1.0" encoding="UTF-8" standalone="yes"?>
<Relationships xmlns="http://schemas.openxmlformats.org/package/2006/relationships"><Relationship Id="rId8" Type="http://schemas.openxmlformats.org/officeDocument/2006/relationships/hyperlink" Target="https://europass.cedefop.europa.eu/fr/documents/curriculum-vitae" TargetMode="External"/><Relationship Id="rId3" Type="http://schemas.openxmlformats.org/officeDocument/2006/relationships/hyperlink" Target="http://ec.europa.eu/europeaid/manuel-de-comm-unication-et-de-visibilite-pour-les-actions-exterieures-de-lunion-europeenne_fr" TargetMode="External"/><Relationship Id="rId7" Type="http://schemas.openxmlformats.org/officeDocument/2006/relationships/hyperlink" Target="http://ec.europa.eu/europeaid/diem-rates-applicable-eu-funded-external-aid-contracts-17032017_en" TargetMode="External"/><Relationship Id="rId2" Type="http://schemas.openxmlformats.org/officeDocument/2006/relationships/hyperlink" Target="https://ec.europa.eu/neighbourhood-enlargement/tenders/twinning_en" TargetMode="External"/><Relationship Id="rId1" Type="http://schemas.openxmlformats.org/officeDocument/2006/relationships/hyperlink" Target="https://europass.cedefop.europa.eu/" TargetMode="External"/><Relationship Id="rId6" Type="http://schemas.openxmlformats.org/officeDocument/2006/relationships/hyperlink" Target="http://ec.europa.eu/europeaid/diem-rates-applicable-eu-funded-external-aid-contracts-17032017_en" TargetMode="External"/><Relationship Id="rId5" Type="http://schemas.openxmlformats.org/officeDocument/2006/relationships/hyperlink" Target="http://ec.europa.eu/taiex/" TargetMode="External"/><Relationship Id="rId4" Type="http://schemas.openxmlformats.org/officeDocument/2006/relationships/hyperlink" Target="https://ec.europa.eu/europeaid/sites/devco/files/requirements-published_fr.pdf" TargetMode="External"/><Relationship Id="rId9" Type="http://schemas.openxmlformats.org/officeDocument/2006/relationships/hyperlink" Target="https://europass.cedefop.europa.eu/fr/documents/curriculum-vit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96881-C5D8-477B-8F30-B1E7B8BB3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276</Pages>
  <Words>98510</Words>
  <Characters>557568</Characters>
  <Application>Microsoft Office Word</Application>
  <DocSecurity>0</DocSecurity>
  <Lines>11616</Lines>
  <Paragraphs>4686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European Commission</Company>
  <LinksUpToDate>false</LinksUpToDate>
  <CharactersWithSpaces>651392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CINCAR KNEZEVIC Tanja (NEAR-BELGRADE)</dc:creator>
  <cp:lastModifiedBy>POPA Mihaela (NEAR)</cp:lastModifiedBy>
  <cp:revision>39</cp:revision>
  <cp:lastPrinted>2019-03-11T17:54:00Z</cp:lastPrinted>
  <dcterms:created xsi:type="dcterms:W3CDTF">2019-03-01T11:17:00Z</dcterms:created>
  <dcterms:modified xsi:type="dcterms:W3CDTF">2019-03-11T17:58:00Z</dcterms:modified>
</cp:coreProperties>
</file>