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7578" w:type="dxa"/>
        <w:tblLayout w:type="fixed"/>
        <w:tblCellMar>
          <w:left w:w="0" w:type="dxa"/>
          <w:right w:w="0" w:type="dxa"/>
        </w:tblCellMar>
        <w:tblLook w:val="0000" w:firstRow="0" w:lastRow="0" w:firstColumn="0" w:lastColumn="0" w:noHBand="0" w:noVBand="0"/>
      </w:tblPr>
      <w:tblGrid>
        <w:gridCol w:w="2268"/>
        <w:gridCol w:w="7655"/>
        <w:gridCol w:w="7655"/>
      </w:tblGrid>
      <w:tr w:rsidR="00E849EE" w:rsidRPr="00CD3665" w:rsidTr="00E849EE">
        <w:trPr>
          <w:trHeight w:val="1440"/>
        </w:trPr>
        <w:tc>
          <w:tcPr>
            <w:tcW w:w="2268" w:type="dxa"/>
            <w:tcBorders>
              <w:top w:val="nil"/>
              <w:left w:val="nil"/>
              <w:bottom w:val="nil"/>
              <w:right w:val="nil"/>
            </w:tcBorders>
          </w:tcPr>
          <w:tbl>
            <w:tblPr>
              <w:tblStyle w:val="TableLetterhead"/>
              <w:tblW w:w="9480" w:type="dxa"/>
              <w:tblLayout w:type="fixed"/>
              <w:tblLook w:val="04A0" w:firstRow="1" w:lastRow="0" w:firstColumn="1" w:lastColumn="0" w:noHBand="0" w:noVBand="1"/>
            </w:tblPr>
            <w:tblGrid>
              <w:gridCol w:w="2400"/>
              <w:gridCol w:w="7080"/>
            </w:tblGrid>
            <w:tr w:rsidR="00E849EE" w:rsidTr="006D10D0">
              <w:tc>
                <w:tcPr>
                  <w:tcW w:w="2400" w:type="dxa"/>
                </w:tcPr>
                <w:p w:rsidR="00E849EE" w:rsidRDefault="004E2CB6" w:rsidP="00A047ED">
                  <w:pPr>
                    <w:pStyle w:val="ZFlag"/>
                  </w:pPr>
                  <w:r>
                    <w:rPr>
                      <w:noProof/>
                    </w:rPr>
                    <w:drawing>
                      <wp:inline distT="0" distB="0" distL="0" distR="0" wp14:anchorId="1D2E328B">
                        <wp:extent cx="1371600" cy="676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676275"/>
                                </a:xfrm>
                                <a:prstGeom prst="rect">
                                  <a:avLst/>
                                </a:prstGeom>
                                <a:noFill/>
                                <a:ln>
                                  <a:noFill/>
                                </a:ln>
                              </pic:spPr>
                            </pic:pic>
                          </a:graphicData>
                        </a:graphic>
                      </wp:inline>
                    </w:drawing>
                  </w:r>
                </w:p>
              </w:tc>
              <w:tc>
                <w:tcPr>
                  <w:tcW w:w="7080" w:type="dxa"/>
                </w:tcPr>
                <w:p w:rsidR="00E849EE" w:rsidRDefault="00E849EE" w:rsidP="00A047ED">
                  <w:pPr>
                    <w:pStyle w:val="ZCom"/>
                  </w:pPr>
                  <w:r>
                    <w:t>EUROPEAN COMMISSION</w:t>
                  </w:r>
                </w:p>
                <w:p w:rsidR="00E849EE" w:rsidRDefault="00E849EE" w:rsidP="00A047ED">
                  <w:pPr>
                    <w:pStyle w:val="ZDGName"/>
                    <w:rPr>
                      <w:caps/>
                    </w:rPr>
                  </w:pPr>
                  <w:r>
                    <w:rPr>
                      <w:caps/>
                    </w:rPr>
                    <w:t>NEIGHBOURHOOD AND ENLARGEMENT NEGOTIATIONS</w:t>
                  </w:r>
                </w:p>
                <w:p w:rsidR="00E849EE" w:rsidRDefault="00E849EE" w:rsidP="00A047ED">
                  <w:pPr>
                    <w:pStyle w:val="ZDGName"/>
                  </w:pPr>
                </w:p>
                <w:p w:rsidR="00E849EE" w:rsidRDefault="00E849EE" w:rsidP="00A047ED">
                  <w:pPr>
                    <w:pStyle w:val="ZDGName"/>
                  </w:pPr>
                  <w:r>
                    <w:t>D - Western Balkans</w:t>
                  </w:r>
                </w:p>
                <w:p w:rsidR="00E849EE" w:rsidRDefault="00E849EE" w:rsidP="00A047ED">
                  <w:pPr>
                    <w:pStyle w:val="ZDGName"/>
                    <w:rPr>
                      <w:b/>
                    </w:rPr>
                  </w:pPr>
                  <w:r>
                    <w:rPr>
                      <w:b/>
                    </w:rPr>
                    <w:t>D.5 - Western Balkans Regional Cooperation and Programmes</w:t>
                  </w:r>
                </w:p>
              </w:tc>
            </w:tr>
          </w:tbl>
          <w:p w:rsidR="00E849EE" w:rsidRPr="00CD3665" w:rsidRDefault="00E849EE">
            <w:pPr>
              <w:pStyle w:val="ZCom"/>
            </w:pPr>
          </w:p>
        </w:tc>
        <w:tc>
          <w:tcPr>
            <w:tcW w:w="7655" w:type="dxa"/>
            <w:tcBorders>
              <w:top w:val="nil"/>
              <w:left w:val="nil"/>
              <w:bottom w:val="nil"/>
              <w:right w:val="nil"/>
            </w:tcBorders>
          </w:tcPr>
          <w:p w:rsidR="00E849EE" w:rsidRPr="00E849EE" w:rsidRDefault="00E849EE" w:rsidP="00E849EE">
            <w:pPr>
              <w:pStyle w:val="Text2"/>
              <w:tabs>
                <w:tab w:val="clear" w:pos="2160"/>
              </w:tabs>
              <w:spacing w:before="0" w:beforeAutospacing="0" w:after="0" w:afterAutospacing="0"/>
              <w:ind w:left="0"/>
            </w:pPr>
            <w:r w:rsidRPr="00E849EE">
              <w:t>EUROPEAN COMMISSION</w:t>
            </w:r>
          </w:p>
          <w:p w:rsidR="00E849EE" w:rsidRPr="00E849EE" w:rsidRDefault="00E849EE" w:rsidP="00E849EE">
            <w:pPr>
              <w:pStyle w:val="Text2"/>
              <w:tabs>
                <w:tab w:val="clear" w:pos="2160"/>
              </w:tabs>
              <w:spacing w:before="0" w:beforeAutospacing="0" w:after="0" w:afterAutospacing="0"/>
              <w:ind w:left="0"/>
              <w:rPr>
                <w:sz w:val="16"/>
                <w:szCs w:val="16"/>
              </w:rPr>
            </w:pPr>
            <w:r w:rsidRPr="00E849EE">
              <w:rPr>
                <w:sz w:val="16"/>
                <w:szCs w:val="16"/>
              </w:rPr>
              <w:t>NEIGHBOURHOOD AND ENLARGEMENT NEGOTIATIONS</w:t>
            </w:r>
          </w:p>
          <w:p w:rsidR="00E849EE" w:rsidRPr="00E849EE" w:rsidRDefault="00E849EE" w:rsidP="00E849EE">
            <w:pPr>
              <w:pStyle w:val="Text2"/>
              <w:tabs>
                <w:tab w:val="clear" w:pos="2160"/>
              </w:tabs>
              <w:spacing w:before="0" w:beforeAutospacing="0" w:after="0" w:afterAutospacing="0"/>
              <w:ind w:left="0"/>
              <w:rPr>
                <w:sz w:val="16"/>
                <w:szCs w:val="16"/>
              </w:rPr>
            </w:pPr>
          </w:p>
          <w:p w:rsidR="00E849EE" w:rsidRPr="00E849EE" w:rsidRDefault="00E849EE" w:rsidP="00E849EE">
            <w:pPr>
              <w:pStyle w:val="Text2"/>
              <w:tabs>
                <w:tab w:val="clear" w:pos="2160"/>
              </w:tabs>
              <w:spacing w:before="0" w:beforeAutospacing="0" w:after="0" w:afterAutospacing="0"/>
              <w:ind w:left="0"/>
              <w:rPr>
                <w:sz w:val="16"/>
                <w:szCs w:val="16"/>
              </w:rPr>
            </w:pPr>
            <w:r w:rsidRPr="00E849EE">
              <w:rPr>
                <w:sz w:val="16"/>
                <w:szCs w:val="16"/>
              </w:rPr>
              <w:t>D - Western Balkans</w:t>
            </w:r>
          </w:p>
          <w:p w:rsidR="00E849EE" w:rsidRPr="00E849EE" w:rsidRDefault="00E849EE" w:rsidP="00E849EE">
            <w:pPr>
              <w:pStyle w:val="Text2"/>
              <w:tabs>
                <w:tab w:val="clear" w:pos="2160"/>
              </w:tabs>
              <w:spacing w:before="0" w:beforeAutospacing="0" w:after="0" w:afterAutospacing="0"/>
              <w:ind w:left="0"/>
              <w:rPr>
                <w:b/>
              </w:rPr>
            </w:pPr>
            <w:r w:rsidRPr="00E849EE">
              <w:rPr>
                <w:b/>
                <w:sz w:val="16"/>
                <w:szCs w:val="16"/>
              </w:rPr>
              <w:t>D.5 - Western Balkans Regional Cooperation and Programmes</w:t>
            </w:r>
          </w:p>
        </w:tc>
        <w:tc>
          <w:tcPr>
            <w:tcW w:w="7655" w:type="dxa"/>
            <w:tcBorders>
              <w:top w:val="nil"/>
              <w:left w:val="nil"/>
              <w:bottom w:val="nil"/>
              <w:right w:val="nil"/>
            </w:tcBorders>
          </w:tcPr>
          <w:p w:rsidR="00E849EE" w:rsidRPr="00A618EF" w:rsidRDefault="00E849EE" w:rsidP="00A047ED">
            <w:pPr>
              <w:pStyle w:val="ZDGName"/>
              <w:rPr>
                <w:b/>
              </w:rPr>
            </w:pPr>
          </w:p>
        </w:tc>
      </w:tr>
    </w:tbl>
    <w:p w:rsidR="00574355" w:rsidRPr="00A618EF" w:rsidRDefault="00574355" w:rsidP="0099376D">
      <w:pPr>
        <w:jc w:val="center"/>
        <w:rPr>
          <w:b/>
          <w:sz w:val="28"/>
          <w:szCs w:val="28"/>
        </w:rPr>
      </w:pPr>
    </w:p>
    <w:p w:rsidR="00FF1B6A" w:rsidRDefault="0099376D" w:rsidP="00A618EF">
      <w:pPr>
        <w:jc w:val="center"/>
        <w:rPr>
          <w:b/>
          <w:sz w:val="28"/>
          <w:szCs w:val="28"/>
        </w:rPr>
      </w:pPr>
      <w:r w:rsidRPr="00A618EF">
        <w:rPr>
          <w:b/>
          <w:sz w:val="28"/>
          <w:szCs w:val="28"/>
        </w:rPr>
        <w:t>CALL FOR TENDERS</w:t>
      </w:r>
    </w:p>
    <w:p w:rsidR="0099376D" w:rsidRPr="00841568" w:rsidRDefault="00A618EF" w:rsidP="00A618EF">
      <w:pPr>
        <w:jc w:val="center"/>
        <w:rPr>
          <w:sz w:val="28"/>
          <w:szCs w:val="28"/>
          <w:highlight w:val="lightGray"/>
        </w:rPr>
      </w:pPr>
      <w:r w:rsidRPr="001F7EC9">
        <w:rPr>
          <w:sz w:val="28"/>
          <w:szCs w:val="28"/>
        </w:rPr>
        <w:t>N°</w:t>
      </w:r>
      <w:r w:rsidR="001F7EC9" w:rsidRPr="001F7EC9">
        <w:rPr>
          <w:sz w:val="28"/>
          <w:szCs w:val="28"/>
        </w:rPr>
        <w:t xml:space="preserve"> </w:t>
      </w:r>
      <w:r w:rsidR="007F1875" w:rsidRPr="007F1875">
        <w:rPr>
          <w:i/>
          <w:sz w:val="28"/>
          <w:szCs w:val="28"/>
        </w:rPr>
        <w:t>PC-6196</w:t>
      </w:r>
    </w:p>
    <w:p w:rsidR="00A618EF" w:rsidRDefault="00A618EF" w:rsidP="00A618EF">
      <w:pPr>
        <w:jc w:val="center"/>
        <w:rPr>
          <w:b/>
          <w:sz w:val="28"/>
          <w:szCs w:val="28"/>
        </w:rPr>
      </w:pPr>
    </w:p>
    <w:p w:rsidR="00A618EF" w:rsidRDefault="00A618EF" w:rsidP="00A618EF">
      <w:pPr>
        <w:jc w:val="center"/>
        <w:rPr>
          <w:b/>
          <w:sz w:val="28"/>
          <w:szCs w:val="28"/>
        </w:rPr>
      </w:pPr>
    </w:p>
    <w:p w:rsidR="0099376D" w:rsidRPr="00841568" w:rsidRDefault="006F1BCD" w:rsidP="007F4B19">
      <w:pPr>
        <w:jc w:val="center"/>
        <w:rPr>
          <w:b/>
          <w:sz w:val="36"/>
          <w:szCs w:val="28"/>
          <w:highlight w:val="lightGray"/>
        </w:rPr>
      </w:pPr>
      <w:r w:rsidRPr="001F7EC9">
        <w:rPr>
          <w:b/>
          <w:sz w:val="36"/>
          <w:szCs w:val="28"/>
        </w:rPr>
        <w:t xml:space="preserve">STUDY ON </w:t>
      </w:r>
      <w:r w:rsidR="00994123" w:rsidRPr="00994123">
        <w:rPr>
          <w:b/>
          <w:sz w:val="36"/>
          <w:szCs w:val="28"/>
        </w:rPr>
        <w:t>THE POTENTIAL IMPACTS OF THE CARBON BORDER ADJUSTMENT MECHANISM</w:t>
      </w:r>
    </w:p>
    <w:p w:rsidR="00E51490" w:rsidRPr="00A618EF" w:rsidRDefault="00E51490" w:rsidP="0099376D">
      <w:pPr>
        <w:jc w:val="center"/>
        <w:rPr>
          <w:b/>
          <w:sz w:val="28"/>
          <w:szCs w:val="28"/>
        </w:rPr>
      </w:pPr>
    </w:p>
    <w:p w:rsidR="00A618EF" w:rsidRPr="00A618EF" w:rsidRDefault="00A618EF" w:rsidP="0099376D">
      <w:pPr>
        <w:jc w:val="center"/>
        <w:rPr>
          <w:b/>
          <w:sz w:val="28"/>
          <w:szCs w:val="28"/>
        </w:rPr>
      </w:pPr>
    </w:p>
    <w:p w:rsidR="0099376D" w:rsidRPr="005055A5" w:rsidRDefault="00A618EF" w:rsidP="0099376D">
      <w:pPr>
        <w:jc w:val="center"/>
        <w:rPr>
          <w:b/>
          <w:sz w:val="48"/>
          <w:szCs w:val="48"/>
        </w:rPr>
      </w:pPr>
      <w:r w:rsidRPr="005055A5">
        <w:rPr>
          <w:b/>
          <w:sz w:val="48"/>
          <w:szCs w:val="48"/>
        </w:rPr>
        <w:t>TENDER SPECIFICATION</w:t>
      </w:r>
      <w:r w:rsidR="00FF4BD0">
        <w:rPr>
          <w:b/>
          <w:sz w:val="48"/>
          <w:szCs w:val="48"/>
        </w:rPr>
        <w:t>S</w:t>
      </w:r>
    </w:p>
    <w:p w:rsidR="00A618EF" w:rsidRDefault="00A618EF" w:rsidP="0099376D">
      <w:pPr>
        <w:jc w:val="center"/>
        <w:rPr>
          <w:b/>
          <w:sz w:val="28"/>
          <w:szCs w:val="28"/>
        </w:rPr>
      </w:pPr>
    </w:p>
    <w:p w:rsidR="005055A5" w:rsidRDefault="005055A5" w:rsidP="0099376D">
      <w:pPr>
        <w:jc w:val="center"/>
        <w:rPr>
          <w:b/>
          <w:sz w:val="28"/>
          <w:szCs w:val="28"/>
        </w:rPr>
      </w:pPr>
    </w:p>
    <w:p w:rsidR="00A618EF" w:rsidRDefault="00A618EF" w:rsidP="0099376D">
      <w:pPr>
        <w:jc w:val="center"/>
        <w:rPr>
          <w:b/>
          <w:sz w:val="28"/>
          <w:szCs w:val="28"/>
        </w:rPr>
      </w:pPr>
    </w:p>
    <w:p w:rsidR="00E51490" w:rsidRDefault="00E51490" w:rsidP="0099376D">
      <w:pPr>
        <w:jc w:val="center"/>
        <w:rPr>
          <w:b/>
          <w:sz w:val="28"/>
          <w:szCs w:val="28"/>
        </w:rPr>
      </w:pPr>
    </w:p>
    <w:p w:rsidR="0099376D" w:rsidRDefault="0099376D" w:rsidP="0099376D">
      <w:pPr>
        <w:rPr>
          <w:u w:val="single"/>
        </w:rPr>
      </w:pPr>
    </w:p>
    <w:p w:rsidR="0099376D" w:rsidRPr="00CD3665" w:rsidRDefault="0099376D" w:rsidP="0099376D">
      <w:pPr>
        <w:rPr>
          <w:u w:val="single"/>
        </w:rPr>
      </w:pPr>
    </w:p>
    <w:p w:rsidR="0099376D" w:rsidRPr="00CD3665" w:rsidRDefault="0099376D" w:rsidP="0099376D">
      <w:pPr>
        <w:pStyle w:val="TOC3"/>
        <w:tabs>
          <w:tab w:val="left" w:pos="1077"/>
        </w:tabs>
        <w:ind w:left="839"/>
        <w:jc w:val="center"/>
        <w:sectPr w:rsidR="0099376D" w:rsidRPr="00CD3665" w:rsidSect="00624449">
          <w:footerReference w:type="even" r:id="rId12"/>
          <w:footerReference w:type="default" r:id="rId13"/>
          <w:footnotePr>
            <w:pos w:val="beneathText"/>
          </w:footnotePr>
          <w:pgSz w:w="11906" w:h="16838" w:code="9"/>
          <w:pgMar w:top="1247" w:right="1418" w:bottom="1247" w:left="1418" w:header="567" w:footer="567" w:gutter="0"/>
          <w:pgNumType w:start="1"/>
          <w:cols w:space="720"/>
          <w:docGrid w:linePitch="326"/>
        </w:sectPr>
      </w:pPr>
    </w:p>
    <w:p w:rsidR="00B6563B" w:rsidRPr="00A618EF" w:rsidRDefault="0099376D" w:rsidP="0011065F">
      <w:pPr>
        <w:pStyle w:val="Title"/>
        <w:rPr>
          <w:noProof/>
        </w:rPr>
      </w:pPr>
      <w:bookmarkStart w:id="0" w:name="_Toc260151634"/>
      <w:bookmarkStart w:id="1" w:name="_Toc440617332"/>
      <w:r w:rsidRPr="00A618EF">
        <w:t>TABLE OF CONTENTS</w:t>
      </w:r>
      <w:bookmarkEnd w:id="0"/>
      <w:bookmarkEnd w:id="1"/>
    </w:p>
    <w:p w:rsidR="00B6563B" w:rsidRDefault="00B6563B" w:rsidP="00097FB8">
      <w:pPr>
        <w:spacing w:after="0"/>
        <w:rPr>
          <w:noProof/>
        </w:rPr>
      </w:pPr>
    </w:p>
    <w:p w:rsidR="00B6563B" w:rsidRDefault="00B6563B" w:rsidP="00097FB8">
      <w:pPr>
        <w:spacing w:after="0"/>
        <w:rPr>
          <w:noProof/>
        </w:rPr>
      </w:pPr>
    </w:p>
    <w:p w:rsidR="00713115" w:rsidRDefault="006061F0">
      <w:pPr>
        <w:pStyle w:val="TOC1"/>
        <w:rPr>
          <w:rFonts w:asciiTheme="minorHAnsi" w:eastAsiaTheme="minorEastAsia" w:hAnsiTheme="minorHAnsi" w:cstheme="minorBidi"/>
          <w:caps w:val="0"/>
          <w:noProof/>
          <w:sz w:val="22"/>
          <w:szCs w:val="22"/>
        </w:rPr>
      </w:pPr>
      <w:r>
        <w:rPr>
          <w:caps w:val="0"/>
          <w:noProof/>
        </w:rPr>
        <w:fldChar w:fldCharType="begin"/>
      </w:r>
      <w:r>
        <w:rPr>
          <w:caps w:val="0"/>
          <w:noProof/>
        </w:rPr>
        <w:instrText xml:space="preserve"> TOC \o "1-2" \h \z \u </w:instrText>
      </w:r>
      <w:r>
        <w:rPr>
          <w:caps w:val="0"/>
          <w:noProof/>
        </w:rPr>
        <w:fldChar w:fldCharType="separate"/>
      </w:r>
      <w:hyperlink w:anchor="_Toc440617332" w:history="1">
        <w:r w:rsidR="00713115" w:rsidRPr="00073C59">
          <w:rPr>
            <w:rStyle w:val="Hyperlink"/>
            <w:noProof/>
          </w:rPr>
          <w:t>TABLE OF CONTENTS</w:t>
        </w:r>
        <w:r w:rsidR="00713115">
          <w:rPr>
            <w:noProof/>
            <w:webHidden/>
          </w:rPr>
          <w:tab/>
        </w:r>
        <w:r w:rsidR="00713115">
          <w:rPr>
            <w:noProof/>
            <w:webHidden/>
          </w:rPr>
          <w:fldChar w:fldCharType="begin"/>
        </w:r>
        <w:r w:rsidR="00713115">
          <w:rPr>
            <w:noProof/>
            <w:webHidden/>
          </w:rPr>
          <w:instrText xml:space="preserve"> PAGEREF _Toc440617332 \h </w:instrText>
        </w:r>
        <w:r w:rsidR="00713115">
          <w:rPr>
            <w:noProof/>
            <w:webHidden/>
          </w:rPr>
        </w:r>
        <w:r w:rsidR="00713115">
          <w:rPr>
            <w:noProof/>
            <w:webHidden/>
          </w:rPr>
          <w:fldChar w:fldCharType="separate"/>
        </w:r>
        <w:r w:rsidR="006D10D0">
          <w:rPr>
            <w:noProof/>
            <w:webHidden/>
          </w:rPr>
          <w:t>2</w:t>
        </w:r>
        <w:r w:rsidR="00713115">
          <w:rPr>
            <w:noProof/>
            <w:webHidden/>
          </w:rPr>
          <w:fldChar w:fldCharType="end"/>
        </w:r>
      </w:hyperlink>
    </w:p>
    <w:p w:rsidR="00713115" w:rsidRDefault="00D15D0D">
      <w:pPr>
        <w:pStyle w:val="TOC1"/>
        <w:rPr>
          <w:rFonts w:asciiTheme="minorHAnsi" w:eastAsiaTheme="minorEastAsia" w:hAnsiTheme="minorHAnsi" w:cstheme="minorBidi"/>
          <w:caps w:val="0"/>
          <w:noProof/>
          <w:sz w:val="22"/>
          <w:szCs w:val="22"/>
        </w:rPr>
      </w:pPr>
      <w:hyperlink w:anchor="_Toc440617333" w:history="1">
        <w:r w:rsidR="00713115" w:rsidRPr="00073C59">
          <w:rPr>
            <w:rStyle w:val="Hyperlink"/>
            <w:noProof/>
          </w:rPr>
          <w:t>1.</w:t>
        </w:r>
        <w:r w:rsidR="00713115">
          <w:rPr>
            <w:rFonts w:asciiTheme="minorHAnsi" w:eastAsiaTheme="minorEastAsia" w:hAnsiTheme="minorHAnsi" w:cstheme="minorBidi"/>
            <w:caps w:val="0"/>
            <w:noProof/>
            <w:sz w:val="22"/>
            <w:szCs w:val="22"/>
          </w:rPr>
          <w:tab/>
        </w:r>
        <w:r w:rsidR="00713115" w:rsidRPr="00073C59">
          <w:rPr>
            <w:rStyle w:val="Hyperlink"/>
            <w:noProof/>
          </w:rPr>
          <w:t>Information on tendering</w:t>
        </w:r>
        <w:r w:rsidR="00713115">
          <w:rPr>
            <w:noProof/>
            <w:webHidden/>
          </w:rPr>
          <w:tab/>
        </w:r>
        <w:r w:rsidR="00713115">
          <w:rPr>
            <w:noProof/>
            <w:webHidden/>
          </w:rPr>
          <w:fldChar w:fldCharType="begin"/>
        </w:r>
        <w:r w:rsidR="00713115">
          <w:rPr>
            <w:noProof/>
            <w:webHidden/>
          </w:rPr>
          <w:instrText xml:space="preserve"> PAGEREF _Toc440617333 \h </w:instrText>
        </w:r>
        <w:r w:rsidR="00713115">
          <w:rPr>
            <w:noProof/>
            <w:webHidden/>
          </w:rPr>
        </w:r>
        <w:r w:rsidR="00713115">
          <w:rPr>
            <w:noProof/>
            <w:webHidden/>
          </w:rPr>
          <w:fldChar w:fldCharType="separate"/>
        </w:r>
        <w:r w:rsidR="006D10D0">
          <w:rPr>
            <w:noProof/>
            <w:webHidden/>
          </w:rPr>
          <w:t>3</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34" w:history="1">
        <w:r w:rsidR="00713115" w:rsidRPr="00073C59">
          <w:rPr>
            <w:rStyle w:val="Hyperlink"/>
            <w:noProof/>
          </w:rPr>
          <w:t>1.1. Participation</w:t>
        </w:r>
        <w:r w:rsidR="00713115">
          <w:rPr>
            <w:noProof/>
            <w:webHidden/>
          </w:rPr>
          <w:tab/>
        </w:r>
        <w:r w:rsidR="00713115">
          <w:rPr>
            <w:noProof/>
            <w:webHidden/>
          </w:rPr>
          <w:fldChar w:fldCharType="begin"/>
        </w:r>
        <w:r w:rsidR="00713115">
          <w:rPr>
            <w:noProof/>
            <w:webHidden/>
          </w:rPr>
          <w:instrText xml:space="preserve"> PAGEREF _Toc440617334 \h </w:instrText>
        </w:r>
        <w:r w:rsidR="00713115">
          <w:rPr>
            <w:noProof/>
            <w:webHidden/>
          </w:rPr>
        </w:r>
        <w:r w:rsidR="00713115">
          <w:rPr>
            <w:noProof/>
            <w:webHidden/>
          </w:rPr>
          <w:fldChar w:fldCharType="separate"/>
        </w:r>
        <w:r w:rsidR="006D10D0">
          <w:rPr>
            <w:noProof/>
            <w:webHidden/>
          </w:rPr>
          <w:t>3</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35" w:history="1">
        <w:r w:rsidR="00713115" w:rsidRPr="00073C59">
          <w:rPr>
            <w:rStyle w:val="Hyperlink"/>
            <w:noProof/>
          </w:rPr>
          <w:t>1.2. Contractual conditions</w:t>
        </w:r>
        <w:r w:rsidR="00713115">
          <w:rPr>
            <w:noProof/>
            <w:webHidden/>
          </w:rPr>
          <w:tab/>
        </w:r>
        <w:r w:rsidR="00713115">
          <w:rPr>
            <w:noProof/>
            <w:webHidden/>
          </w:rPr>
          <w:fldChar w:fldCharType="begin"/>
        </w:r>
        <w:r w:rsidR="00713115">
          <w:rPr>
            <w:noProof/>
            <w:webHidden/>
          </w:rPr>
          <w:instrText xml:space="preserve"> PAGEREF _Toc440617335 \h </w:instrText>
        </w:r>
        <w:r w:rsidR="00713115">
          <w:rPr>
            <w:noProof/>
            <w:webHidden/>
          </w:rPr>
        </w:r>
        <w:r w:rsidR="00713115">
          <w:rPr>
            <w:noProof/>
            <w:webHidden/>
          </w:rPr>
          <w:fldChar w:fldCharType="separate"/>
        </w:r>
        <w:r w:rsidR="006D10D0">
          <w:rPr>
            <w:noProof/>
            <w:webHidden/>
          </w:rPr>
          <w:t>3</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36" w:history="1">
        <w:r w:rsidR="00713115" w:rsidRPr="00073C59">
          <w:rPr>
            <w:rStyle w:val="Hyperlink"/>
            <w:noProof/>
          </w:rPr>
          <w:t>1.3. Compliance with applicable law</w:t>
        </w:r>
        <w:r w:rsidR="00713115">
          <w:rPr>
            <w:noProof/>
            <w:webHidden/>
          </w:rPr>
          <w:tab/>
        </w:r>
        <w:r w:rsidR="00713115">
          <w:rPr>
            <w:noProof/>
            <w:webHidden/>
          </w:rPr>
          <w:fldChar w:fldCharType="begin"/>
        </w:r>
        <w:r w:rsidR="00713115">
          <w:rPr>
            <w:noProof/>
            <w:webHidden/>
          </w:rPr>
          <w:instrText xml:space="preserve"> PAGEREF _Toc440617336 \h </w:instrText>
        </w:r>
        <w:r w:rsidR="00713115">
          <w:rPr>
            <w:noProof/>
            <w:webHidden/>
          </w:rPr>
        </w:r>
        <w:r w:rsidR="00713115">
          <w:rPr>
            <w:noProof/>
            <w:webHidden/>
          </w:rPr>
          <w:fldChar w:fldCharType="separate"/>
        </w:r>
        <w:r w:rsidR="006D10D0">
          <w:rPr>
            <w:noProof/>
            <w:webHidden/>
          </w:rPr>
          <w:t>4</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37" w:history="1">
        <w:r w:rsidR="00713115" w:rsidRPr="00073C59">
          <w:rPr>
            <w:rStyle w:val="Hyperlink"/>
            <w:noProof/>
          </w:rPr>
          <w:t>1.4. Joint tenders</w:t>
        </w:r>
        <w:r w:rsidR="00713115">
          <w:rPr>
            <w:noProof/>
            <w:webHidden/>
          </w:rPr>
          <w:tab/>
        </w:r>
        <w:r w:rsidR="00713115">
          <w:rPr>
            <w:noProof/>
            <w:webHidden/>
          </w:rPr>
          <w:fldChar w:fldCharType="begin"/>
        </w:r>
        <w:r w:rsidR="00713115">
          <w:rPr>
            <w:noProof/>
            <w:webHidden/>
          </w:rPr>
          <w:instrText xml:space="preserve"> PAGEREF _Toc440617337 \h </w:instrText>
        </w:r>
        <w:r w:rsidR="00713115">
          <w:rPr>
            <w:noProof/>
            <w:webHidden/>
          </w:rPr>
        </w:r>
        <w:r w:rsidR="00713115">
          <w:rPr>
            <w:noProof/>
            <w:webHidden/>
          </w:rPr>
          <w:fldChar w:fldCharType="separate"/>
        </w:r>
        <w:r w:rsidR="006D10D0">
          <w:rPr>
            <w:noProof/>
            <w:webHidden/>
          </w:rPr>
          <w:t>4</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38" w:history="1">
        <w:r w:rsidR="00713115" w:rsidRPr="00073C59">
          <w:rPr>
            <w:rStyle w:val="Hyperlink"/>
            <w:noProof/>
          </w:rPr>
          <w:t>1.5. Subcontracting</w:t>
        </w:r>
        <w:r w:rsidR="00713115">
          <w:rPr>
            <w:noProof/>
            <w:webHidden/>
          </w:rPr>
          <w:tab/>
        </w:r>
        <w:r w:rsidR="00713115">
          <w:rPr>
            <w:noProof/>
            <w:webHidden/>
          </w:rPr>
          <w:fldChar w:fldCharType="begin"/>
        </w:r>
        <w:r w:rsidR="00713115">
          <w:rPr>
            <w:noProof/>
            <w:webHidden/>
          </w:rPr>
          <w:instrText xml:space="preserve"> PAGEREF _Toc440617338 \h </w:instrText>
        </w:r>
        <w:r w:rsidR="00713115">
          <w:rPr>
            <w:noProof/>
            <w:webHidden/>
          </w:rPr>
        </w:r>
        <w:r w:rsidR="00713115">
          <w:rPr>
            <w:noProof/>
            <w:webHidden/>
          </w:rPr>
          <w:fldChar w:fldCharType="separate"/>
        </w:r>
        <w:r w:rsidR="006D10D0">
          <w:rPr>
            <w:noProof/>
            <w:webHidden/>
          </w:rPr>
          <w:t>4</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39" w:history="1">
        <w:r w:rsidR="00713115" w:rsidRPr="00073C59">
          <w:rPr>
            <w:rStyle w:val="Hyperlink"/>
            <w:noProof/>
          </w:rPr>
          <w:t>1.6. Structure and content of the tender</w:t>
        </w:r>
        <w:r w:rsidR="00713115">
          <w:rPr>
            <w:noProof/>
            <w:webHidden/>
          </w:rPr>
          <w:tab/>
        </w:r>
        <w:r w:rsidR="00713115">
          <w:rPr>
            <w:noProof/>
            <w:webHidden/>
          </w:rPr>
          <w:fldChar w:fldCharType="begin"/>
        </w:r>
        <w:r w:rsidR="00713115">
          <w:rPr>
            <w:noProof/>
            <w:webHidden/>
          </w:rPr>
          <w:instrText xml:space="preserve"> PAGEREF _Toc440617339 \h </w:instrText>
        </w:r>
        <w:r w:rsidR="00713115">
          <w:rPr>
            <w:noProof/>
            <w:webHidden/>
          </w:rPr>
        </w:r>
        <w:r w:rsidR="00713115">
          <w:rPr>
            <w:noProof/>
            <w:webHidden/>
          </w:rPr>
          <w:fldChar w:fldCharType="separate"/>
        </w:r>
        <w:r w:rsidR="006D10D0">
          <w:rPr>
            <w:noProof/>
            <w:webHidden/>
          </w:rPr>
          <w:t>4</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40" w:history="1">
        <w:r w:rsidR="00713115" w:rsidRPr="00073C59">
          <w:rPr>
            <w:rStyle w:val="Hyperlink"/>
            <w:noProof/>
          </w:rPr>
          <w:t>1.7. Identification of the tenderer</w:t>
        </w:r>
        <w:r w:rsidR="00713115">
          <w:rPr>
            <w:noProof/>
            <w:webHidden/>
          </w:rPr>
          <w:tab/>
        </w:r>
        <w:r w:rsidR="00713115">
          <w:rPr>
            <w:noProof/>
            <w:webHidden/>
          </w:rPr>
          <w:fldChar w:fldCharType="begin"/>
        </w:r>
        <w:r w:rsidR="00713115">
          <w:rPr>
            <w:noProof/>
            <w:webHidden/>
          </w:rPr>
          <w:instrText xml:space="preserve"> PAGEREF _Toc440617340 \h </w:instrText>
        </w:r>
        <w:r w:rsidR="00713115">
          <w:rPr>
            <w:noProof/>
            <w:webHidden/>
          </w:rPr>
        </w:r>
        <w:r w:rsidR="00713115">
          <w:rPr>
            <w:noProof/>
            <w:webHidden/>
          </w:rPr>
          <w:fldChar w:fldCharType="separate"/>
        </w:r>
        <w:r w:rsidR="006D10D0">
          <w:rPr>
            <w:noProof/>
            <w:webHidden/>
          </w:rPr>
          <w:t>5</w:t>
        </w:r>
        <w:r w:rsidR="00713115">
          <w:rPr>
            <w:noProof/>
            <w:webHidden/>
          </w:rPr>
          <w:fldChar w:fldCharType="end"/>
        </w:r>
      </w:hyperlink>
    </w:p>
    <w:p w:rsidR="00713115" w:rsidRDefault="00D15D0D">
      <w:pPr>
        <w:pStyle w:val="TOC1"/>
        <w:rPr>
          <w:rFonts w:asciiTheme="minorHAnsi" w:eastAsiaTheme="minorEastAsia" w:hAnsiTheme="minorHAnsi" w:cstheme="minorBidi"/>
          <w:caps w:val="0"/>
          <w:noProof/>
          <w:sz w:val="22"/>
          <w:szCs w:val="22"/>
        </w:rPr>
      </w:pPr>
      <w:hyperlink w:anchor="_Toc440617341" w:history="1">
        <w:r w:rsidR="00713115" w:rsidRPr="00073C59">
          <w:rPr>
            <w:rStyle w:val="Hyperlink"/>
            <w:noProof/>
          </w:rPr>
          <w:t>2.</w:t>
        </w:r>
        <w:r w:rsidR="00713115">
          <w:rPr>
            <w:rFonts w:asciiTheme="minorHAnsi" w:eastAsiaTheme="minorEastAsia" w:hAnsiTheme="minorHAnsi" w:cstheme="minorBidi"/>
            <w:caps w:val="0"/>
            <w:noProof/>
            <w:sz w:val="22"/>
            <w:szCs w:val="22"/>
          </w:rPr>
          <w:tab/>
        </w:r>
        <w:r w:rsidR="00713115" w:rsidRPr="00073C59">
          <w:rPr>
            <w:rStyle w:val="Hyperlink"/>
            <w:noProof/>
          </w:rPr>
          <w:t>Technical specifications</w:t>
        </w:r>
        <w:r w:rsidR="00713115">
          <w:rPr>
            <w:noProof/>
            <w:webHidden/>
          </w:rPr>
          <w:tab/>
        </w:r>
        <w:r w:rsidR="00713115">
          <w:rPr>
            <w:noProof/>
            <w:webHidden/>
          </w:rPr>
          <w:fldChar w:fldCharType="begin"/>
        </w:r>
        <w:r w:rsidR="00713115">
          <w:rPr>
            <w:noProof/>
            <w:webHidden/>
          </w:rPr>
          <w:instrText xml:space="preserve"> PAGEREF _Toc440617341 \h </w:instrText>
        </w:r>
        <w:r w:rsidR="00713115">
          <w:rPr>
            <w:noProof/>
            <w:webHidden/>
          </w:rPr>
        </w:r>
        <w:r w:rsidR="00713115">
          <w:rPr>
            <w:noProof/>
            <w:webHidden/>
          </w:rPr>
          <w:fldChar w:fldCharType="separate"/>
        </w:r>
        <w:r w:rsidR="006D10D0">
          <w:rPr>
            <w:noProof/>
            <w:webHidden/>
          </w:rPr>
          <w:t>6</w:t>
        </w:r>
        <w:r w:rsidR="00713115">
          <w:rPr>
            <w:noProof/>
            <w:webHidden/>
          </w:rPr>
          <w:fldChar w:fldCharType="end"/>
        </w:r>
      </w:hyperlink>
    </w:p>
    <w:p w:rsidR="00713115" w:rsidRDefault="00D15D0D">
      <w:pPr>
        <w:pStyle w:val="TOC1"/>
        <w:rPr>
          <w:rFonts w:asciiTheme="minorHAnsi" w:eastAsiaTheme="minorEastAsia" w:hAnsiTheme="minorHAnsi" w:cstheme="minorBidi"/>
          <w:caps w:val="0"/>
          <w:noProof/>
          <w:sz w:val="22"/>
          <w:szCs w:val="22"/>
        </w:rPr>
      </w:pPr>
      <w:hyperlink w:anchor="_Toc440617342" w:history="1">
        <w:r w:rsidR="00713115" w:rsidRPr="00073C59">
          <w:rPr>
            <w:rStyle w:val="Hyperlink"/>
            <w:noProof/>
          </w:rPr>
          <w:t>3.</w:t>
        </w:r>
        <w:r w:rsidR="00713115">
          <w:rPr>
            <w:rFonts w:asciiTheme="minorHAnsi" w:eastAsiaTheme="minorEastAsia" w:hAnsiTheme="minorHAnsi" w:cstheme="minorBidi"/>
            <w:caps w:val="0"/>
            <w:noProof/>
            <w:sz w:val="22"/>
            <w:szCs w:val="22"/>
          </w:rPr>
          <w:tab/>
        </w:r>
        <w:r w:rsidR="00713115" w:rsidRPr="00073C59">
          <w:rPr>
            <w:rStyle w:val="Hyperlink"/>
            <w:noProof/>
          </w:rPr>
          <w:t>Content, Structure and graphic requirements of the deliverables</w:t>
        </w:r>
        <w:r w:rsidR="00713115">
          <w:rPr>
            <w:noProof/>
            <w:webHidden/>
          </w:rPr>
          <w:tab/>
        </w:r>
        <w:r w:rsidR="00713115">
          <w:rPr>
            <w:noProof/>
            <w:webHidden/>
          </w:rPr>
          <w:fldChar w:fldCharType="begin"/>
        </w:r>
        <w:r w:rsidR="00713115">
          <w:rPr>
            <w:noProof/>
            <w:webHidden/>
          </w:rPr>
          <w:instrText xml:space="preserve"> PAGEREF _Toc440617342 \h </w:instrText>
        </w:r>
        <w:r w:rsidR="00713115">
          <w:rPr>
            <w:noProof/>
            <w:webHidden/>
          </w:rPr>
        </w:r>
        <w:r w:rsidR="00713115">
          <w:rPr>
            <w:noProof/>
            <w:webHidden/>
          </w:rPr>
          <w:fldChar w:fldCharType="separate"/>
        </w:r>
        <w:r w:rsidR="006D10D0">
          <w:rPr>
            <w:noProof/>
            <w:webHidden/>
          </w:rPr>
          <w:t>11</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43" w:history="1">
        <w:r w:rsidR="00713115" w:rsidRPr="00073C59">
          <w:rPr>
            <w:rStyle w:val="Hyperlink"/>
            <w:noProof/>
          </w:rPr>
          <w:t>3.1. Content</w:t>
        </w:r>
        <w:r w:rsidR="00713115">
          <w:rPr>
            <w:noProof/>
            <w:webHidden/>
          </w:rPr>
          <w:tab/>
        </w:r>
        <w:r w:rsidR="00713115">
          <w:rPr>
            <w:noProof/>
            <w:webHidden/>
          </w:rPr>
          <w:fldChar w:fldCharType="begin"/>
        </w:r>
        <w:r w:rsidR="00713115">
          <w:rPr>
            <w:noProof/>
            <w:webHidden/>
          </w:rPr>
          <w:instrText xml:space="preserve"> PAGEREF _Toc440617343 \h </w:instrText>
        </w:r>
        <w:r w:rsidR="00713115">
          <w:rPr>
            <w:noProof/>
            <w:webHidden/>
          </w:rPr>
        </w:r>
        <w:r w:rsidR="00713115">
          <w:rPr>
            <w:noProof/>
            <w:webHidden/>
          </w:rPr>
          <w:fldChar w:fldCharType="separate"/>
        </w:r>
        <w:r w:rsidR="006D10D0">
          <w:rPr>
            <w:noProof/>
            <w:webHidden/>
          </w:rPr>
          <w:t>11</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44" w:history="1">
        <w:r w:rsidR="00713115" w:rsidRPr="00073C59">
          <w:rPr>
            <w:rStyle w:val="Hyperlink"/>
            <w:noProof/>
          </w:rPr>
          <w:t>3.2. Structure</w:t>
        </w:r>
        <w:r w:rsidR="00713115">
          <w:rPr>
            <w:noProof/>
            <w:webHidden/>
          </w:rPr>
          <w:tab/>
        </w:r>
        <w:r w:rsidR="00713115">
          <w:rPr>
            <w:noProof/>
            <w:webHidden/>
          </w:rPr>
          <w:fldChar w:fldCharType="begin"/>
        </w:r>
        <w:r w:rsidR="00713115">
          <w:rPr>
            <w:noProof/>
            <w:webHidden/>
          </w:rPr>
          <w:instrText xml:space="preserve"> PAGEREF _Toc440617344 \h </w:instrText>
        </w:r>
        <w:r w:rsidR="00713115">
          <w:rPr>
            <w:noProof/>
            <w:webHidden/>
          </w:rPr>
        </w:r>
        <w:r w:rsidR="00713115">
          <w:rPr>
            <w:noProof/>
            <w:webHidden/>
          </w:rPr>
          <w:fldChar w:fldCharType="separate"/>
        </w:r>
        <w:r w:rsidR="006D10D0">
          <w:rPr>
            <w:noProof/>
            <w:webHidden/>
          </w:rPr>
          <w:t>13</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45" w:history="1">
        <w:r w:rsidR="00713115" w:rsidRPr="00073C59">
          <w:rPr>
            <w:rStyle w:val="Hyperlink"/>
            <w:noProof/>
          </w:rPr>
          <w:t>3.3. Graphic requirements</w:t>
        </w:r>
        <w:r w:rsidR="00713115">
          <w:rPr>
            <w:noProof/>
            <w:webHidden/>
          </w:rPr>
          <w:tab/>
        </w:r>
        <w:r w:rsidR="00713115">
          <w:rPr>
            <w:noProof/>
            <w:webHidden/>
          </w:rPr>
          <w:fldChar w:fldCharType="begin"/>
        </w:r>
        <w:r w:rsidR="00713115">
          <w:rPr>
            <w:noProof/>
            <w:webHidden/>
          </w:rPr>
          <w:instrText xml:space="preserve"> PAGEREF _Toc440617345 \h </w:instrText>
        </w:r>
        <w:r w:rsidR="00713115">
          <w:rPr>
            <w:noProof/>
            <w:webHidden/>
          </w:rPr>
        </w:r>
        <w:r w:rsidR="00713115">
          <w:rPr>
            <w:noProof/>
            <w:webHidden/>
          </w:rPr>
          <w:fldChar w:fldCharType="separate"/>
        </w:r>
        <w:r w:rsidR="006D10D0">
          <w:rPr>
            <w:noProof/>
            <w:webHidden/>
          </w:rPr>
          <w:t>14</w:t>
        </w:r>
        <w:r w:rsidR="00713115">
          <w:rPr>
            <w:noProof/>
            <w:webHidden/>
          </w:rPr>
          <w:fldChar w:fldCharType="end"/>
        </w:r>
      </w:hyperlink>
    </w:p>
    <w:p w:rsidR="00713115" w:rsidRDefault="00D15D0D">
      <w:pPr>
        <w:pStyle w:val="TOC1"/>
        <w:rPr>
          <w:rFonts w:asciiTheme="minorHAnsi" w:eastAsiaTheme="minorEastAsia" w:hAnsiTheme="minorHAnsi" w:cstheme="minorBidi"/>
          <w:caps w:val="0"/>
          <w:noProof/>
          <w:sz w:val="22"/>
          <w:szCs w:val="22"/>
        </w:rPr>
      </w:pPr>
      <w:hyperlink w:anchor="_Toc440617346" w:history="1">
        <w:r w:rsidR="00713115" w:rsidRPr="00073C59">
          <w:rPr>
            <w:rStyle w:val="Hyperlink"/>
            <w:noProof/>
          </w:rPr>
          <w:t>4.</w:t>
        </w:r>
        <w:r w:rsidR="00713115">
          <w:rPr>
            <w:rFonts w:asciiTheme="minorHAnsi" w:eastAsiaTheme="minorEastAsia" w:hAnsiTheme="minorHAnsi" w:cstheme="minorBidi"/>
            <w:caps w:val="0"/>
            <w:noProof/>
            <w:sz w:val="22"/>
            <w:szCs w:val="22"/>
          </w:rPr>
          <w:tab/>
        </w:r>
        <w:r w:rsidR="00713115" w:rsidRPr="00073C59">
          <w:rPr>
            <w:rStyle w:val="Hyperlink"/>
            <w:noProof/>
          </w:rPr>
          <w:t>Evaluation and award</w:t>
        </w:r>
        <w:r w:rsidR="00713115">
          <w:rPr>
            <w:noProof/>
            <w:webHidden/>
          </w:rPr>
          <w:tab/>
        </w:r>
        <w:r w:rsidR="00713115">
          <w:rPr>
            <w:noProof/>
            <w:webHidden/>
          </w:rPr>
          <w:fldChar w:fldCharType="begin"/>
        </w:r>
        <w:r w:rsidR="00713115">
          <w:rPr>
            <w:noProof/>
            <w:webHidden/>
          </w:rPr>
          <w:instrText xml:space="preserve"> PAGEREF _Toc440617346 \h </w:instrText>
        </w:r>
        <w:r w:rsidR="00713115">
          <w:rPr>
            <w:noProof/>
            <w:webHidden/>
          </w:rPr>
        </w:r>
        <w:r w:rsidR="00713115">
          <w:rPr>
            <w:noProof/>
            <w:webHidden/>
          </w:rPr>
          <w:fldChar w:fldCharType="separate"/>
        </w:r>
        <w:r w:rsidR="006D10D0">
          <w:rPr>
            <w:noProof/>
            <w:webHidden/>
          </w:rPr>
          <w:t>14</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47" w:history="1">
        <w:r w:rsidR="00713115" w:rsidRPr="00073C59">
          <w:rPr>
            <w:rStyle w:val="Hyperlink"/>
            <w:noProof/>
          </w:rPr>
          <w:t>4.1. Verification of non-exclusion</w:t>
        </w:r>
        <w:r w:rsidR="00713115">
          <w:rPr>
            <w:noProof/>
            <w:webHidden/>
          </w:rPr>
          <w:tab/>
        </w:r>
        <w:r w:rsidR="00713115">
          <w:rPr>
            <w:noProof/>
            <w:webHidden/>
          </w:rPr>
          <w:fldChar w:fldCharType="begin"/>
        </w:r>
        <w:r w:rsidR="00713115">
          <w:rPr>
            <w:noProof/>
            <w:webHidden/>
          </w:rPr>
          <w:instrText xml:space="preserve"> PAGEREF _Toc440617347 \h </w:instrText>
        </w:r>
        <w:r w:rsidR="00713115">
          <w:rPr>
            <w:noProof/>
            <w:webHidden/>
          </w:rPr>
        </w:r>
        <w:r w:rsidR="00713115">
          <w:rPr>
            <w:noProof/>
            <w:webHidden/>
          </w:rPr>
          <w:fldChar w:fldCharType="separate"/>
        </w:r>
        <w:r w:rsidR="006D10D0">
          <w:rPr>
            <w:noProof/>
            <w:webHidden/>
          </w:rPr>
          <w:t>15</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48" w:history="1">
        <w:r w:rsidR="00713115" w:rsidRPr="00073C59">
          <w:rPr>
            <w:rStyle w:val="Hyperlink"/>
            <w:noProof/>
          </w:rPr>
          <w:t>4.2. Selection criteria</w:t>
        </w:r>
        <w:r w:rsidR="00713115">
          <w:rPr>
            <w:noProof/>
            <w:webHidden/>
          </w:rPr>
          <w:tab/>
        </w:r>
        <w:r w:rsidR="00713115">
          <w:rPr>
            <w:noProof/>
            <w:webHidden/>
          </w:rPr>
          <w:fldChar w:fldCharType="begin"/>
        </w:r>
        <w:r w:rsidR="00713115">
          <w:rPr>
            <w:noProof/>
            <w:webHidden/>
          </w:rPr>
          <w:instrText xml:space="preserve"> PAGEREF _Toc440617348 \h </w:instrText>
        </w:r>
        <w:r w:rsidR="00713115">
          <w:rPr>
            <w:noProof/>
            <w:webHidden/>
          </w:rPr>
        </w:r>
        <w:r w:rsidR="00713115">
          <w:rPr>
            <w:noProof/>
            <w:webHidden/>
          </w:rPr>
          <w:fldChar w:fldCharType="separate"/>
        </w:r>
        <w:r w:rsidR="006D10D0">
          <w:rPr>
            <w:noProof/>
            <w:webHidden/>
          </w:rPr>
          <w:t>15</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49" w:history="1">
        <w:r w:rsidR="00713115" w:rsidRPr="00073C59">
          <w:rPr>
            <w:rStyle w:val="Hyperlink"/>
            <w:noProof/>
          </w:rPr>
          <w:t>4.3. Award criteria</w:t>
        </w:r>
        <w:r w:rsidR="00713115">
          <w:rPr>
            <w:noProof/>
            <w:webHidden/>
          </w:rPr>
          <w:tab/>
        </w:r>
        <w:r w:rsidR="00713115">
          <w:rPr>
            <w:noProof/>
            <w:webHidden/>
          </w:rPr>
          <w:fldChar w:fldCharType="begin"/>
        </w:r>
        <w:r w:rsidR="00713115">
          <w:rPr>
            <w:noProof/>
            <w:webHidden/>
          </w:rPr>
          <w:instrText xml:space="preserve"> PAGEREF _Toc440617349 \h </w:instrText>
        </w:r>
        <w:r w:rsidR="00713115">
          <w:rPr>
            <w:noProof/>
            <w:webHidden/>
          </w:rPr>
        </w:r>
        <w:r w:rsidR="00713115">
          <w:rPr>
            <w:noProof/>
            <w:webHidden/>
          </w:rPr>
          <w:fldChar w:fldCharType="separate"/>
        </w:r>
        <w:r w:rsidR="006D10D0">
          <w:rPr>
            <w:noProof/>
            <w:webHidden/>
          </w:rPr>
          <w:t>20</w:t>
        </w:r>
        <w:r w:rsidR="00713115">
          <w:rPr>
            <w:noProof/>
            <w:webHidden/>
          </w:rPr>
          <w:fldChar w:fldCharType="end"/>
        </w:r>
      </w:hyperlink>
    </w:p>
    <w:p w:rsidR="00713115" w:rsidRDefault="00D15D0D">
      <w:pPr>
        <w:pStyle w:val="TOC2"/>
        <w:rPr>
          <w:rFonts w:asciiTheme="minorHAnsi" w:eastAsiaTheme="minorEastAsia" w:hAnsiTheme="minorHAnsi" w:cstheme="minorBidi"/>
          <w:noProof/>
          <w:sz w:val="22"/>
          <w:szCs w:val="22"/>
        </w:rPr>
      </w:pPr>
      <w:hyperlink w:anchor="_Toc440617350" w:history="1">
        <w:r w:rsidR="00713115" w:rsidRPr="00073C59">
          <w:rPr>
            <w:rStyle w:val="Hyperlink"/>
            <w:noProof/>
          </w:rPr>
          <w:t>4.4. Ranking of tenders</w:t>
        </w:r>
        <w:r w:rsidR="00713115">
          <w:rPr>
            <w:noProof/>
            <w:webHidden/>
          </w:rPr>
          <w:tab/>
        </w:r>
        <w:r w:rsidR="00713115">
          <w:rPr>
            <w:noProof/>
            <w:webHidden/>
          </w:rPr>
          <w:fldChar w:fldCharType="begin"/>
        </w:r>
        <w:r w:rsidR="00713115">
          <w:rPr>
            <w:noProof/>
            <w:webHidden/>
          </w:rPr>
          <w:instrText xml:space="preserve"> PAGEREF _Toc440617350 \h </w:instrText>
        </w:r>
        <w:r w:rsidR="00713115">
          <w:rPr>
            <w:noProof/>
            <w:webHidden/>
          </w:rPr>
        </w:r>
        <w:r w:rsidR="00713115">
          <w:rPr>
            <w:noProof/>
            <w:webHidden/>
          </w:rPr>
          <w:fldChar w:fldCharType="separate"/>
        </w:r>
        <w:r w:rsidR="006D10D0">
          <w:rPr>
            <w:noProof/>
            <w:webHidden/>
          </w:rPr>
          <w:t>21</w:t>
        </w:r>
        <w:r w:rsidR="00713115">
          <w:rPr>
            <w:noProof/>
            <w:webHidden/>
          </w:rPr>
          <w:fldChar w:fldCharType="end"/>
        </w:r>
      </w:hyperlink>
    </w:p>
    <w:p w:rsidR="00253606" w:rsidRDefault="006061F0" w:rsidP="005C1E82">
      <w:pPr>
        <w:rPr>
          <w:noProof/>
        </w:rPr>
      </w:pPr>
      <w:r>
        <w:rPr>
          <w:caps/>
          <w:noProof/>
        </w:rPr>
        <w:fldChar w:fldCharType="end"/>
      </w:r>
    </w:p>
    <w:p w:rsidR="00C17B63" w:rsidRPr="0067409B" w:rsidRDefault="00C17B63" w:rsidP="00C17B63">
      <w:pPr>
        <w:rPr>
          <w:b/>
          <w:i/>
          <w:color w:val="0070C0"/>
          <w:sz w:val="28"/>
          <w:szCs w:val="28"/>
        </w:rPr>
      </w:pPr>
    </w:p>
    <w:p w:rsidR="00C23246" w:rsidRDefault="00814823" w:rsidP="00C17B63">
      <w:pPr>
        <w:rPr>
          <w:noProof/>
        </w:rPr>
      </w:pPr>
      <w:r>
        <w:rPr>
          <w:noProof/>
        </w:rPr>
        <w:t xml:space="preserve">Annex </w:t>
      </w:r>
      <w:r w:rsidR="00C23246" w:rsidRPr="00C23246">
        <w:rPr>
          <w:noProof/>
        </w:rPr>
        <w:t>Preliminary Analysis: Implications of Carbon Border Adjustment Mechanism (CBAM) for DG NEAR countries of operation</w:t>
      </w:r>
    </w:p>
    <w:p w:rsidR="00814823" w:rsidRDefault="00814823" w:rsidP="00814823">
      <w:pPr>
        <w:jc w:val="left"/>
        <w:rPr>
          <w:noProof/>
        </w:rPr>
        <w:sectPr w:rsidR="00814823" w:rsidSect="00624449">
          <w:headerReference w:type="even" r:id="rId14"/>
          <w:headerReference w:type="default" r:id="rId15"/>
          <w:footerReference w:type="default" r:id="rId16"/>
          <w:headerReference w:type="first" r:id="rId17"/>
          <w:footerReference w:type="first" r:id="rId18"/>
          <w:pgSz w:w="11906" w:h="16838" w:code="9"/>
          <w:pgMar w:top="1247" w:right="1418" w:bottom="1247" w:left="1418" w:header="567" w:footer="567" w:gutter="0"/>
          <w:cols w:space="720"/>
          <w:docGrid w:linePitch="326"/>
        </w:sectPr>
      </w:pPr>
      <w:r>
        <w:rPr>
          <w:noProof/>
        </w:rPr>
        <w:t xml:space="preserve">Annex </w:t>
      </w:r>
      <w:r w:rsidR="007243CC" w:rsidRPr="007243CC">
        <w:rPr>
          <w:noProof/>
        </w:rPr>
        <w:t>Declaration on</w:t>
      </w:r>
      <w:r w:rsidR="007243CC">
        <w:rPr>
          <w:noProof/>
        </w:rPr>
        <w:t xml:space="preserve"> </w:t>
      </w:r>
      <w:r w:rsidR="007243CC" w:rsidRPr="007243CC">
        <w:rPr>
          <w:noProof/>
        </w:rPr>
        <w:t>honour</w:t>
      </w:r>
      <w:r w:rsidR="007243CC">
        <w:rPr>
          <w:noProof/>
        </w:rPr>
        <w:t xml:space="preserve"> </w:t>
      </w:r>
      <w:r w:rsidR="007243CC" w:rsidRPr="007243CC">
        <w:rPr>
          <w:noProof/>
        </w:rPr>
        <w:t>on</w:t>
      </w:r>
      <w:r w:rsidR="007243CC">
        <w:rPr>
          <w:noProof/>
        </w:rPr>
        <w:t xml:space="preserve"> </w:t>
      </w:r>
      <w:r w:rsidR="007243CC" w:rsidRPr="007243CC">
        <w:rPr>
          <w:noProof/>
        </w:rPr>
        <w:t>exclusion criteria</w:t>
      </w:r>
      <w:r w:rsidR="007243CC">
        <w:rPr>
          <w:noProof/>
        </w:rPr>
        <w:t xml:space="preserve"> </w:t>
      </w:r>
      <w:r w:rsidR="007243CC" w:rsidRPr="007243CC">
        <w:rPr>
          <w:noProof/>
        </w:rPr>
        <w:t>and selection criteria</w:t>
      </w:r>
    </w:p>
    <w:p w:rsidR="0099376D" w:rsidRPr="005C1E82" w:rsidRDefault="00D272F9" w:rsidP="00F73A15">
      <w:pPr>
        <w:pStyle w:val="Heading1"/>
      </w:pPr>
      <w:bookmarkStart w:id="2" w:name="_Toc260151636"/>
      <w:bookmarkStart w:id="3" w:name="_Toc440617333"/>
      <w:r w:rsidRPr="005C1E82">
        <w:t>I</w:t>
      </w:r>
      <w:r w:rsidR="007F3034" w:rsidRPr="005C1E82">
        <w:t>nformation</w:t>
      </w:r>
      <w:bookmarkEnd w:id="2"/>
      <w:r w:rsidRPr="005C1E82">
        <w:t xml:space="preserve"> on tendering</w:t>
      </w:r>
      <w:bookmarkEnd w:id="3"/>
    </w:p>
    <w:p w:rsidR="0099376D" w:rsidRPr="00DB1B93" w:rsidRDefault="00CA7B8A" w:rsidP="00DB1B93">
      <w:pPr>
        <w:pStyle w:val="Heading2"/>
      </w:pPr>
      <w:bookmarkStart w:id="4" w:name="_Toc260151637"/>
      <w:bookmarkStart w:id="5" w:name="_Toc440617334"/>
      <w:r w:rsidRPr="00DB1B93">
        <w:t>Participation</w:t>
      </w:r>
      <w:bookmarkEnd w:id="4"/>
      <w:bookmarkEnd w:id="5"/>
    </w:p>
    <w:p w:rsidR="002613D9" w:rsidRPr="00E47457" w:rsidRDefault="002613D9" w:rsidP="00E47457">
      <w:pPr>
        <w:suppressAutoHyphens/>
        <w:rPr>
          <w:spacing w:val="-3"/>
          <w:lang w:val="en"/>
        </w:rPr>
      </w:pPr>
      <w:r w:rsidRPr="00E47457">
        <w:rPr>
          <w:spacing w:val="-3"/>
          <w:lang w:val="en"/>
        </w:rPr>
        <w:t xml:space="preserve">This call for tenders is governed by the provisions of </w:t>
      </w:r>
      <w:hyperlink r:id="rId19" w:history="1">
        <w:r w:rsidRPr="00E47457">
          <w:rPr>
            <w:rStyle w:val="Hyperlink"/>
            <w:spacing w:val="-3"/>
            <w:lang w:val="en"/>
          </w:rPr>
          <w:t>Regulation (EU, Euratom) 2018/1046 of the European Parliament and of the Council of 18 July 2018 on the financial rules applicable to the general budget of the Union</w:t>
        </w:r>
      </w:hyperlink>
      <w:r w:rsidRPr="00E47457">
        <w:rPr>
          <w:spacing w:val="-3"/>
          <w:lang w:val="en"/>
        </w:rPr>
        <w:t xml:space="preserve"> (the Financial Regulation)</w:t>
      </w:r>
      <w:bookmarkStart w:id="6" w:name="_Ref527383637"/>
      <w:r w:rsidRPr="00E47457">
        <w:rPr>
          <w:rStyle w:val="FootnoteReference"/>
          <w:spacing w:val="-3"/>
          <w:lang w:val="en"/>
        </w:rPr>
        <w:footnoteReference w:id="2"/>
      </w:r>
      <w:bookmarkEnd w:id="6"/>
      <w:r w:rsidRPr="00E47457">
        <w:rPr>
          <w:spacing w:val="-3"/>
          <w:lang w:val="en"/>
        </w:rPr>
        <w:t>.</w:t>
      </w:r>
    </w:p>
    <w:p w:rsidR="002613D9" w:rsidRPr="00E47457" w:rsidRDefault="002613D9" w:rsidP="00E47457">
      <w:pPr>
        <w:suppressAutoHyphens/>
        <w:rPr>
          <w:spacing w:val="-3"/>
          <w:lang w:val="en"/>
        </w:rPr>
      </w:pPr>
      <w:r w:rsidRPr="00E47457">
        <w:rPr>
          <w:spacing w:val="-3"/>
          <w:lang w:val="en"/>
        </w:rPr>
        <w:t xml:space="preserve">The </w:t>
      </w:r>
      <w:r w:rsidRPr="00E47457">
        <w:rPr>
          <w:i/>
          <w:iCs/>
          <w:spacing w:val="-3"/>
          <w:lang w:val="en"/>
        </w:rPr>
        <w:t>Contracting authority</w:t>
      </w:r>
      <w:r w:rsidRPr="00E47457">
        <w:rPr>
          <w:spacing w:val="-3"/>
          <w:lang w:val="en"/>
        </w:rPr>
        <w:t xml:space="preserve"> has chosen to award the contract resulting from this call for tenders through a </w:t>
      </w:r>
      <w:r w:rsidRPr="00E47457">
        <w:rPr>
          <w:lang w:val="en"/>
        </w:rPr>
        <w:t>negotiated procedure for low value contracts</w:t>
      </w:r>
      <w:r w:rsidRPr="00E47457">
        <w:rPr>
          <w:spacing w:val="-3"/>
          <w:lang w:val="en"/>
        </w:rPr>
        <w:t xml:space="preserve">. </w:t>
      </w:r>
    </w:p>
    <w:p w:rsidR="002613D9" w:rsidRPr="00E47457" w:rsidRDefault="002613D9" w:rsidP="00E47457">
      <w:r w:rsidRPr="00E47457">
        <w:t xml:space="preserve">An ex-ante publicity to express interest to participate in the tender procedure was published on the Internet webpage of the DG NEAR and on the following link: </w:t>
      </w:r>
      <w:hyperlink r:id="rId20" w:history="1">
        <w:r w:rsidRPr="00E47457">
          <w:rPr>
            <w:rStyle w:val="Hyperlink"/>
          </w:rPr>
          <w:t>Grants and Tenders | European Neighbourhood Policy And Enlargement Negotiations (europa.eu)</w:t>
        </w:r>
      </w:hyperlink>
      <w:r w:rsidRPr="00E47457">
        <w:t xml:space="preserve">. </w:t>
      </w:r>
    </w:p>
    <w:p w:rsidR="002613D9" w:rsidRDefault="002613D9" w:rsidP="00E47457">
      <w:r w:rsidRPr="00E47457">
        <w:t>In such a procedure, any economic operator may submit a request to participate by providing the information that is requested by the contracting authority. The contracting authority shall invite all candidates that satisfy the selection criteria, and may invite additional candidates with proven experience in the topics of this tender.</w:t>
      </w:r>
    </w:p>
    <w:p w:rsidR="00654C64" w:rsidRDefault="00CA7B8A" w:rsidP="00E849EE">
      <w:pPr>
        <w:pStyle w:val="Text2"/>
        <w:tabs>
          <w:tab w:val="clear" w:pos="2160"/>
        </w:tabs>
        <w:ind w:left="0"/>
      </w:pPr>
      <w:r w:rsidRPr="00CA7B8A">
        <w:t xml:space="preserve">Participation in </w:t>
      </w:r>
      <w:r w:rsidR="00707A36">
        <w:t xml:space="preserve">this </w:t>
      </w:r>
      <w:r w:rsidR="00BD5C13">
        <w:t>procurement</w:t>
      </w:r>
      <w:r w:rsidRPr="00CA7B8A">
        <w:t xml:space="preserve"> procedure is open on equal terms to all natural and legal persons coming within the scope of the Treaties</w:t>
      </w:r>
      <w:r w:rsidR="00654C64">
        <w:t xml:space="preserve">, as well as to international organisations. </w:t>
      </w:r>
    </w:p>
    <w:p w:rsidR="00CA7B8A" w:rsidRDefault="00654C64" w:rsidP="00097FB8">
      <w:pPr>
        <w:pStyle w:val="Text2"/>
        <w:tabs>
          <w:tab w:val="clear" w:pos="2160"/>
        </w:tabs>
        <w:ind w:left="0"/>
      </w:pPr>
      <w:r>
        <w:t>It is also open</w:t>
      </w:r>
      <w:r w:rsidR="00CA7B8A" w:rsidRPr="00CA7B8A">
        <w:t xml:space="preserve"> to all natural and legal persons </w:t>
      </w:r>
      <w:r>
        <w:t xml:space="preserve">established </w:t>
      </w:r>
      <w:r w:rsidR="00CA7B8A" w:rsidRPr="00CA7B8A">
        <w:t xml:space="preserve">in a third country which has a special agreement with the </w:t>
      </w:r>
      <w:r w:rsidR="00707A36">
        <w:t>Union</w:t>
      </w:r>
      <w:r w:rsidR="00CA7B8A" w:rsidRPr="00CA7B8A">
        <w:t xml:space="preserve"> in the field of public procurement on the conditions laid down in that agreement.</w:t>
      </w:r>
      <w:r w:rsidR="00707A36">
        <w:t xml:space="preserve"> </w:t>
      </w:r>
      <w:r w:rsidR="00BD46F4" w:rsidRPr="00EA03BA">
        <w:rPr>
          <w:snapToGrid w:val="0"/>
        </w:rPr>
        <w:t xml:space="preserve">Where the </w:t>
      </w:r>
      <w:r w:rsidR="0000300C">
        <w:rPr>
          <w:snapToGrid w:val="0"/>
        </w:rPr>
        <w:t>p</w:t>
      </w:r>
      <w:r w:rsidR="00623672">
        <w:rPr>
          <w:snapToGrid w:val="0"/>
        </w:rPr>
        <w:t>l</w:t>
      </w:r>
      <w:r w:rsidR="0000300C">
        <w:rPr>
          <w:snapToGrid w:val="0"/>
        </w:rPr>
        <w:t>ur</w:t>
      </w:r>
      <w:r w:rsidR="00BD46F4" w:rsidRPr="00EA03BA">
        <w:rPr>
          <w:snapToGrid w:val="0"/>
        </w:rPr>
        <w:t>ilateral Agreement on Government Procurement</w:t>
      </w:r>
      <w:r w:rsidR="00E22335">
        <w:rPr>
          <w:rStyle w:val="FootnoteReference"/>
          <w:snapToGrid w:val="0"/>
        </w:rPr>
        <w:footnoteReference w:id="3"/>
      </w:r>
      <w:r w:rsidR="00BD46F4" w:rsidRPr="00EA03BA">
        <w:rPr>
          <w:snapToGrid w:val="0"/>
        </w:rPr>
        <w:t xml:space="preserve"> concluded within the </w:t>
      </w:r>
      <w:r>
        <w:rPr>
          <w:snapToGrid w:val="0"/>
        </w:rPr>
        <w:t>World Trade Organisation</w:t>
      </w:r>
      <w:r w:rsidRPr="00EA03BA">
        <w:rPr>
          <w:snapToGrid w:val="0"/>
        </w:rPr>
        <w:t xml:space="preserve"> </w:t>
      </w:r>
      <w:r w:rsidR="00BD46F4" w:rsidRPr="00EA03BA">
        <w:rPr>
          <w:snapToGrid w:val="0"/>
        </w:rPr>
        <w:t xml:space="preserve">applies, the </w:t>
      </w:r>
      <w:r w:rsidR="0052190C">
        <w:rPr>
          <w:snapToGrid w:val="0"/>
        </w:rPr>
        <w:t>participation to th</w:t>
      </w:r>
      <w:r w:rsidR="0000300C">
        <w:rPr>
          <w:snapToGrid w:val="0"/>
        </w:rPr>
        <w:t>is</w:t>
      </w:r>
      <w:r w:rsidR="0052190C">
        <w:rPr>
          <w:snapToGrid w:val="0"/>
        </w:rPr>
        <w:t xml:space="preserve"> </w:t>
      </w:r>
      <w:r w:rsidR="0000300C">
        <w:rPr>
          <w:snapToGrid w:val="0"/>
        </w:rPr>
        <w:t>procedure</w:t>
      </w:r>
      <w:r w:rsidR="0052190C">
        <w:rPr>
          <w:snapToGrid w:val="0"/>
        </w:rPr>
        <w:t xml:space="preserve"> is </w:t>
      </w:r>
      <w:r w:rsidR="00BD46F4" w:rsidRPr="00EA03BA">
        <w:rPr>
          <w:snapToGrid w:val="0"/>
        </w:rPr>
        <w:t xml:space="preserve">also open to </w:t>
      </w:r>
      <w:r w:rsidR="0000300C">
        <w:rPr>
          <w:snapToGrid w:val="0"/>
        </w:rPr>
        <w:t>all natural and legal persons established in</w:t>
      </w:r>
      <w:r w:rsidR="00BD46F4" w:rsidRPr="00EA03BA">
        <w:rPr>
          <w:snapToGrid w:val="0"/>
        </w:rPr>
        <w:t xml:space="preserve"> the countries that have ratified this Agreement, on the conditions it lays down.</w:t>
      </w:r>
      <w:r w:rsidR="00BD46F4">
        <w:rPr>
          <w:snapToGrid w:val="0"/>
        </w:rPr>
        <w:t xml:space="preserve"> </w:t>
      </w:r>
    </w:p>
    <w:p w:rsidR="001E1FDE" w:rsidRPr="003D72C8" w:rsidRDefault="001E1FDE" w:rsidP="00097FB8">
      <w:pPr>
        <w:pStyle w:val="Heading2"/>
      </w:pPr>
      <w:bookmarkStart w:id="7" w:name="_Toc440276991"/>
      <w:bookmarkStart w:id="8" w:name="_Toc440617335"/>
      <w:bookmarkStart w:id="9" w:name="_Toc260151638"/>
      <w:bookmarkEnd w:id="7"/>
      <w:r>
        <w:t>C</w:t>
      </w:r>
      <w:r w:rsidR="009C4D16">
        <w:t>ontractual c</w:t>
      </w:r>
      <w:r>
        <w:t>onditions</w:t>
      </w:r>
      <w:bookmarkEnd w:id="8"/>
      <w:r>
        <w:t xml:space="preserve"> </w:t>
      </w:r>
      <w:bookmarkEnd w:id="9"/>
    </w:p>
    <w:p w:rsidR="000A1BFA" w:rsidRDefault="000A1BFA" w:rsidP="000A1BFA">
      <w:r w:rsidRPr="006A0C54">
        <w:rPr>
          <w:color w:val="000000"/>
        </w:rPr>
        <w:t>The tender</w:t>
      </w:r>
      <w:r w:rsidR="00C17C9E">
        <w:rPr>
          <w:color w:val="000000"/>
        </w:rPr>
        <w:t>er</w:t>
      </w:r>
      <w:r w:rsidRPr="006A0C54">
        <w:rPr>
          <w:color w:val="000000"/>
        </w:rPr>
        <w:t xml:space="preserve"> should bear in mind the provisions of the draft contract which specifies the rights and obligations of the contractor, p</w:t>
      </w:r>
      <w:r w:rsidRPr="006A0C54">
        <w:t>articularly those on payments</w:t>
      </w:r>
      <w:r w:rsidR="00EF1F9C" w:rsidRPr="006A0C54">
        <w:t>,</w:t>
      </w:r>
      <w:r w:rsidRPr="006A0C54">
        <w:t xml:space="preserve"> performance </w:t>
      </w:r>
      <w:r w:rsidR="00F57436" w:rsidRPr="006A0C54">
        <w:t>of the contract</w:t>
      </w:r>
      <w:r w:rsidRPr="006A0C54">
        <w:t>, confidentiality</w:t>
      </w:r>
      <w:r w:rsidR="00F57436" w:rsidRPr="006A0C54">
        <w:t xml:space="preserve">, </w:t>
      </w:r>
      <w:r w:rsidRPr="006A0C54">
        <w:t xml:space="preserve">and checks and audits. </w:t>
      </w:r>
    </w:p>
    <w:p w:rsidR="00483562" w:rsidRDefault="00483562" w:rsidP="00841568">
      <w:pPr>
        <w:pStyle w:val="Heading2"/>
      </w:pPr>
      <w:bookmarkStart w:id="10" w:name="_Toc440617336"/>
      <w:r>
        <w:t>Compliance with applicable law</w:t>
      </w:r>
      <w:bookmarkEnd w:id="10"/>
    </w:p>
    <w:p w:rsidR="00483562" w:rsidRPr="00841568" w:rsidRDefault="00241812" w:rsidP="00841568">
      <w:pPr>
        <w:rPr>
          <w:color w:val="000000"/>
        </w:rPr>
      </w:pPr>
      <w:r>
        <w:rPr>
          <w:color w:val="000000"/>
        </w:rPr>
        <w:t>T</w:t>
      </w:r>
      <w:r w:rsidR="001979F1" w:rsidRPr="00841568">
        <w:rPr>
          <w:color w:val="000000"/>
        </w:rPr>
        <w:t xml:space="preserve">he </w:t>
      </w:r>
      <w:r w:rsidR="003856BC">
        <w:rPr>
          <w:color w:val="000000"/>
        </w:rPr>
        <w:t>tender</w:t>
      </w:r>
      <w:r w:rsidR="00233279">
        <w:rPr>
          <w:color w:val="000000"/>
        </w:rPr>
        <w:t xml:space="preserve"> </w:t>
      </w:r>
      <w:r w:rsidR="00483562" w:rsidRPr="00841568">
        <w:rPr>
          <w:color w:val="000000"/>
        </w:rPr>
        <w:t>must c</w:t>
      </w:r>
      <w:r w:rsidRPr="00841568">
        <w:rPr>
          <w:color w:val="000000"/>
        </w:rPr>
        <w:t>omply</w:t>
      </w:r>
      <w:r w:rsidR="00483562" w:rsidRPr="00841568">
        <w:rPr>
          <w:color w:val="000000"/>
        </w:rPr>
        <w:t xml:space="preserve"> with applicable environmental, social and labour law obligations established by Union law, national legislation, collective agreements or the international environmental, social and labour conventions listed in Annex</w:t>
      </w:r>
      <w:r w:rsidR="003856BC">
        <w:rPr>
          <w:color w:val="000000"/>
        </w:rPr>
        <w:t> </w:t>
      </w:r>
      <w:r w:rsidR="00483562" w:rsidRPr="00841568">
        <w:rPr>
          <w:color w:val="000000"/>
        </w:rPr>
        <w:t>X to Directive</w:t>
      </w:r>
      <w:r>
        <w:rPr>
          <w:color w:val="000000"/>
        </w:rPr>
        <w:t xml:space="preserve"> 2014/24/EU</w:t>
      </w:r>
      <w:r>
        <w:rPr>
          <w:rStyle w:val="FootnoteReference"/>
          <w:color w:val="000000"/>
        </w:rPr>
        <w:footnoteReference w:id="4"/>
      </w:r>
      <w:r w:rsidR="00483562" w:rsidRPr="00841568">
        <w:rPr>
          <w:color w:val="000000"/>
        </w:rPr>
        <w:t>.</w:t>
      </w:r>
      <w:r w:rsidR="00C17C9E">
        <w:rPr>
          <w:color w:val="000000"/>
        </w:rPr>
        <w:t xml:space="preserve"> </w:t>
      </w:r>
    </w:p>
    <w:p w:rsidR="000561E4" w:rsidRDefault="00E14BB5" w:rsidP="00097FB8">
      <w:pPr>
        <w:pStyle w:val="Heading2"/>
      </w:pPr>
      <w:bookmarkStart w:id="11" w:name="_Toc440617337"/>
      <w:bookmarkStart w:id="12" w:name="_Toc260151639"/>
      <w:r>
        <w:t>Joint tenders</w:t>
      </w:r>
      <w:bookmarkEnd w:id="11"/>
      <w:r>
        <w:t xml:space="preserve"> </w:t>
      </w:r>
    </w:p>
    <w:p w:rsidR="001B49BE" w:rsidRDefault="00977C0F" w:rsidP="00977C0F">
      <w:pPr>
        <w:spacing w:after="120"/>
      </w:pPr>
      <w:r w:rsidRPr="00EA03BA">
        <w:t xml:space="preserve">A joint </w:t>
      </w:r>
      <w:r>
        <w:t>tender</w:t>
      </w:r>
      <w:r w:rsidRPr="00EA03BA">
        <w:t xml:space="preserve"> is a situation where </w:t>
      </w:r>
      <w:r>
        <w:t>a tender</w:t>
      </w:r>
      <w:r w:rsidRPr="00EA03BA">
        <w:t xml:space="preserve"> is submitted by a group of </w:t>
      </w:r>
      <w:r>
        <w:t>economic operators</w:t>
      </w:r>
      <w:r w:rsidR="002C25F9">
        <w:t xml:space="preserve"> </w:t>
      </w:r>
      <w:r w:rsidR="00233279">
        <w:t>(natural or legal persons)</w:t>
      </w:r>
      <w:r w:rsidR="002228CA">
        <w:t xml:space="preserve">. Joint tenders may include </w:t>
      </w:r>
      <w:r w:rsidR="000A1BFA">
        <w:t>subcontractors</w:t>
      </w:r>
      <w:r w:rsidR="002228CA">
        <w:t xml:space="preserve"> in addition to the </w:t>
      </w:r>
      <w:r w:rsidR="00233279">
        <w:t>members of the group</w:t>
      </w:r>
      <w:r w:rsidRPr="00EA03BA">
        <w:t xml:space="preserve">. </w:t>
      </w:r>
    </w:p>
    <w:p w:rsidR="00977C0F" w:rsidRPr="00794ACB" w:rsidRDefault="001D3D44" w:rsidP="00977C0F">
      <w:pPr>
        <w:spacing w:after="120"/>
      </w:pPr>
      <w:r>
        <w:t xml:space="preserve">In case of joint tender, </w:t>
      </w:r>
      <w:r w:rsidR="00E43CF9" w:rsidRPr="00794ACB">
        <w:t xml:space="preserve">all </w:t>
      </w:r>
      <w:r w:rsidR="00233279">
        <w:t>members of the group</w:t>
      </w:r>
      <w:r w:rsidR="00E43CF9" w:rsidRPr="00794ACB">
        <w:t xml:space="preserve"> assume joint and several liability</w:t>
      </w:r>
      <w:r w:rsidR="00E43CF9" w:rsidRPr="00794ACB">
        <w:rPr>
          <w:b/>
        </w:rPr>
        <w:t xml:space="preserve"> </w:t>
      </w:r>
      <w:r w:rsidR="00E43CF9" w:rsidRPr="00794ACB">
        <w:t xml:space="preserve">towards the </w:t>
      </w:r>
      <w:r w:rsidR="00E43CF9">
        <w:rPr>
          <w:rStyle w:val="Indent2"/>
          <w:spacing w:val="-3"/>
        </w:rPr>
        <w:t>Contracting Authority</w:t>
      </w:r>
      <w:r w:rsidR="00E43CF9" w:rsidRPr="00794ACB">
        <w:t xml:space="preserve"> for the performance of the contract as a whole</w:t>
      </w:r>
      <w:r w:rsidR="00CC3A36">
        <w:t>, i.e. both financial and operational liability</w:t>
      </w:r>
      <w:r w:rsidR="00E43CF9">
        <w:t xml:space="preserve">. Nevertheless, </w:t>
      </w:r>
      <w:r w:rsidR="008D2F29">
        <w:t xml:space="preserve">tenderers must designate </w:t>
      </w:r>
      <w:r w:rsidR="00CC3A36">
        <w:t xml:space="preserve">one of the economic operators as </w:t>
      </w:r>
      <w:r w:rsidR="008D2F29">
        <w:t xml:space="preserve">a single point </w:t>
      </w:r>
      <w:r w:rsidR="00D87B1D">
        <w:t>of contact</w:t>
      </w:r>
      <w:r w:rsidR="00CC3A36">
        <w:t xml:space="preserve"> (the leader)</w:t>
      </w:r>
      <w:r w:rsidR="00692D16">
        <w:t xml:space="preserve"> </w:t>
      </w:r>
      <w:r w:rsidR="0096096F">
        <w:rPr>
          <w:rStyle w:val="Indent2"/>
          <w:spacing w:val="-3"/>
        </w:rPr>
        <w:t>for the Contracting Authority</w:t>
      </w:r>
      <w:r w:rsidR="00CC3A36">
        <w:rPr>
          <w:rStyle w:val="Indent2"/>
          <w:spacing w:val="-3"/>
        </w:rPr>
        <w:t xml:space="preserve"> for administrative and financial aspects as well as operational management of the contract</w:t>
      </w:r>
      <w:r w:rsidR="00977C0F">
        <w:t>.</w:t>
      </w:r>
    </w:p>
    <w:p w:rsidR="000561E4" w:rsidRDefault="00CB5060" w:rsidP="000561E4">
      <w:pPr>
        <w:pStyle w:val="Text2"/>
        <w:ind w:left="0"/>
      </w:pPr>
      <w:r>
        <w:t xml:space="preserve">After </w:t>
      </w:r>
      <w:r w:rsidR="0096096F">
        <w:t xml:space="preserve">the </w:t>
      </w:r>
      <w:r>
        <w:t xml:space="preserve">award, the Contracting Authority will sign the </w:t>
      </w:r>
      <w:r w:rsidR="0096096F">
        <w:t>c</w:t>
      </w:r>
      <w:r>
        <w:t>ontract either with</w:t>
      </w:r>
      <w:r w:rsidRPr="00361F74">
        <w:t xml:space="preserve"> all members of the group</w:t>
      </w:r>
      <w:r>
        <w:t xml:space="preserve">, or with the </w:t>
      </w:r>
      <w:r w:rsidR="00CC3A36">
        <w:t>leader</w:t>
      </w:r>
      <w:r w:rsidR="00CE7F07">
        <w:t xml:space="preserve"> on behalf of all members of the group</w:t>
      </w:r>
      <w:r w:rsidR="00CC3A36">
        <w:t xml:space="preserve">, </w:t>
      </w:r>
      <w:r>
        <w:t xml:space="preserve">authorised by the other members </w:t>
      </w:r>
      <w:r w:rsidR="006B5D51">
        <w:t>via power</w:t>
      </w:r>
      <w:r w:rsidR="00CE7F07">
        <w:t>s</w:t>
      </w:r>
      <w:r w:rsidR="006B5D51">
        <w:t xml:space="preserve"> of attorney. </w:t>
      </w:r>
    </w:p>
    <w:p w:rsidR="003D72C8" w:rsidRDefault="000561E4" w:rsidP="00097FB8">
      <w:pPr>
        <w:pStyle w:val="Heading2"/>
      </w:pPr>
      <w:bookmarkStart w:id="13" w:name="_Toc440617338"/>
      <w:r>
        <w:t>S</w:t>
      </w:r>
      <w:r w:rsidR="00E14BB5">
        <w:t>ubcontracting</w:t>
      </w:r>
      <w:bookmarkEnd w:id="12"/>
      <w:bookmarkEnd w:id="13"/>
    </w:p>
    <w:p w:rsidR="000833BC" w:rsidRDefault="003836CD" w:rsidP="00097FB8">
      <w:r>
        <w:t>Subcontracting is permitted</w:t>
      </w:r>
      <w:r w:rsidR="000833BC" w:rsidRPr="000833BC">
        <w:t xml:space="preserve"> </w:t>
      </w:r>
      <w:r w:rsidR="000833BC" w:rsidRPr="00EA03BA">
        <w:t xml:space="preserve">but </w:t>
      </w:r>
      <w:r w:rsidR="000833BC" w:rsidRPr="000833BC">
        <w:t xml:space="preserve">the contractor </w:t>
      </w:r>
      <w:r w:rsidR="000833BC">
        <w:t>will retain</w:t>
      </w:r>
      <w:r w:rsidR="000833BC" w:rsidRPr="000833BC">
        <w:t xml:space="preserve"> full liability towards the </w:t>
      </w:r>
      <w:r w:rsidR="000A1BFA">
        <w:t>Contracting Authority</w:t>
      </w:r>
      <w:r w:rsidR="000833BC" w:rsidRPr="000833BC">
        <w:t xml:space="preserve"> for performance of the contract as a whole</w:t>
      </w:r>
      <w:r>
        <w:t xml:space="preserve">. </w:t>
      </w:r>
    </w:p>
    <w:p w:rsidR="009D78EF" w:rsidRPr="00063A44" w:rsidRDefault="009D78EF" w:rsidP="009D78EF">
      <w:r w:rsidRPr="00E47457">
        <w:t xml:space="preserve">Tenderers are required to identify subcontractors whose share of the contract is above </w:t>
      </w:r>
      <w:r w:rsidR="00994123" w:rsidRPr="00E47457">
        <w:t>50</w:t>
      </w:r>
      <w:r w:rsidR="00ED00B8" w:rsidRPr="00E47457">
        <w:rPr>
          <w:b/>
        </w:rPr>
        <w:t> </w:t>
      </w:r>
      <w:r w:rsidR="00994123" w:rsidRPr="00E47457">
        <w:t xml:space="preserve">% </w:t>
      </w:r>
      <w:r w:rsidRPr="00E47457">
        <w:t>whose capacity</w:t>
      </w:r>
      <w:r w:rsidR="00821A77" w:rsidRPr="00E47457">
        <w:t xml:space="preserve"> is necessary to fulfil the selection criteria</w:t>
      </w:r>
      <w:r w:rsidRPr="00E47457">
        <w:t>.</w:t>
      </w:r>
      <w:r>
        <w:t xml:space="preserve"> </w:t>
      </w:r>
    </w:p>
    <w:p w:rsidR="006545D4" w:rsidRDefault="00120F0F" w:rsidP="00097FB8">
      <w:r>
        <w:t xml:space="preserve">During </w:t>
      </w:r>
      <w:r w:rsidR="00D127D9">
        <w:t xml:space="preserve">contract </w:t>
      </w:r>
      <w:r w:rsidR="00CA5E17">
        <w:t>performance</w:t>
      </w:r>
      <w:r w:rsidR="00D127D9">
        <w:t xml:space="preserve">, </w:t>
      </w:r>
      <w:r w:rsidR="00867620">
        <w:t xml:space="preserve">the change of </w:t>
      </w:r>
      <w:r w:rsidR="00807A68">
        <w:t>any subcontractor</w:t>
      </w:r>
      <w:r w:rsidR="00E43B3A" w:rsidRPr="00E43B3A">
        <w:t xml:space="preserve"> </w:t>
      </w:r>
      <w:r w:rsidR="00E43B3A">
        <w:t xml:space="preserve">identified in the </w:t>
      </w:r>
      <w:r w:rsidR="00966DCE">
        <w:t>tender</w:t>
      </w:r>
      <w:r w:rsidR="00D127D9">
        <w:t xml:space="preserve"> </w:t>
      </w:r>
      <w:r w:rsidR="00597037">
        <w:t xml:space="preserve">or additional subcontracting </w:t>
      </w:r>
      <w:r w:rsidR="00D127D9">
        <w:t xml:space="preserve">will be subject to </w:t>
      </w:r>
      <w:r w:rsidRPr="00120F0F">
        <w:t xml:space="preserve">prior written </w:t>
      </w:r>
      <w:r w:rsidR="00D127D9">
        <w:t xml:space="preserve">approval of the </w:t>
      </w:r>
      <w:r w:rsidR="00966DCE">
        <w:t>Contracting Authority</w:t>
      </w:r>
      <w:r w:rsidR="00D127D9">
        <w:t xml:space="preserve">. </w:t>
      </w:r>
    </w:p>
    <w:p w:rsidR="00972954" w:rsidRDefault="008E1FD1" w:rsidP="006418EB">
      <w:pPr>
        <w:pStyle w:val="Heading2"/>
      </w:pPr>
      <w:bookmarkStart w:id="14" w:name="_Toc440617339"/>
      <w:r>
        <w:t>Structure and c</w:t>
      </w:r>
      <w:r w:rsidR="00972954">
        <w:t>ontent of the tender</w:t>
      </w:r>
      <w:bookmarkEnd w:id="14"/>
    </w:p>
    <w:p w:rsidR="00972954" w:rsidRDefault="00972954" w:rsidP="00972954">
      <w:pPr>
        <w:pStyle w:val="Text2"/>
        <w:ind w:left="0"/>
      </w:pPr>
      <w:r>
        <w:t xml:space="preserve">The tenders must be presented as follows: </w:t>
      </w:r>
    </w:p>
    <w:p w:rsidR="00972954" w:rsidRPr="00841568" w:rsidRDefault="00972954" w:rsidP="00972954">
      <w:pPr>
        <w:pStyle w:val="Text2"/>
        <w:ind w:left="0"/>
      </w:pPr>
      <w:r w:rsidRPr="00841568">
        <w:t xml:space="preserve">Part </w:t>
      </w:r>
      <w:r w:rsidR="00060DDC" w:rsidRPr="00841568">
        <w:t>A</w:t>
      </w:r>
      <w:r w:rsidRPr="00841568">
        <w:t xml:space="preserve">: Identification of the tenderer (see </w:t>
      </w:r>
      <w:r w:rsidR="004666FD" w:rsidRPr="00841568">
        <w:t xml:space="preserve">section </w:t>
      </w:r>
      <w:r w:rsidR="005975BA" w:rsidRPr="00841568">
        <w:t>1.7</w:t>
      </w:r>
      <w:r w:rsidRPr="00841568">
        <w:t>)</w:t>
      </w:r>
    </w:p>
    <w:p w:rsidR="00972954" w:rsidRPr="001259A1" w:rsidRDefault="00060DDC" w:rsidP="00972954">
      <w:pPr>
        <w:pStyle w:val="Text2"/>
        <w:ind w:left="0"/>
        <w:rPr>
          <w:lang w:val="en-US"/>
        </w:rPr>
      </w:pPr>
      <w:r w:rsidRPr="001259A1">
        <w:rPr>
          <w:lang w:val="en-US"/>
        </w:rPr>
        <w:t>Part B</w:t>
      </w:r>
      <w:r w:rsidR="00972954" w:rsidRPr="001259A1">
        <w:rPr>
          <w:lang w:val="en-US"/>
        </w:rPr>
        <w:t xml:space="preserve">: </w:t>
      </w:r>
      <w:r w:rsidR="009C3776" w:rsidRPr="001259A1">
        <w:rPr>
          <w:lang w:val="en-US"/>
        </w:rPr>
        <w:t>Non-</w:t>
      </w:r>
      <w:r w:rsidR="00972954" w:rsidRPr="001259A1">
        <w:rPr>
          <w:lang w:val="en-US"/>
        </w:rPr>
        <w:t xml:space="preserve">exclusion </w:t>
      </w:r>
      <w:r w:rsidR="00B94BC1" w:rsidRPr="001259A1">
        <w:rPr>
          <w:lang w:val="en-US"/>
        </w:rPr>
        <w:t xml:space="preserve">(see </w:t>
      </w:r>
      <w:r w:rsidR="003F6912" w:rsidRPr="001259A1">
        <w:rPr>
          <w:lang w:val="en-US"/>
        </w:rPr>
        <w:t xml:space="preserve">section </w:t>
      </w:r>
      <w:r w:rsidR="009C3776" w:rsidRPr="001259A1">
        <w:rPr>
          <w:lang w:val="en-US"/>
        </w:rPr>
        <w:t>4.1</w:t>
      </w:r>
      <w:r w:rsidR="00B94BC1" w:rsidRPr="001259A1">
        <w:rPr>
          <w:lang w:val="en-US"/>
        </w:rPr>
        <w:t>)</w:t>
      </w:r>
    </w:p>
    <w:p w:rsidR="00972954" w:rsidRPr="00ED00B8" w:rsidRDefault="00060DDC" w:rsidP="00972954">
      <w:pPr>
        <w:pStyle w:val="Text2"/>
        <w:ind w:left="0"/>
        <w:rPr>
          <w:b/>
        </w:rPr>
      </w:pPr>
      <w:r w:rsidRPr="00841568">
        <w:t>Part C</w:t>
      </w:r>
      <w:r w:rsidR="00972954" w:rsidRPr="00841568">
        <w:t xml:space="preserve">: </w:t>
      </w:r>
      <w:r w:rsidR="009C3776" w:rsidRPr="00841568">
        <w:t>S</w:t>
      </w:r>
      <w:r w:rsidR="00972954" w:rsidRPr="00841568">
        <w:t xml:space="preserve">election </w:t>
      </w:r>
      <w:r w:rsidR="00B94BC1" w:rsidRPr="00841568">
        <w:t xml:space="preserve">(see </w:t>
      </w:r>
      <w:r w:rsidR="003F6912" w:rsidRPr="00841568">
        <w:t xml:space="preserve">section </w:t>
      </w:r>
      <w:r w:rsidR="009C3776" w:rsidRPr="00841568">
        <w:t>4.2</w:t>
      </w:r>
      <w:r w:rsidR="00B94BC1" w:rsidRPr="00841568">
        <w:t>)</w:t>
      </w:r>
    </w:p>
    <w:p w:rsidR="00972954" w:rsidRDefault="00060DDC" w:rsidP="00972954">
      <w:pPr>
        <w:pStyle w:val="Text2"/>
        <w:ind w:left="0"/>
      </w:pPr>
      <w:r w:rsidRPr="00841568">
        <w:t>Part D</w:t>
      </w:r>
      <w:r w:rsidR="00972954" w:rsidRPr="00841568">
        <w:t>: Technical offer</w:t>
      </w:r>
    </w:p>
    <w:p w:rsidR="009A5785" w:rsidRDefault="009A5785" w:rsidP="00841568">
      <w:pPr>
        <w:pStyle w:val="Text1"/>
        <w:ind w:left="851"/>
        <w:rPr>
          <w:b w:val="0"/>
        </w:rPr>
      </w:pPr>
      <w:r>
        <w:rPr>
          <w:b w:val="0"/>
        </w:rPr>
        <w:t>The technical offer must cover all aspects and tasks required in the technical specification</w:t>
      </w:r>
      <w:r w:rsidR="00394300">
        <w:rPr>
          <w:b w:val="0"/>
        </w:rPr>
        <w:t>s</w:t>
      </w:r>
      <w:r>
        <w:rPr>
          <w:b w:val="0"/>
        </w:rPr>
        <w:t xml:space="preserve"> and provide all the information needed to apply the award criteria. Offers deviating from the requirements or not covering all requirements may be </w:t>
      </w:r>
      <w:r w:rsidR="00597037">
        <w:rPr>
          <w:b w:val="0"/>
        </w:rPr>
        <w:t>rejected on the basis of non-compliance</w:t>
      </w:r>
      <w:r>
        <w:rPr>
          <w:b w:val="0"/>
        </w:rPr>
        <w:t xml:space="preserve"> with the tender specifications and will not be evaluated. </w:t>
      </w:r>
    </w:p>
    <w:p w:rsidR="00972954" w:rsidRDefault="00060DDC" w:rsidP="00972954">
      <w:pPr>
        <w:pStyle w:val="Text2"/>
        <w:ind w:left="0"/>
      </w:pPr>
      <w:r w:rsidRPr="00841568">
        <w:t>Part E</w:t>
      </w:r>
      <w:r w:rsidR="00972954" w:rsidRPr="00841568">
        <w:t>: Financial offer</w:t>
      </w:r>
      <w:r w:rsidR="0037792C" w:rsidRPr="00841568">
        <w:t xml:space="preserve"> </w:t>
      </w:r>
    </w:p>
    <w:p w:rsidR="009A5785" w:rsidRPr="00841568" w:rsidRDefault="009A5785" w:rsidP="00841568">
      <w:pPr>
        <w:pStyle w:val="Text1"/>
        <w:ind w:left="851"/>
        <w:rPr>
          <w:b w:val="0"/>
        </w:rPr>
      </w:pPr>
      <w:r w:rsidRPr="00841568">
        <w:rPr>
          <w:b w:val="0"/>
        </w:rPr>
        <w:t xml:space="preserve">The price for the tender must be quoted in euro. Tenderers from countries outside the euro zone have to quote their prices in euro. The price quoted may not be revised in line with exchange rate movements. It is for the tenderer to </w:t>
      </w:r>
      <w:r w:rsidR="00597037">
        <w:rPr>
          <w:b w:val="0"/>
        </w:rPr>
        <w:t>bear</w:t>
      </w:r>
      <w:r w:rsidRPr="00841568">
        <w:rPr>
          <w:b w:val="0"/>
        </w:rPr>
        <w:t xml:space="preserve"> the risks or the benefits deriving from any variation. </w:t>
      </w:r>
    </w:p>
    <w:p w:rsidR="009A5785" w:rsidRPr="00841568" w:rsidRDefault="009A5785" w:rsidP="00C17B63">
      <w:pPr>
        <w:pStyle w:val="Text1"/>
        <w:ind w:left="851"/>
        <w:rPr>
          <w:b w:val="0"/>
        </w:rPr>
      </w:pPr>
      <w:r w:rsidRPr="00841568">
        <w:rPr>
          <w:b w:val="0"/>
        </w:rPr>
        <w:t xml:space="preserve">Prices must be quoted free of all duties, taxes and other charges, including VAT, as the European Union is exempt from such charges under Articles 3 and 4 of the Protocol on the privileges and immunities of the European Union. The amount of VAT may be shown separately. </w:t>
      </w:r>
    </w:p>
    <w:p w:rsidR="009A5785" w:rsidRDefault="009A5785" w:rsidP="00841568">
      <w:pPr>
        <w:ind w:left="851"/>
      </w:pPr>
      <w:r w:rsidRPr="00E47457">
        <w:rPr>
          <w:spacing w:val="-3"/>
        </w:rPr>
        <w:t xml:space="preserve">The quoted price must be a fixed </w:t>
      </w:r>
      <w:r w:rsidR="00994123" w:rsidRPr="00E47457">
        <w:rPr>
          <w:spacing w:val="-3"/>
        </w:rPr>
        <w:t>amount, which</w:t>
      </w:r>
      <w:r w:rsidRPr="00E47457">
        <w:rPr>
          <w:spacing w:val="-3"/>
        </w:rPr>
        <w:t xml:space="preserve"> includes all charges </w:t>
      </w:r>
      <w:r w:rsidRPr="00E47457">
        <w:t>(including travel and subsistence). Travel and subsistence expenses are not refundable separately.</w:t>
      </w:r>
      <w:r>
        <w:t xml:space="preserve"> </w:t>
      </w:r>
    </w:p>
    <w:p w:rsidR="00972954" w:rsidRDefault="00972954" w:rsidP="00972954">
      <w:pPr>
        <w:pStyle w:val="Heading2"/>
      </w:pPr>
      <w:bookmarkStart w:id="15" w:name="_Toc440617340"/>
      <w:r>
        <w:t>Identification of the tenderer</w:t>
      </w:r>
      <w:bookmarkEnd w:id="15"/>
    </w:p>
    <w:p w:rsidR="00972954" w:rsidRDefault="00972954" w:rsidP="00972954">
      <w:pPr>
        <w:pStyle w:val="Text1"/>
        <w:rPr>
          <w:b w:val="0"/>
        </w:rPr>
      </w:pPr>
      <w:r>
        <w:rPr>
          <w:b w:val="0"/>
        </w:rPr>
        <w:t xml:space="preserve">The tender must include a </w:t>
      </w:r>
      <w:r w:rsidRPr="00841568">
        <w:t>cover letter</w:t>
      </w:r>
      <w:r>
        <w:rPr>
          <w:b w:val="0"/>
        </w:rPr>
        <w:t xml:space="preserve"> </w:t>
      </w:r>
      <w:r w:rsidR="00AF2144">
        <w:rPr>
          <w:b w:val="0"/>
        </w:rPr>
        <w:t xml:space="preserve">signed by an authorised representative </w:t>
      </w:r>
      <w:r>
        <w:rPr>
          <w:b w:val="0"/>
        </w:rPr>
        <w:t>presenting the name of the tenderer (</w:t>
      </w:r>
      <w:r w:rsidR="00966DCE">
        <w:rPr>
          <w:b w:val="0"/>
        </w:rPr>
        <w:t xml:space="preserve">including all entities </w:t>
      </w:r>
      <w:r>
        <w:rPr>
          <w:b w:val="0"/>
        </w:rPr>
        <w:t xml:space="preserve">in case of joint </w:t>
      </w:r>
      <w:r w:rsidR="00BD5C13">
        <w:rPr>
          <w:b w:val="0"/>
        </w:rPr>
        <w:t>tender</w:t>
      </w:r>
      <w:r>
        <w:rPr>
          <w:b w:val="0"/>
        </w:rPr>
        <w:t xml:space="preserve">) and </w:t>
      </w:r>
      <w:r w:rsidR="00CA1897">
        <w:rPr>
          <w:b w:val="0"/>
        </w:rPr>
        <w:t xml:space="preserve">identified </w:t>
      </w:r>
      <w:r>
        <w:rPr>
          <w:b w:val="0"/>
        </w:rPr>
        <w:t xml:space="preserve">subcontractors if applicable, and the name of the single contact </w:t>
      </w:r>
      <w:r w:rsidR="008402D5">
        <w:rPr>
          <w:b w:val="0"/>
        </w:rPr>
        <w:t xml:space="preserve">point (leader) </w:t>
      </w:r>
      <w:r>
        <w:rPr>
          <w:b w:val="0"/>
        </w:rPr>
        <w:t xml:space="preserve">in relation to this </w:t>
      </w:r>
      <w:r w:rsidR="008402D5">
        <w:rPr>
          <w:b w:val="0"/>
        </w:rPr>
        <w:t>procedure</w:t>
      </w:r>
      <w:r>
        <w:rPr>
          <w:b w:val="0"/>
        </w:rPr>
        <w:t xml:space="preserve">. </w:t>
      </w:r>
    </w:p>
    <w:p w:rsidR="00972954" w:rsidRDefault="00C97F19" w:rsidP="00972954">
      <w:pPr>
        <w:pStyle w:val="Text1"/>
        <w:rPr>
          <w:b w:val="0"/>
        </w:rPr>
      </w:pPr>
      <w:r>
        <w:rPr>
          <w:b w:val="0"/>
        </w:rPr>
        <w:t>In case of joint tender, t</w:t>
      </w:r>
      <w:r w:rsidR="00972954">
        <w:rPr>
          <w:b w:val="0"/>
        </w:rPr>
        <w:t xml:space="preserve">he cover letter must be signed </w:t>
      </w:r>
      <w:r w:rsidR="00AF2144">
        <w:rPr>
          <w:b w:val="0"/>
        </w:rPr>
        <w:t xml:space="preserve">either </w:t>
      </w:r>
      <w:r w:rsidR="00972954">
        <w:rPr>
          <w:b w:val="0"/>
        </w:rPr>
        <w:t xml:space="preserve">by </w:t>
      </w:r>
      <w:r w:rsidR="00276D3A">
        <w:rPr>
          <w:b w:val="0"/>
        </w:rPr>
        <w:t>a</w:t>
      </w:r>
      <w:r w:rsidR="00AF2144">
        <w:rPr>
          <w:b w:val="0"/>
        </w:rPr>
        <w:t>n</w:t>
      </w:r>
      <w:r w:rsidR="00276D3A">
        <w:rPr>
          <w:b w:val="0"/>
        </w:rPr>
        <w:t xml:space="preserve"> authorised representative for each </w:t>
      </w:r>
      <w:r w:rsidR="00AF2144">
        <w:rPr>
          <w:b w:val="0"/>
        </w:rPr>
        <w:t>member</w:t>
      </w:r>
      <w:r w:rsidR="00972954">
        <w:rPr>
          <w:b w:val="0"/>
        </w:rPr>
        <w:t>, or by</w:t>
      </w:r>
      <w:r w:rsidR="00276D3A">
        <w:rPr>
          <w:b w:val="0"/>
        </w:rPr>
        <w:t xml:space="preserve"> </w:t>
      </w:r>
      <w:r w:rsidR="00AF2144">
        <w:rPr>
          <w:b w:val="0"/>
        </w:rPr>
        <w:t>the leader</w:t>
      </w:r>
      <w:r w:rsidR="00276D3A">
        <w:rPr>
          <w:b w:val="0"/>
        </w:rPr>
        <w:t xml:space="preserve"> authorised by </w:t>
      </w:r>
      <w:r w:rsidR="00AF2144">
        <w:rPr>
          <w:b w:val="0"/>
        </w:rPr>
        <w:t xml:space="preserve">the </w:t>
      </w:r>
      <w:r w:rsidR="00276D3A">
        <w:rPr>
          <w:b w:val="0"/>
        </w:rPr>
        <w:t xml:space="preserve">other </w:t>
      </w:r>
      <w:r w:rsidR="00AF2144">
        <w:rPr>
          <w:b w:val="0"/>
        </w:rPr>
        <w:t xml:space="preserve">members </w:t>
      </w:r>
      <w:r w:rsidR="00276D3A">
        <w:rPr>
          <w:b w:val="0"/>
        </w:rPr>
        <w:t>with power</w:t>
      </w:r>
      <w:r w:rsidR="00AF2144">
        <w:rPr>
          <w:b w:val="0"/>
        </w:rPr>
        <w:t>s</w:t>
      </w:r>
      <w:r w:rsidR="00276D3A">
        <w:rPr>
          <w:b w:val="0"/>
        </w:rPr>
        <w:t xml:space="preserve"> of attorney</w:t>
      </w:r>
      <w:r w:rsidR="00972954">
        <w:rPr>
          <w:b w:val="0"/>
        </w:rPr>
        <w:t xml:space="preserve">. </w:t>
      </w:r>
      <w:r w:rsidR="00AF2144">
        <w:rPr>
          <w:b w:val="0"/>
        </w:rPr>
        <w:t xml:space="preserve">The signed powers of attorney must be included in the tender as well. </w:t>
      </w:r>
      <w:r w:rsidR="003E49E5">
        <w:rPr>
          <w:b w:val="0"/>
        </w:rPr>
        <w:t>S</w:t>
      </w:r>
      <w:r w:rsidR="00972954">
        <w:rPr>
          <w:b w:val="0"/>
        </w:rPr>
        <w:t xml:space="preserve">ubcontractors </w:t>
      </w:r>
      <w:r w:rsidR="000178BB">
        <w:rPr>
          <w:b w:val="0"/>
        </w:rPr>
        <w:t xml:space="preserve">that are identified in the tender </w:t>
      </w:r>
      <w:r w:rsidR="00972954">
        <w:rPr>
          <w:b w:val="0"/>
        </w:rPr>
        <w:t xml:space="preserve">must provide a letter of intent </w:t>
      </w:r>
      <w:r w:rsidR="000178BB">
        <w:rPr>
          <w:b w:val="0"/>
        </w:rPr>
        <w:t xml:space="preserve">signed by an authorised representative </w:t>
      </w:r>
      <w:r w:rsidR="00972954">
        <w:rPr>
          <w:b w:val="0"/>
        </w:rPr>
        <w:t>stating their willingness to provide the service</w:t>
      </w:r>
      <w:r w:rsidR="00974DA3">
        <w:rPr>
          <w:b w:val="0"/>
        </w:rPr>
        <w:t>s</w:t>
      </w:r>
      <w:r w:rsidR="00972954">
        <w:rPr>
          <w:b w:val="0"/>
        </w:rPr>
        <w:t xml:space="preserve"> </w:t>
      </w:r>
      <w:r w:rsidR="00974DA3">
        <w:rPr>
          <w:b w:val="0"/>
        </w:rPr>
        <w:t xml:space="preserve">presented </w:t>
      </w:r>
      <w:r w:rsidR="00972954">
        <w:rPr>
          <w:b w:val="0"/>
        </w:rPr>
        <w:t xml:space="preserve">in the </w:t>
      </w:r>
      <w:r w:rsidR="00595F67">
        <w:rPr>
          <w:b w:val="0"/>
        </w:rPr>
        <w:t>tender</w:t>
      </w:r>
      <w:r w:rsidR="003E49E5">
        <w:rPr>
          <w:b w:val="0"/>
        </w:rPr>
        <w:t xml:space="preserve"> and in line with the present tender specification</w:t>
      </w:r>
      <w:r w:rsidR="00595F67">
        <w:rPr>
          <w:b w:val="0"/>
        </w:rPr>
        <w:t>s</w:t>
      </w:r>
      <w:r w:rsidR="00972954">
        <w:rPr>
          <w:b w:val="0"/>
        </w:rPr>
        <w:t xml:space="preserve">. </w:t>
      </w:r>
    </w:p>
    <w:p w:rsidR="00972954" w:rsidRDefault="007E7172" w:rsidP="00972954">
      <w:pPr>
        <w:pStyle w:val="Text1"/>
        <w:rPr>
          <w:b w:val="0"/>
        </w:rPr>
      </w:pPr>
      <w:r>
        <w:rPr>
          <w:b w:val="0"/>
        </w:rPr>
        <w:t>A</w:t>
      </w:r>
      <w:r w:rsidR="00972954">
        <w:rPr>
          <w:b w:val="0"/>
        </w:rPr>
        <w:t>ll tenderers</w:t>
      </w:r>
      <w:r w:rsidR="000D1DE3">
        <w:rPr>
          <w:b w:val="0"/>
        </w:rPr>
        <w:t xml:space="preserve"> (including all members of the group in case of joint tender)</w:t>
      </w:r>
      <w:r w:rsidR="00972954">
        <w:rPr>
          <w:b w:val="0"/>
        </w:rPr>
        <w:t xml:space="preserve"> must provide a signed Legal Entity Form with its supporting evidence. The form is available on:</w:t>
      </w:r>
      <w:r w:rsidR="00966DCE">
        <w:rPr>
          <w:b w:val="0"/>
        </w:rPr>
        <w:tab/>
      </w:r>
      <w:r w:rsidR="00966DCE">
        <w:rPr>
          <w:b w:val="0"/>
        </w:rPr>
        <w:br/>
      </w:r>
      <w:hyperlink r:id="rId21" w:history="1">
        <w:r w:rsidR="00966DCE" w:rsidRPr="00A04CCE">
          <w:rPr>
            <w:rStyle w:val="Hyperlink"/>
            <w:b w:val="0"/>
          </w:rPr>
          <w:t>http://ec.europa.eu/budget/contracts_grants/info_contracts/legal_entities/legal_entities_en.cfm</w:t>
        </w:r>
      </w:hyperlink>
      <w:r w:rsidR="00966DCE">
        <w:rPr>
          <w:b w:val="0"/>
        </w:rPr>
        <w:t xml:space="preserve"> </w:t>
      </w:r>
    </w:p>
    <w:p w:rsidR="00972954" w:rsidRPr="00841568" w:rsidRDefault="00C97F19" w:rsidP="00972954">
      <w:pPr>
        <w:pStyle w:val="Text1"/>
        <w:rPr>
          <w:b w:val="0"/>
        </w:rPr>
      </w:pPr>
      <w:r w:rsidRPr="00841568">
        <w:rPr>
          <w:b w:val="0"/>
        </w:rPr>
        <w:t xml:space="preserve">Tenderers </w:t>
      </w:r>
      <w:r w:rsidR="00972954" w:rsidRPr="00841568">
        <w:rPr>
          <w:b w:val="0"/>
        </w:rPr>
        <w:t xml:space="preserve">that are already registered in the </w:t>
      </w:r>
      <w:r w:rsidR="00CE710C" w:rsidRPr="00841568">
        <w:rPr>
          <w:b w:val="0"/>
        </w:rPr>
        <w:t>Contracting Authority</w:t>
      </w:r>
      <w:r w:rsidR="00972954" w:rsidRPr="00841568">
        <w:rPr>
          <w:b w:val="0"/>
        </w:rPr>
        <w:t xml:space="preserve">’s accounting system (i.e. they have </w:t>
      </w:r>
      <w:r w:rsidR="00CE710C" w:rsidRPr="00841568">
        <w:rPr>
          <w:b w:val="0"/>
        </w:rPr>
        <w:t xml:space="preserve">already </w:t>
      </w:r>
      <w:r w:rsidR="00972954" w:rsidRPr="00841568">
        <w:rPr>
          <w:b w:val="0"/>
        </w:rPr>
        <w:t xml:space="preserve">been </w:t>
      </w:r>
      <w:r w:rsidR="00880C12" w:rsidRPr="00841568">
        <w:rPr>
          <w:b w:val="0"/>
        </w:rPr>
        <w:t xml:space="preserve">direct </w:t>
      </w:r>
      <w:r w:rsidR="00972954" w:rsidRPr="00841568">
        <w:rPr>
          <w:b w:val="0"/>
        </w:rPr>
        <w:t>contractors) must provide the form but are not obliged to p</w:t>
      </w:r>
      <w:r w:rsidR="002166A2" w:rsidRPr="00841568">
        <w:rPr>
          <w:b w:val="0"/>
        </w:rPr>
        <w:t>rovide the supporting evidence.</w:t>
      </w:r>
    </w:p>
    <w:p w:rsidR="000559BC" w:rsidRDefault="00972954" w:rsidP="00841568">
      <w:pPr>
        <w:pStyle w:val="Text1"/>
        <w:rPr>
          <w:b w:val="0"/>
        </w:rPr>
      </w:pPr>
      <w:r>
        <w:rPr>
          <w:b w:val="0"/>
        </w:rPr>
        <w:t xml:space="preserve">The tenderer (or </w:t>
      </w:r>
      <w:r w:rsidR="00880C12">
        <w:rPr>
          <w:b w:val="0"/>
        </w:rPr>
        <w:t xml:space="preserve">the </w:t>
      </w:r>
      <w:r w:rsidR="007E7172">
        <w:rPr>
          <w:b w:val="0"/>
        </w:rPr>
        <w:t>leader</w:t>
      </w:r>
      <w:r w:rsidR="00D87B1D">
        <w:rPr>
          <w:b w:val="0"/>
        </w:rPr>
        <w:t xml:space="preserve"> in case of joint tender</w:t>
      </w:r>
      <w:r>
        <w:rPr>
          <w:b w:val="0"/>
        </w:rPr>
        <w:t xml:space="preserve">) must provide a Financial Identification Form </w:t>
      </w:r>
      <w:r w:rsidR="007E7172">
        <w:rPr>
          <w:b w:val="0"/>
        </w:rPr>
        <w:t xml:space="preserve">with its </w:t>
      </w:r>
      <w:r>
        <w:rPr>
          <w:b w:val="0"/>
        </w:rPr>
        <w:t>supporting documents</w:t>
      </w:r>
      <w:r w:rsidR="00880C12">
        <w:rPr>
          <w:b w:val="0"/>
        </w:rPr>
        <w:t xml:space="preserve">. Only one form per </w:t>
      </w:r>
      <w:r w:rsidR="00FF13F2">
        <w:rPr>
          <w:b w:val="0"/>
        </w:rPr>
        <w:t>tender</w:t>
      </w:r>
      <w:r w:rsidR="00880C12">
        <w:rPr>
          <w:b w:val="0"/>
        </w:rPr>
        <w:t xml:space="preserve"> should be submitted</w:t>
      </w:r>
      <w:r w:rsidR="007E7172">
        <w:rPr>
          <w:b w:val="0"/>
        </w:rPr>
        <w:t>.</w:t>
      </w:r>
      <w:r>
        <w:rPr>
          <w:b w:val="0"/>
        </w:rPr>
        <w:t xml:space="preserve"> </w:t>
      </w:r>
      <w:r w:rsidR="007E7172">
        <w:rPr>
          <w:b w:val="0"/>
        </w:rPr>
        <w:t>N</w:t>
      </w:r>
      <w:r w:rsidR="00D87B1D">
        <w:rPr>
          <w:b w:val="0"/>
        </w:rPr>
        <w:t xml:space="preserve">o form is needed for </w:t>
      </w:r>
      <w:r>
        <w:rPr>
          <w:b w:val="0"/>
        </w:rPr>
        <w:t>subcontractors</w:t>
      </w:r>
      <w:r w:rsidR="00880C12">
        <w:rPr>
          <w:b w:val="0"/>
        </w:rPr>
        <w:t xml:space="preserve"> and </w:t>
      </w:r>
      <w:r w:rsidR="00D87B1D">
        <w:rPr>
          <w:b w:val="0"/>
        </w:rPr>
        <w:t xml:space="preserve">other </w:t>
      </w:r>
      <w:r w:rsidR="007E7172">
        <w:rPr>
          <w:b w:val="0"/>
        </w:rPr>
        <w:t xml:space="preserve">members of the group in case of joint </w:t>
      </w:r>
      <w:r w:rsidR="00880C12">
        <w:rPr>
          <w:b w:val="0"/>
        </w:rPr>
        <w:t>tender</w:t>
      </w:r>
      <w:r>
        <w:rPr>
          <w:b w:val="0"/>
        </w:rPr>
        <w:t>.</w:t>
      </w:r>
      <w:r w:rsidR="007A454A">
        <w:rPr>
          <w:b w:val="0"/>
        </w:rPr>
        <w:t xml:space="preserve"> </w:t>
      </w:r>
      <w:r>
        <w:rPr>
          <w:b w:val="0"/>
        </w:rPr>
        <w:t xml:space="preserve">The form is available on: </w:t>
      </w:r>
      <w:hyperlink r:id="rId22" w:history="1">
        <w:r w:rsidR="00CE710C" w:rsidRPr="00A04CCE">
          <w:rPr>
            <w:rStyle w:val="Hyperlink"/>
            <w:b w:val="0"/>
          </w:rPr>
          <w:t>http://ec.europa.eu/budget/contracts_grants/info_contracts/index_en.cfm</w:t>
        </w:r>
      </w:hyperlink>
      <w:r w:rsidR="00CE710C">
        <w:rPr>
          <w:b w:val="0"/>
        </w:rPr>
        <w:t xml:space="preserve"> </w:t>
      </w:r>
      <w:bookmarkStart w:id="16" w:name="_Toc116205446"/>
    </w:p>
    <w:p w:rsidR="007C2262" w:rsidRDefault="007C2262" w:rsidP="007C2262">
      <w:pPr>
        <w:pStyle w:val="Text1"/>
        <w:rPr>
          <w:b w:val="0"/>
        </w:rPr>
      </w:pPr>
      <w:r>
        <w:rPr>
          <w:b w:val="0"/>
        </w:rPr>
        <w:t xml:space="preserve">The tenderer (and each member of the group in case of joint tender) </w:t>
      </w:r>
      <w:r w:rsidRPr="00841568">
        <w:rPr>
          <w:b w:val="0"/>
          <w:spacing w:val="-3"/>
        </w:rPr>
        <w:t>must</w:t>
      </w:r>
      <w:r w:rsidRPr="004A7117">
        <w:rPr>
          <w:b w:val="0"/>
        </w:rPr>
        <w:t xml:space="preserve"> </w:t>
      </w:r>
      <w:r>
        <w:rPr>
          <w:b w:val="0"/>
        </w:rPr>
        <w:t xml:space="preserve">declare whether it is a Small or Medium Size Enterprise in accordance with </w:t>
      </w:r>
      <w:hyperlink r:id="rId23" w:history="1">
        <w:r w:rsidRPr="00C7297D">
          <w:rPr>
            <w:rStyle w:val="Hyperlink"/>
            <w:b w:val="0"/>
          </w:rPr>
          <w:t>Commission Recommendation 2003/361/EC</w:t>
        </w:r>
      </w:hyperlink>
      <w:r w:rsidRPr="00C7297D">
        <w:rPr>
          <w:b w:val="0"/>
        </w:rPr>
        <w:t>. This information is used for statistical purposes</w:t>
      </w:r>
      <w:r>
        <w:rPr>
          <w:b w:val="0"/>
        </w:rPr>
        <w:t xml:space="preserve"> only</w:t>
      </w:r>
      <w:r w:rsidRPr="00C7297D">
        <w:rPr>
          <w:b w:val="0"/>
        </w:rPr>
        <w:t xml:space="preserve">. </w:t>
      </w:r>
    </w:p>
    <w:p w:rsidR="00494C77" w:rsidRPr="009B7A6A" w:rsidRDefault="00B23BAE" w:rsidP="00DB1B93">
      <w:pPr>
        <w:pStyle w:val="Heading1"/>
      </w:pPr>
      <w:bookmarkStart w:id="17" w:name="_Toc260151644"/>
      <w:bookmarkStart w:id="18" w:name="_Toc364842480"/>
      <w:bookmarkStart w:id="19" w:name="_Toc440617341"/>
      <w:r w:rsidRPr="009B7A6A">
        <w:t>T</w:t>
      </w:r>
      <w:r w:rsidR="0099376D" w:rsidRPr="009B7A6A">
        <w:t>echnical specification</w:t>
      </w:r>
      <w:bookmarkEnd w:id="16"/>
      <w:bookmarkEnd w:id="17"/>
      <w:r w:rsidRPr="009B7A6A">
        <w:t>s</w:t>
      </w:r>
      <w:bookmarkEnd w:id="18"/>
      <w:bookmarkEnd w:id="19"/>
    </w:p>
    <w:p w:rsidR="002613D9" w:rsidRPr="00562C81" w:rsidRDefault="002613D9" w:rsidP="002613D9">
      <w:pPr>
        <w:pStyle w:val="Heading2"/>
        <w:numPr>
          <w:ilvl w:val="0"/>
          <w:numId w:val="0"/>
        </w:numPr>
        <w:rPr>
          <w:u w:val="none"/>
        </w:rPr>
      </w:pPr>
      <w:bookmarkStart w:id="20" w:name="_Toc80004554"/>
      <w:r>
        <w:rPr>
          <w:u w:val="none"/>
        </w:rPr>
        <w:t>Subject: what is this call for tenders about?</w:t>
      </w:r>
      <w:bookmarkEnd w:id="20"/>
    </w:p>
    <w:p w:rsidR="002613D9" w:rsidRDefault="002613D9" w:rsidP="002613D9">
      <w:pPr>
        <w:rPr>
          <w:color w:val="000000"/>
        </w:rPr>
      </w:pPr>
      <w:r w:rsidRPr="002613D9">
        <w:rPr>
          <w:color w:val="000000"/>
        </w:rPr>
        <w:t xml:space="preserve">The subject of this negotiated procedure is </w:t>
      </w:r>
      <w:r w:rsidR="006D10D0">
        <w:rPr>
          <w:color w:val="000000"/>
        </w:rPr>
        <w:t xml:space="preserve">the </w:t>
      </w:r>
      <w:r w:rsidRPr="002613D9">
        <w:rPr>
          <w:color w:val="000000"/>
        </w:rPr>
        <w:t>Study on the potential impacts of the Carbon Border Adjustment Mechanism.</w:t>
      </w:r>
    </w:p>
    <w:p w:rsidR="002613D9" w:rsidRPr="00CE515C" w:rsidRDefault="002613D9" w:rsidP="002613D9">
      <w:pPr>
        <w:pStyle w:val="Heading2"/>
        <w:numPr>
          <w:ilvl w:val="0"/>
          <w:numId w:val="0"/>
        </w:numPr>
        <w:rPr>
          <w:u w:val="none"/>
        </w:rPr>
      </w:pPr>
      <w:bookmarkStart w:id="21" w:name="_Ref528428197"/>
      <w:bookmarkStart w:id="22" w:name="_Toc80004555"/>
      <w:r>
        <w:rPr>
          <w:u w:val="none"/>
        </w:rPr>
        <w:t xml:space="preserve">Description: </w:t>
      </w:r>
      <w:bookmarkEnd w:id="21"/>
      <w:r>
        <w:rPr>
          <w:u w:val="none"/>
        </w:rPr>
        <w:t>subject of the contract</w:t>
      </w:r>
      <w:bookmarkEnd w:id="22"/>
    </w:p>
    <w:p w:rsidR="002613D9" w:rsidRPr="00E912D8" w:rsidRDefault="002613D9" w:rsidP="002613D9">
      <w:r w:rsidRPr="00E912D8">
        <w:t xml:space="preserve">The European Green Deal emphasised that “should differences in levels of ambition worldwide persist, as the EU increases its climate ambition, the Commission will propose a carbon border adjustment mechanism, for selected sectors, to reduce the risk of carbon leakage”. Risk of carbon leakage means either that production is transferred from the EU to other countries with lower ambition for emission reduction, or that EU products are replaced by more carbon-intensive imports. If this risk materialises, there will be no reduction in global emissions, and this will frustrate the efforts of the EU and its industries to meet the global climate objectives of the Paris Agreement. A Carbon Border Adjustment Mechanism (CBAM) would ensure that the price of imports reflects more accurately their carbon content. </w:t>
      </w:r>
    </w:p>
    <w:p w:rsidR="002613D9" w:rsidRDefault="002613D9" w:rsidP="002613D9">
      <w:pPr>
        <w:spacing w:after="120"/>
      </w:pPr>
      <w:r>
        <w:t xml:space="preserve">The details of the proposed CBAM and its practical applications are contained in the </w:t>
      </w:r>
      <w:r w:rsidR="00E47457">
        <w:t>below-</w:t>
      </w:r>
      <w:r>
        <w:t>mentioned proposal, and summarised in the accompanying factsheet</w:t>
      </w:r>
      <w:r>
        <w:rPr>
          <w:rStyle w:val="FootnoteReference"/>
        </w:rPr>
        <w:footnoteReference w:id="5"/>
      </w:r>
      <w:r>
        <w:t>.</w:t>
      </w:r>
    </w:p>
    <w:p w:rsidR="002613D9" w:rsidRPr="008B381F" w:rsidRDefault="002613D9" w:rsidP="002613D9">
      <w:pPr>
        <w:pStyle w:val="Heading3"/>
        <w:numPr>
          <w:ilvl w:val="0"/>
          <w:numId w:val="0"/>
        </w:numPr>
      </w:pPr>
      <w:r>
        <w:t>Background and objectives</w:t>
      </w:r>
    </w:p>
    <w:p w:rsidR="002613D9" w:rsidRDefault="002613D9" w:rsidP="002613D9">
      <w:pPr>
        <w:spacing w:after="120"/>
      </w:pPr>
      <w:r>
        <w:t>On 14</w:t>
      </w:r>
      <w:r w:rsidRPr="00B96F86">
        <w:rPr>
          <w:vertAlign w:val="superscript"/>
        </w:rPr>
        <w:t>th</w:t>
      </w:r>
      <w:r>
        <w:t xml:space="preserve"> July 2021, t</w:t>
      </w:r>
      <w:r w:rsidRPr="00243F6F">
        <w:t xml:space="preserve">he European </w:t>
      </w:r>
      <w:r>
        <w:t xml:space="preserve">Commission put forward a proposal for a Regulation of the European Parliament and of the Council </w:t>
      </w:r>
      <w:r w:rsidRPr="00B96F86">
        <w:t xml:space="preserve">establishing a carbon border adjustment </w:t>
      </w:r>
      <w:r>
        <w:t>mechanism (CBAM)</w:t>
      </w:r>
      <w:r>
        <w:rPr>
          <w:rStyle w:val="FootnoteReference"/>
        </w:rPr>
        <w:footnoteReference w:id="6"/>
      </w:r>
      <w:r>
        <w:t xml:space="preserve">, in line with the European </w:t>
      </w:r>
      <w:r w:rsidRPr="00243F6F">
        <w:t>Green Deal</w:t>
      </w:r>
      <w:r>
        <w:t xml:space="preserve"> (the CBAM proposal). The CBAM proposal aims at addressing the risk of carbon leakage, increased by the higher emission reduction ambition of the EU. R</w:t>
      </w:r>
      <w:r w:rsidRPr="00243F6F">
        <w:t xml:space="preserve">isk of carbon leakage means either that production is transferred from the EU to </w:t>
      </w:r>
      <w:r>
        <w:t>third</w:t>
      </w:r>
      <w:r w:rsidRPr="00243F6F">
        <w:t xml:space="preserve"> countries with lower ambition for emission reduction, or that EU products are replaced by more carbon-intensive imports. If this risk materialises, there will be no reduction in global emissions, and this will frustrate the efforts of the EU and its industries to meet the global climate objectives of the Paris Agreement.</w:t>
      </w:r>
      <w:r>
        <w:t xml:space="preserve"> The CBAM is designed to be a system that </w:t>
      </w:r>
      <w:r w:rsidRPr="00B96F86">
        <w:t>puts a fair price on the carbon emitted during production, and that encourages cleaner industry in non-EU countries</w:t>
      </w:r>
      <w:r>
        <w:t xml:space="preserve"> or territories</w:t>
      </w:r>
      <w:r w:rsidRPr="00B96F86">
        <w:t>.</w:t>
      </w:r>
      <w:r>
        <w:t xml:space="preserve"> In the first phase, the CBAM would focus on sectors at higher risk of carbon leakage, namely: cement; iron and steel; aluminium; fertilisers; and electricity.</w:t>
      </w:r>
    </w:p>
    <w:p w:rsidR="002613D9" w:rsidRPr="00243F6F" w:rsidRDefault="002613D9" w:rsidP="002613D9">
      <w:pPr>
        <w:spacing w:after="120"/>
      </w:pPr>
      <w:r w:rsidRPr="00243F6F">
        <w:t xml:space="preserve">The </w:t>
      </w:r>
      <w:r>
        <w:t xml:space="preserve">global </w:t>
      </w:r>
      <w:r w:rsidRPr="00243F6F">
        <w:t xml:space="preserve">objective of the </w:t>
      </w:r>
      <w:r w:rsidRPr="007F51DB">
        <w:t xml:space="preserve">assignment is to support the Commission in </w:t>
      </w:r>
      <w:r w:rsidRPr="007F51DB">
        <w:rPr>
          <w:b/>
          <w:bCs/>
        </w:rPr>
        <w:t>identifying and assessing the main concerns and potential impacts of the CBAM on the Western Balkans</w:t>
      </w:r>
      <w:r w:rsidRPr="007F51DB">
        <w:rPr>
          <w:rStyle w:val="FootnoteReference"/>
          <w:b/>
          <w:bCs/>
        </w:rPr>
        <w:footnoteReference w:id="7"/>
      </w:r>
      <w:r w:rsidRPr="007F51DB">
        <w:rPr>
          <w:b/>
          <w:bCs/>
        </w:rPr>
        <w:t>, Turkey and the European Neighbourhood</w:t>
      </w:r>
      <w:r w:rsidRPr="007F51DB">
        <w:rPr>
          <w:rStyle w:val="FootnoteReference"/>
          <w:b/>
          <w:bCs/>
        </w:rPr>
        <w:footnoteReference w:id="8"/>
      </w:r>
      <w:r w:rsidRPr="007F51DB">
        <w:rPr>
          <w:b/>
          <w:bCs/>
        </w:rPr>
        <w:t xml:space="preserve"> – the “NEAR countries”</w:t>
      </w:r>
      <w:r w:rsidRPr="007F51DB">
        <w:t>.</w:t>
      </w:r>
      <w:r w:rsidRPr="00243F6F">
        <w:t xml:space="preserve"> </w:t>
      </w:r>
    </w:p>
    <w:p w:rsidR="002613D9" w:rsidRDefault="002613D9" w:rsidP="002613D9">
      <w:pPr>
        <w:spacing w:after="120"/>
        <w:rPr>
          <w:sz w:val="22"/>
          <w:szCs w:val="22"/>
        </w:rPr>
      </w:pPr>
      <w:r w:rsidRPr="00C32545">
        <w:t xml:space="preserve">The specific objective of the assignment is </w:t>
      </w:r>
      <w:r w:rsidRPr="00C32545">
        <w:rPr>
          <w:b/>
          <w:bCs/>
        </w:rPr>
        <w:t>to undertake a quantitative and qualitative evaluation of the impacts of the proposed Carbon Border Adjustment Mechanism on the economic, social and environmental prospects of “NEAR countries”</w:t>
      </w:r>
      <w:r w:rsidRPr="00E912D8">
        <w:t>,</w:t>
      </w:r>
      <w:r w:rsidRPr="00C32545">
        <w:t xml:space="preserve"> to complement the Impact assessment conducted by the Commission</w:t>
      </w:r>
      <w:r w:rsidRPr="00C32545">
        <w:rPr>
          <w:vertAlign w:val="superscript"/>
        </w:rPr>
        <w:footnoteReference w:id="9"/>
      </w:r>
      <w:r w:rsidRPr="00C32545">
        <w:t xml:space="preserve">. Such an evaluation will inform the Commission’s possible responses, such as how to recognise the approximation with EU energy and climate </w:t>
      </w:r>
      <w:r w:rsidRPr="00C32545">
        <w:rPr>
          <w:i/>
        </w:rPr>
        <w:t>acquis</w:t>
      </w:r>
      <w:r w:rsidRPr="00C32545">
        <w:t xml:space="preserve"> in the CBAM design or what supporting measures </w:t>
      </w:r>
      <w:r>
        <w:t>c</w:t>
      </w:r>
      <w:r w:rsidRPr="00243F6F">
        <w:t xml:space="preserve">ould be </w:t>
      </w:r>
      <w:r>
        <w:t>put in place to accelerate the decarbonisation of key sectors</w:t>
      </w:r>
      <w:r w:rsidRPr="00243F6F">
        <w:t>.</w:t>
      </w:r>
    </w:p>
    <w:p w:rsidR="002613D9" w:rsidRPr="00C32545" w:rsidRDefault="002613D9" w:rsidP="002613D9">
      <w:pPr>
        <w:pStyle w:val="Heading3"/>
        <w:numPr>
          <w:ilvl w:val="0"/>
          <w:numId w:val="0"/>
        </w:numPr>
      </w:pPr>
      <w:r w:rsidRPr="00E912D8">
        <w:t>Requested services</w:t>
      </w:r>
    </w:p>
    <w:p w:rsidR="002613D9" w:rsidRPr="00C32545" w:rsidRDefault="002613D9" w:rsidP="00814823">
      <w:pPr>
        <w:pStyle w:val="ListParagraph"/>
        <w:numPr>
          <w:ilvl w:val="0"/>
          <w:numId w:val="25"/>
        </w:numPr>
        <w:spacing w:after="120"/>
      </w:pPr>
      <w:r w:rsidRPr="00C32545">
        <w:t xml:space="preserve">To provide a quantitative analysis </w:t>
      </w:r>
      <w:r w:rsidRPr="00C32545">
        <w:rPr>
          <w:b/>
          <w:bCs/>
        </w:rPr>
        <w:t>how individual “NEAR countries” exports to the EU are likely to be impacted</w:t>
      </w:r>
      <w:r w:rsidRPr="00C32545">
        <w:t>. This would be primarily in the form of an analysis of which countries currently (i.e. in recent e.g. 5 years) export to the EU, as well as to what extent they do export products under the sectors being considered. An indication of how the trade patterns may evolve over time, where possible, should also be provided. To the extent possible, an overview of how the overall trade balance with the EU could be affected should also be provided.</w:t>
      </w:r>
    </w:p>
    <w:p w:rsidR="002613D9" w:rsidRPr="00C32545" w:rsidRDefault="002613D9" w:rsidP="00814823">
      <w:pPr>
        <w:pStyle w:val="ListParagraph"/>
        <w:numPr>
          <w:ilvl w:val="0"/>
          <w:numId w:val="25"/>
        </w:numPr>
        <w:spacing w:after="120"/>
      </w:pPr>
      <w:r w:rsidRPr="00C32545">
        <w:t xml:space="preserve">To provide an overarching </w:t>
      </w:r>
      <w:r w:rsidRPr="00C32545">
        <w:rPr>
          <w:b/>
          <w:bCs/>
        </w:rPr>
        <w:t>analysis of</w:t>
      </w:r>
      <w:r w:rsidRPr="00C32545">
        <w:t xml:space="preserve"> </w:t>
      </w:r>
      <w:r w:rsidRPr="00C32545">
        <w:rPr>
          <w:b/>
          <w:bCs/>
        </w:rPr>
        <w:t xml:space="preserve">carbon intensity of exports </w:t>
      </w:r>
      <w:r w:rsidRPr="00C32545">
        <w:t>of individual DG NEAR countries, with a focus on carbon intensive industries.</w:t>
      </w:r>
      <w:r w:rsidRPr="00C32545">
        <w:rPr>
          <w:b/>
          <w:bCs/>
        </w:rPr>
        <w:t xml:space="preserve"> </w:t>
      </w:r>
      <w:r w:rsidRPr="00C32545">
        <w:t xml:space="preserve">This includes looking at the sectors most likely affected by the CBAM and how the greenhouse gas emission intensity in production differs from that in other countries, in particular in the EU and main competitor countries in the key CBAM sectors including the Russian Federation. It also includes information on methodology for determination of carbon intensity used and references to data, sources used. </w:t>
      </w:r>
    </w:p>
    <w:p w:rsidR="002613D9" w:rsidRPr="00C32545" w:rsidRDefault="002613D9" w:rsidP="00814823">
      <w:pPr>
        <w:pStyle w:val="ListParagraph"/>
        <w:numPr>
          <w:ilvl w:val="0"/>
          <w:numId w:val="25"/>
        </w:numPr>
        <w:spacing w:after="120"/>
      </w:pPr>
      <w:r w:rsidRPr="00C32545">
        <w:t xml:space="preserve">To provide an </w:t>
      </w:r>
      <w:r w:rsidRPr="00C32545">
        <w:rPr>
          <w:b/>
          <w:bCs/>
        </w:rPr>
        <w:t>analysis of what the wider economic impacts of the CBAM on individual “NEAR countries” could be, including on investments</w:t>
      </w:r>
      <w:r w:rsidRPr="00C32545">
        <w:t>. For all “NEAR countries”, this would entail illustrating how sectors contribute to countries’ Gross Domestic Product (GDP), how much tax revenue they contribute to the state budget, and how much production output they account for. This is to give a sense of the magnitude especially to see that some sectors are economically significant to that country, value addition, and productivity. The analysis of trade should not only be limited to trade flows with the EU, but also identify how important is their share in NEAR country’s total worldwide exports of chosen sectors. An indication of potentially positive impacts should also be provided,</w:t>
      </w:r>
    </w:p>
    <w:p w:rsidR="002613D9" w:rsidRPr="00C32545" w:rsidRDefault="002613D9" w:rsidP="00814823">
      <w:pPr>
        <w:pStyle w:val="ListParagraph"/>
        <w:numPr>
          <w:ilvl w:val="0"/>
          <w:numId w:val="25"/>
        </w:numPr>
        <w:spacing w:after="120"/>
      </w:pPr>
      <w:r w:rsidRPr="00C32545">
        <w:t>Based on the analysis in 3. above, and after discussion and agreement with the Commission services, further in-depth analysis will be undertaken for a sub-set of “NEAR countries” which are likely to be significantly affected by CBAM, to provide an analysis of:</w:t>
      </w:r>
    </w:p>
    <w:p w:rsidR="002613D9" w:rsidRPr="00C32545" w:rsidRDefault="002613D9" w:rsidP="00814823">
      <w:pPr>
        <w:pStyle w:val="ListParagraph"/>
        <w:numPr>
          <w:ilvl w:val="1"/>
          <w:numId w:val="25"/>
        </w:numPr>
        <w:spacing w:after="120"/>
      </w:pPr>
      <w:r w:rsidRPr="00C32545">
        <w:t>How changes in the sectors potentially induced by CBAM could affect job loss/creation;</w:t>
      </w:r>
    </w:p>
    <w:p w:rsidR="002613D9" w:rsidRPr="00C32545" w:rsidRDefault="002613D9" w:rsidP="00814823">
      <w:pPr>
        <w:pStyle w:val="ListParagraph"/>
        <w:numPr>
          <w:ilvl w:val="1"/>
          <w:numId w:val="25"/>
        </w:numPr>
        <w:spacing w:after="120"/>
      </w:pPr>
      <w:r w:rsidRPr="00C32545">
        <w:t xml:space="preserve">How CBAM could affect trade and investment patterns, leading to (more) polluting production processes diverted to countries/regions other than EU. </w:t>
      </w:r>
    </w:p>
    <w:p w:rsidR="002613D9" w:rsidRPr="00C32545" w:rsidRDefault="002613D9" w:rsidP="00814823">
      <w:pPr>
        <w:pStyle w:val="ListParagraph"/>
        <w:numPr>
          <w:ilvl w:val="1"/>
          <w:numId w:val="25"/>
        </w:numPr>
        <w:spacing w:after="120"/>
      </w:pPr>
      <w:r w:rsidRPr="00C32545">
        <w:t xml:space="preserve">How administrative requirements under the CBAM are likely to impact partner countries and the private sector. For instance, administrative requirements and trading procedures are often found to be easier to comply with for larger than smaller exporters. Similarly, the data availability and type of data collection, certification, inspection and documentation procedures required under the CBAM is likely to have differentiated impacts on different types of countries. </w:t>
      </w:r>
    </w:p>
    <w:p w:rsidR="002613D9" w:rsidRPr="00C32545" w:rsidRDefault="002613D9" w:rsidP="00814823">
      <w:pPr>
        <w:pStyle w:val="ListParagraph"/>
        <w:numPr>
          <w:ilvl w:val="1"/>
          <w:numId w:val="25"/>
        </w:numPr>
        <w:spacing w:after="120"/>
      </w:pPr>
      <w:r w:rsidRPr="00C32545">
        <w:t xml:space="preserve">How CBAM could open new opportunities for “NEAR countries” and their private sector, such as greater energy efficiency, higher competitiveness in a world where demand for sustainable products increases, less pollution and related health issues, opportunities for nearshoring, positive impacts on investments required irrespectively of CBAM (e.g. beyond life-time infrastructure, processes). For instance, if the CBAM policy option includes default values on greenhouse gas emissions, there might be an option for traders to prove a “better than default”-value of emissions embedded in their production. Would exporters in “NEAR countries” have more challenges than those exporters from other countries in proving such deviation? </w:t>
      </w:r>
    </w:p>
    <w:p w:rsidR="002613D9" w:rsidRPr="00C32545" w:rsidRDefault="002613D9" w:rsidP="00814823">
      <w:pPr>
        <w:pStyle w:val="ListParagraph"/>
        <w:numPr>
          <w:ilvl w:val="0"/>
          <w:numId w:val="25"/>
        </w:numPr>
        <w:spacing w:after="120"/>
      </w:pPr>
      <w:r w:rsidRPr="00C32545">
        <w:t xml:space="preserve">To provide a qualitative analysis of the relevance for CBAM application of the relevant legal energy, climate and environment </w:t>
      </w:r>
      <w:r w:rsidRPr="00C32545">
        <w:rPr>
          <w:i/>
          <w:iCs/>
        </w:rPr>
        <w:t>acquis</w:t>
      </w:r>
      <w:r w:rsidRPr="00C32545">
        <w:t xml:space="preserve"> for candidate countries and potential candidates, as well as Contracting Parties of the Energy Community Treaty. This would entail providing an indication of how such </w:t>
      </w:r>
      <w:r w:rsidRPr="00C32545">
        <w:rPr>
          <w:i/>
          <w:iCs/>
        </w:rPr>
        <w:t>acquis</w:t>
      </w:r>
      <w:r w:rsidRPr="00C32545">
        <w:t xml:space="preserve"> approximation process may affect the implementation of CBAM. It does not entail an assessment of where individual economies are with respect to the acquis approximation process. </w:t>
      </w:r>
    </w:p>
    <w:p w:rsidR="002613D9" w:rsidRPr="00C32545" w:rsidRDefault="002613D9" w:rsidP="00814823">
      <w:pPr>
        <w:pStyle w:val="ListParagraph"/>
        <w:numPr>
          <w:ilvl w:val="0"/>
          <w:numId w:val="25"/>
        </w:numPr>
        <w:spacing w:after="120"/>
      </w:pPr>
      <w:r w:rsidRPr="00C32545">
        <w:t>To provide prioritised</w:t>
      </w:r>
      <w:r w:rsidRPr="00C32545">
        <w:rPr>
          <w:b/>
          <w:bCs/>
        </w:rPr>
        <w:t xml:space="preserve"> recommendations for a possible phased CBAM design and for accompanying measures that DG NEAR could support to accelerate the low carbon transition/ reduce the magnitude of negative impacts</w:t>
      </w:r>
      <w:r w:rsidRPr="00C32545">
        <w:t xml:space="preserve"> in DG NEAR countries, with a specific focus on the potentially most affected ones. Such measures could include technical assistance, technology transfer, support to policy formulation, introduction of carbon pricing, new financing instruments under EFSD+ supporting the decarbonisation path of key industrial sectors/value chains of partner countries’ economy ,…</w:t>
      </w:r>
    </w:p>
    <w:p w:rsidR="002613D9" w:rsidRDefault="002613D9" w:rsidP="002613D9">
      <w:r w:rsidRPr="000C6839">
        <w:t>Variants</w:t>
      </w:r>
      <w:r>
        <w:t xml:space="preserve"> </w:t>
      </w:r>
      <w:r w:rsidRPr="008B381F">
        <w:t xml:space="preserve">(alternatives to the model solution described in the </w:t>
      </w:r>
      <w:r>
        <w:t>t</w:t>
      </w:r>
      <w:r w:rsidRPr="008B381F">
        <w:t xml:space="preserve">ender </w:t>
      </w:r>
      <w:r>
        <w:t>s</w:t>
      </w:r>
      <w:r w:rsidRPr="008B381F">
        <w:t xml:space="preserve">pecifications) are not allowed. The </w:t>
      </w:r>
      <w:r w:rsidRPr="008B381F">
        <w:rPr>
          <w:i/>
        </w:rPr>
        <w:t>Contracting authority</w:t>
      </w:r>
      <w:r w:rsidRPr="008B381F">
        <w:t xml:space="preserve"> will disregard any</w:t>
      </w:r>
      <w:r>
        <w:t xml:space="preserve"> variants described in a tender</w:t>
      </w:r>
      <w:r w:rsidRPr="008B381F">
        <w:t>.</w:t>
      </w:r>
    </w:p>
    <w:p w:rsidR="00904F96" w:rsidRDefault="00904F96" w:rsidP="00904F96">
      <w:r>
        <w:br w:type="page"/>
      </w:r>
      <w:r w:rsidR="002613D9" w:rsidRPr="00904F96">
        <w:t xml:space="preserve">In delivering the above mentioned services, the following must be considered: </w:t>
      </w:r>
    </w:p>
    <w:p w:rsidR="002613D9" w:rsidRPr="00904F96" w:rsidRDefault="002613D9" w:rsidP="00814823">
      <w:pPr>
        <w:pStyle w:val="ListParagraph"/>
        <w:numPr>
          <w:ilvl w:val="0"/>
          <w:numId w:val="24"/>
        </w:numPr>
        <w:spacing w:after="120"/>
        <w:rPr>
          <w:bCs/>
        </w:rPr>
      </w:pPr>
      <w:r w:rsidRPr="00904F96">
        <w:rPr>
          <w:bCs/>
        </w:rPr>
        <w:t>In undertaking the assessment, the experts should consider the relevant replies provided by government and non-governmental organisation as well as the private sector in the consultations on CBAM</w:t>
      </w:r>
      <w:r w:rsidRPr="00904F96">
        <w:rPr>
          <w:bCs/>
          <w:vertAlign w:val="superscript"/>
        </w:rPr>
        <w:footnoteReference w:id="10"/>
      </w:r>
      <w:r w:rsidRPr="00904F96">
        <w:rPr>
          <w:bCs/>
        </w:rPr>
        <w:t>.</w:t>
      </w:r>
    </w:p>
    <w:p w:rsidR="002613D9" w:rsidRPr="00E912D8" w:rsidRDefault="002613D9" w:rsidP="00814823">
      <w:pPr>
        <w:pStyle w:val="ListParagraph"/>
        <w:numPr>
          <w:ilvl w:val="0"/>
          <w:numId w:val="24"/>
        </w:numPr>
        <w:spacing w:after="120"/>
        <w:rPr>
          <w:b/>
          <w:bCs/>
        </w:rPr>
      </w:pPr>
      <w:r w:rsidRPr="00E912D8">
        <w:rPr>
          <w:b/>
          <w:bCs/>
        </w:rPr>
        <w:t xml:space="preserve">For </w:t>
      </w:r>
      <w:r>
        <w:rPr>
          <w:b/>
          <w:bCs/>
        </w:rPr>
        <w:t>requested service</w:t>
      </w:r>
      <w:r w:rsidRPr="00E912D8">
        <w:rPr>
          <w:b/>
          <w:bCs/>
        </w:rPr>
        <w:t xml:space="preserve"> 1</w:t>
      </w:r>
      <w:r w:rsidRPr="00E912D8">
        <w:t xml:space="preserve">, </w:t>
      </w:r>
      <w:r w:rsidRPr="00431653">
        <w:t xml:space="preserve">a preliminary analysis has been </w:t>
      </w:r>
      <w:r w:rsidR="006356D5">
        <w:t>produced by DG NEAR (see Annex at the end of this document</w:t>
      </w:r>
      <w:r w:rsidRPr="00431653">
        <w:t>), which should be complemented by a more thorough analysis, looking at averages from the latest</w:t>
      </w:r>
      <w:r w:rsidRPr="00E912D8">
        <w:t xml:space="preserve"> 5-year period. Two relevant databases will be, firstly, the International Trade Centre </w:t>
      </w:r>
      <w:hyperlink r:id="rId24" w:history="1">
        <w:r w:rsidRPr="00E912D8">
          <w:rPr>
            <w:rStyle w:val="Hyperlink"/>
          </w:rPr>
          <w:t>Market Analysis Tool</w:t>
        </w:r>
      </w:hyperlink>
      <w:r w:rsidRPr="00E912D8">
        <w:t xml:space="preserve">. Secondly, DG TRADE’s </w:t>
      </w:r>
      <w:hyperlink r:id="rId25" w:history="1">
        <w:r w:rsidRPr="00E912D8">
          <w:rPr>
            <w:rStyle w:val="Hyperlink"/>
          </w:rPr>
          <w:t>Access 2 Markets</w:t>
        </w:r>
      </w:hyperlink>
      <w:r w:rsidRPr="00E912D8">
        <w:t xml:space="preserve"> portal. </w:t>
      </w:r>
    </w:p>
    <w:p w:rsidR="002613D9" w:rsidRPr="00E912D8" w:rsidRDefault="002613D9" w:rsidP="00814823">
      <w:pPr>
        <w:pStyle w:val="ListParagraph"/>
        <w:numPr>
          <w:ilvl w:val="0"/>
          <w:numId w:val="24"/>
        </w:numPr>
        <w:spacing w:after="120"/>
        <w:rPr>
          <w:b/>
          <w:bCs/>
        </w:rPr>
      </w:pPr>
      <w:r w:rsidRPr="00E912D8">
        <w:rPr>
          <w:b/>
          <w:bCs/>
        </w:rPr>
        <w:t xml:space="preserve">For </w:t>
      </w:r>
      <w:r>
        <w:rPr>
          <w:b/>
          <w:bCs/>
        </w:rPr>
        <w:t>requested service</w:t>
      </w:r>
      <w:r w:rsidRPr="00E912D8">
        <w:rPr>
          <w:b/>
          <w:bCs/>
        </w:rPr>
        <w:t xml:space="preserve"> 3, </w:t>
      </w:r>
      <w:hyperlink r:id="rId26" w:history="1">
        <w:r w:rsidRPr="00E912D8">
          <w:rPr>
            <w:rStyle w:val="Hyperlink"/>
          </w:rPr>
          <w:t>World Development Indicators</w:t>
        </w:r>
      </w:hyperlink>
      <w:r w:rsidRPr="00E912D8">
        <w:t xml:space="preserve"> and the </w:t>
      </w:r>
      <w:hyperlink r:id="rId27" w:history="1">
        <w:r w:rsidRPr="00E912D8">
          <w:rPr>
            <w:rStyle w:val="Hyperlink"/>
          </w:rPr>
          <w:t>World Integrated Trade Solution</w:t>
        </w:r>
      </w:hyperlink>
      <w:r w:rsidRPr="00E912D8">
        <w:t xml:space="preserve"> are two databases that can be used to assess these sectors’ economic contribution. </w:t>
      </w:r>
    </w:p>
    <w:p w:rsidR="002613D9" w:rsidRPr="00E912D8" w:rsidRDefault="002613D9" w:rsidP="00814823">
      <w:pPr>
        <w:pStyle w:val="ListParagraph"/>
        <w:numPr>
          <w:ilvl w:val="0"/>
          <w:numId w:val="24"/>
        </w:numPr>
        <w:spacing w:after="120"/>
      </w:pPr>
      <w:r w:rsidRPr="00E912D8">
        <w:t xml:space="preserve">In addition, for </w:t>
      </w:r>
      <w:r>
        <w:rPr>
          <w:b/>
          <w:bCs/>
        </w:rPr>
        <w:t>requested service</w:t>
      </w:r>
      <w:r w:rsidRPr="00E912D8">
        <w:rPr>
          <w:b/>
          <w:bCs/>
        </w:rPr>
        <w:t xml:space="preserve"> 2, 3 and 4</w:t>
      </w:r>
      <w:r w:rsidRPr="00E912D8">
        <w:t>, a literature survey should be conducted to highlight findings with regard to how NEAR co</w:t>
      </w:r>
      <w:r>
        <w:t>untries may be impacted as well</w:t>
      </w:r>
      <w:r w:rsidRPr="00E912D8">
        <w:t xml:space="preserve">. </w:t>
      </w:r>
    </w:p>
    <w:p w:rsidR="002613D9" w:rsidRDefault="002613D9" w:rsidP="00814823">
      <w:pPr>
        <w:pStyle w:val="ListParagraph"/>
        <w:numPr>
          <w:ilvl w:val="0"/>
          <w:numId w:val="24"/>
        </w:numPr>
        <w:spacing w:after="120"/>
      </w:pPr>
      <w:r w:rsidRPr="00E912D8">
        <w:t xml:space="preserve">For </w:t>
      </w:r>
      <w:r w:rsidRPr="00E912D8">
        <w:rPr>
          <w:b/>
        </w:rPr>
        <w:t xml:space="preserve">requested service </w:t>
      </w:r>
      <w:r w:rsidRPr="00E912D8">
        <w:rPr>
          <w:b/>
          <w:bCs/>
        </w:rPr>
        <w:t>6</w:t>
      </w:r>
      <w:r w:rsidRPr="00E912D8">
        <w:t xml:space="preserve">, the </w:t>
      </w:r>
      <w:r>
        <w:t>experts</w:t>
      </w:r>
      <w:r w:rsidRPr="00E912D8">
        <w:t xml:space="preserve"> may review similar past trade, customs or climate initiatives on the gradual inclusion of “NEAR countries”. This analysis is not intended to be a complete literature survey, but to give, if possible, indications for the policy design based on previous practice.</w:t>
      </w:r>
    </w:p>
    <w:p w:rsidR="002613D9" w:rsidRPr="00C47622" w:rsidRDefault="002613D9" w:rsidP="002613D9">
      <w:pPr>
        <w:spacing w:after="120"/>
      </w:pPr>
      <w:r w:rsidRPr="00C47622">
        <w:t xml:space="preserve">While the analysis for objective 1 and 2 is primarily intended to be </w:t>
      </w:r>
      <w:r w:rsidRPr="00C47622">
        <w:rPr>
          <w:b/>
          <w:bCs/>
        </w:rPr>
        <w:t>quantitative</w:t>
      </w:r>
      <w:r w:rsidRPr="00C47622">
        <w:t>, for objectives 3 and 4, the quantitative analysis should be complemented by</w:t>
      </w:r>
      <w:r w:rsidRPr="00C47622">
        <w:rPr>
          <w:b/>
          <w:bCs/>
        </w:rPr>
        <w:t xml:space="preserve"> qualitative information</w:t>
      </w:r>
      <w:r w:rsidRPr="00C47622">
        <w:t xml:space="preserve">. This is based on the fact that quantitative data might not be available, for example as concerns future investment flows. Complementary methodologies can include a combination of literature surveys, case studies, etc. </w:t>
      </w:r>
    </w:p>
    <w:p w:rsidR="002613D9" w:rsidRPr="00C47622" w:rsidRDefault="002613D9" w:rsidP="002613D9">
      <w:pPr>
        <w:spacing w:after="120"/>
      </w:pPr>
      <w:r w:rsidRPr="00C47622">
        <w:t xml:space="preserve">The consultants will also </w:t>
      </w:r>
      <w:r w:rsidRPr="00C47622">
        <w:rPr>
          <w:b/>
          <w:bCs/>
        </w:rPr>
        <w:t xml:space="preserve">consult colleagues in the EU delegations, in particular in those countries more likely to be impacted. </w:t>
      </w:r>
      <w:r w:rsidRPr="00C47622">
        <w:t xml:space="preserve">Studies conducted on the potential implications of CBAM or similar measures proposed by other countries will be of particular relevance. </w:t>
      </w:r>
    </w:p>
    <w:p w:rsidR="002613D9" w:rsidRPr="00095F07" w:rsidRDefault="002613D9" w:rsidP="002613D9">
      <w:pPr>
        <w:spacing w:after="120"/>
        <w:rPr>
          <w:u w:val="single"/>
        </w:rPr>
      </w:pPr>
      <w:r w:rsidRPr="00095F07">
        <w:rPr>
          <w:u w:val="single"/>
        </w:rPr>
        <w:t>Considerations</w:t>
      </w:r>
    </w:p>
    <w:p w:rsidR="002613D9" w:rsidRPr="00243F6F" w:rsidRDefault="002613D9" w:rsidP="00814823">
      <w:pPr>
        <w:pStyle w:val="ListParagraph"/>
        <w:numPr>
          <w:ilvl w:val="0"/>
          <w:numId w:val="27"/>
        </w:numPr>
        <w:spacing w:before="0" w:beforeAutospacing="0" w:after="120" w:afterAutospacing="0"/>
        <w:contextualSpacing/>
      </w:pPr>
      <w:r w:rsidRPr="00243F6F">
        <w:t>The process of purchasing Notional ETS would be undertaken by the importer. However, there may be indirect effects. If the administrative process is cumbersome, imports might be disincentivi</w:t>
      </w:r>
      <w:r>
        <w:t>s</w:t>
      </w:r>
      <w:r w:rsidRPr="00243F6F">
        <w:t>ed. In addition, if documentation required e.g. on carbon intensity are modelled on the EU, countries with similar monitoring and/or reporting norms might be favoured over those from other bureaucracies.</w:t>
      </w:r>
    </w:p>
    <w:p w:rsidR="002613D9" w:rsidRPr="00243F6F" w:rsidRDefault="002613D9" w:rsidP="00814823">
      <w:pPr>
        <w:pStyle w:val="ListParagraph"/>
        <w:numPr>
          <w:ilvl w:val="0"/>
          <w:numId w:val="27"/>
        </w:numPr>
        <w:spacing w:before="0" w:beforeAutospacing="0" w:after="160" w:afterAutospacing="0" w:line="259" w:lineRule="auto"/>
        <w:contextualSpacing/>
      </w:pPr>
      <w:r>
        <w:t>T</w:t>
      </w:r>
      <w:r w:rsidRPr="00243F6F">
        <w:t xml:space="preserve">he CBAM </w:t>
      </w:r>
      <w:r>
        <w:t>proposal i</w:t>
      </w:r>
      <w:r w:rsidRPr="00243F6F">
        <w:t>nclude</w:t>
      </w:r>
      <w:r>
        <w:t>s</w:t>
      </w:r>
      <w:r w:rsidRPr="00243F6F">
        <w:t xml:space="preserve"> an option for the trader to show a “better than default” value of greenhouse gas emissions. If so, that would need to be duly proven. One question is whether the default values under CBAM will be differentiated or cross-country averages. If the latter, will this methodology benefit or disadvantage “NEAR countries” – which depends on their emission intensity in comparison to others.</w:t>
      </w:r>
      <w:r w:rsidRPr="00243F6F">
        <w:rPr>
          <w:rStyle w:val="FootnoteReference"/>
        </w:rPr>
        <w:footnoteReference w:id="11"/>
      </w:r>
      <w:r w:rsidRPr="00243F6F">
        <w:t xml:space="preserve"> </w:t>
      </w:r>
    </w:p>
    <w:p w:rsidR="002613D9" w:rsidRDefault="002613D9" w:rsidP="00814823">
      <w:pPr>
        <w:pStyle w:val="ListParagraph"/>
        <w:numPr>
          <w:ilvl w:val="0"/>
          <w:numId w:val="27"/>
        </w:numPr>
        <w:spacing w:before="0" w:beforeAutospacing="0" w:after="160" w:afterAutospacing="0" w:line="259" w:lineRule="auto"/>
        <w:contextualSpacing/>
      </w:pPr>
      <w:r w:rsidRPr="00243F6F">
        <w:t xml:space="preserve">Only </w:t>
      </w:r>
      <w:r w:rsidRPr="00243F6F">
        <w:rPr>
          <w:b/>
        </w:rPr>
        <w:t>direct emissions</w:t>
      </w:r>
      <w:r w:rsidRPr="00243F6F">
        <w:t xml:space="preserve"> will be considered in this analysis. These are emissions taking place as part of a production process on which the producer has direct control. These include emissions from heating and cooling.</w:t>
      </w:r>
    </w:p>
    <w:p w:rsidR="002613D9" w:rsidRPr="00243F6F" w:rsidRDefault="002613D9" w:rsidP="00814823">
      <w:pPr>
        <w:pStyle w:val="ListParagraph"/>
        <w:numPr>
          <w:ilvl w:val="0"/>
          <w:numId w:val="27"/>
        </w:numPr>
        <w:spacing w:before="0" w:beforeAutospacing="0" w:after="160" w:afterAutospacing="0" w:line="259" w:lineRule="auto"/>
        <w:contextualSpacing/>
        <w:jc w:val="left"/>
      </w:pPr>
      <w:r w:rsidRPr="00243F6F">
        <w:t>For products and materials relevant for the analysis, these should be:</w:t>
      </w:r>
    </w:p>
    <w:p w:rsidR="002613D9" w:rsidRPr="00243F6F" w:rsidRDefault="002613D9" w:rsidP="00814823">
      <w:pPr>
        <w:pStyle w:val="ListParagraph"/>
        <w:numPr>
          <w:ilvl w:val="1"/>
          <w:numId w:val="26"/>
        </w:numPr>
        <w:spacing w:before="0" w:beforeAutospacing="0" w:after="160" w:afterAutospacing="0" w:line="259" w:lineRule="auto"/>
        <w:contextualSpacing/>
        <w:jc w:val="left"/>
      </w:pPr>
      <w:r w:rsidRPr="00243F6F">
        <w:t>Cement</w:t>
      </w:r>
    </w:p>
    <w:p w:rsidR="002613D9" w:rsidRPr="00243F6F" w:rsidRDefault="002613D9" w:rsidP="00814823">
      <w:pPr>
        <w:pStyle w:val="ListParagraph"/>
        <w:numPr>
          <w:ilvl w:val="1"/>
          <w:numId w:val="26"/>
        </w:numPr>
        <w:spacing w:before="0" w:beforeAutospacing="0" w:after="160" w:afterAutospacing="0" w:line="259" w:lineRule="auto"/>
        <w:contextualSpacing/>
        <w:jc w:val="left"/>
      </w:pPr>
      <w:r w:rsidRPr="00243F6F">
        <w:t>Iron and Steel</w:t>
      </w:r>
    </w:p>
    <w:p w:rsidR="002613D9" w:rsidRPr="00243F6F" w:rsidRDefault="002613D9" w:rsidP="00814823">
      <w:pPr>
        <w:pStyle w:val="ListParagraph"/>
        <w:numPr>
          <w:ilvl w:val="1"/>
          <w:numId w:val="26"/>
        </w:numPr>
        <w:spacing w:before="0" w:beforeAutospacing="0" w:after="160" w:afterAutospacing="0" w:line="259" w:lineRule="auto"/>
        <w:contextualSpacing/>
        <w:jc w:val="left"/>
      </w:pPr>
      <w:r w:rsidRPr="00243F6F">
        <w:t>Aluminium</w:t>
      </w:r>
    </w:p>
    <w:p w:rsidR="002613D9" w:rsidRPr="00243F6F" w:rsidRDefault="002613D9" w:rsidP="00814823">
      <w:pPr>
        <w:pStyle w:val="ListParagraph"/>
        <w:numPr>
          <w:ilvl w:val="1"/>
          <w:numId w:val="26"/>
        </w:numPr>
        <w:spacing w:before="0" w:beforeAutospacing="0" w:after="160" w:afterAutospacing="0" w:line="259" w:lineRule="auto"/>
        <w:contextualSpacing/>
        <w:jc w:val="left"/>
      </w:pPr>
      <w:r w:rsidRPr="00243F6F">
        <w:t>Fertilizers</w:t>
      </w:r>
    </w:p>
    <w:p w:rsidR="002613D9" w:rsidRPr="00243F6F" w:rsidRDefault="002613D9" w:rsidP="00814823">
      <w:pPr>
        <w:pStyle w:val="ListParagraph"/>
        <w:numPr>
          <w:ilvl w:val="1"/>
          <w:numId w:val="26"/>
        </w:numPr>
        <w:spacing w:before="0" w:beforeAutospacing="0" w:after="160" w:afterAutospacing="0" w:line="259" w:lineRule="auto"/>
        <w:contextualSpacing/>
        <w:jc w:val="left"/>
      </w:pPr>
      <w:r w:rsidRPr="00243F6F">
        <w:t>Electricity generation</w:t>
      </w:r>
    </w:p>
    <w:p w:rsidR="002613D9" w:rsidRPr="00904F96" w:rsidRDefault="002613D9" w:rsidP="00904F96">
      <w:r w:rsidRPr="00685290">
        <w:t xml:space="preserve">Further specification is provided in Annex </w:t>
      </w:r>
      <w:r>
        <w:t>I</w:t>
      </w:r>
      <w:r w:rsidRPr="00685290">
        <w:t xml:space="preserve"> of the CBAM proposal</w:t>
      </w:r>
      <w:r>
        <w:rPr>
          <w:rStyle w:val="FootnoteReference"/>
        </w:rPr>
        <w:footnoteReference w:id="12"/>
      </w:r>
      <w:r w:rsidRPr="00685290">
        <w:t>.</w:t>
      </w:r>
    </w:p>
    <w:p w:rsidR="00062B11" w:rsidRPr="00160E67" w:rsidRDefault="00265E1E" w:rsidP="00DB1B93">
      <w:pPr>
        <w:pStyle w:val="Heading1"/>
      </w:pPr>
      <w:bookmarkStart w:id="23" w:name="_Toc440617342"/>
      <w:r>
        <w:t>Content, Structure</w:t>
      </w:r>
      <w:r w:rsidR="00E273FC">
        <w:t xml:space="preserve"> and </w:t>
      </w:r>
      <w:r>
        <w:t xml:space="preserve">graphic requirements of </w:t>
      </w:r>
      <w:r w:rsidR="00111623">
        <w:t>the deliverables</w:t>
      </w:r>
      <w:bookmarkEnd w:id="23"/>
    </w:p>
    <w:p w:rsidR="00E273FC" w:rsidRDefault="00DF33CB" w:rsidP="00E273FC">
      <w:pPr>
        <w:suppressAutoHyphens/>
        <w:rPr>
          <w:spacing w:val="-3"/>
          <w:lang w:val="en"/>
        </w:rPr>
      </w:pPr>
      <w:r w:rsidRPr="00841568">
        <w:rPr>
          <w:spacing w:val="-3"/>
          <w:lang w:val="en"/>
        </w:rPr>
        <w:t xml:space="preserve">The contractor must deliver the study and other deliverables as indicated below. </w:t>
      </w:r>
    </w:p>
    <w:p w:rsidR="00904F96" w:rsidRPr="008B381F" w:rsidRDefault="00904F96" w:rsidP="00904F96">
      <w:pPr>
        <w:pStyle w:val="Heading3"/>
        <w:numPr>
          <w:ilvl w:val="0"/>
          <w:numId w:val="0"/>
        </w:numPr>
      </w:pPr>
      <w:bookmarkStart w:id="24" w:name="_Toc440617343"/>
      <w:r>
        <w:t>Deliverables</w:t>
      </w:r>
    </w:p>
    <w:p w:rsidR="00904F96" w:rsidRPr="005A06A5" w:rsidRDefault="00904F96" w:rsidP="00904F96">
      <w:pPr>
        <w:spacing w:after="120"/>
      </w:pPr>
      <w:r w:rsidRPr="00D81898">
        <w:t>The output of the assignment must include a detailed report in English (word and pdf) covering all points above, and be accompanied by an executive summary of maximum 15 pages outlining the key results. The use of graphs and tables is strongly encouraged in both the full report and its executive summary. The data used, its source, and the results of the analysis should also be provided (in excel or compatible formats).</w:t>
      </w:r>
    </w:p>
    <w:p w:rsidR="00904F96" w:rsidRPr="005A06A5" w:rsidRDefault="00904F96" w:rsidP="00904F96">
      <w:pPr>
        <w:spacing w:after="120"/>
      </w:pPr>
      <w:r w:rsidRPr="005A06A5">
        <w:t>In accordance with Article 13.1 whereby the Union acquires</w:t>
      </w:r>
      <w:r>
        <w:t xml:space="preserve"> full</w:t>
      </w:r>
      <w:r w:rsidRPr="005A06A5">
        <w:t xml:space="preserve"> ownership of the results as defined in this contract, including the tender specifications, these results may be used for any of the following modes of exploitation:</w:t>
      </w:r>
    </w:p>
    <w:p w:rsidR="00904F96" w:rsidRPr="005A06A5" w:rsidRDefault="00904F96" w:rsidP="00904F96">
      <w:r w:rsidRPr="005A06A5">
        <w:t>(a) use for its own purposes:</w:t>
      </w:r>
    </w:p>
    <w:p w:rsidR="00904F96" w:rsidRPr="005A06A5" w:rsidRDefault="00904F96" w:rsidP="00814823">
      <w:pPr>
        <w:pStyle w:val="ListParagraph"/>
        <w:numPr>
          <w:ilvl w:val="0"/>
          <w:numId w:val="28"/>
        </w:numPr>
        <w:spacing w:before="0" w:beforeAutospacing="0" w:after="60" w:afterAutospacing="0"/>
        <w:ind w:left="357" w:hanging="357"/>
      </w:pPr>
      <w:r w:rsidRPr="005A06A5">
        <w:t xml:space="preserve">making available to the staff of the contracting authority; </w:t>
      </w:r>
    </w:p>
    <w:p w:rsidR="00904F96" w:rsidRDefault="00904F96" w:rsidP="00814823">
      <w:pPr>
        <w:pStyle w:val="ListParagraph"/>
        <w:numPr>
          <w:ilvl w:val="0"/>
          <w:numId w:val="28"/>
        </w:numPr>
        <w:spacing w:before="0" w:beforeAutospacing="0" w:after="60" w:afterAutospacing="0"/>
        <w:ind w:left="357" w:hanging="357"/>
      </w:pPr>
      <w:r w:rsidRPr="005A06A5">
        <w:t>making available to the persons and entities working for the contracting authority or cooperating with it, including contractors, subcontractors whether legal or natural persons, Union institutions, agencies and bodies, Member States’</w:t>
      </w:r>
      <w:r>
        <w:t xml:space="preserve"> </w:t>
      </w:r>
      <w:r w:rsidRPr="005A06A5">
        <w:t>institutions;</w:t>
      </w:r>
    </w:p>
    <w:p w:rsidR="00904F96" w:rsidRPr="005A06A5" w:rsidRDefault="00904F96" w:rsidP="00814823">
      <w:pPr>
        <w:pStyle w:val="ListParagraph"/>
        <w:numPr>
          <w:ilvl w:val="0"/>
          <w:numId w:val="28"/>
        </w:numPr>
        <w:spacing w:before="0" w:beforeAutospacing="0" w:after="60" w:afterAutospacing="0"/>
        <w:ind w:left="357" w:hanging="357"/>
      </w:pPr>
      <w:r w:rsidRPr="005A06A5">
        <w:t>installing, uploading, processing;</w:t>
      </w:r>
    </w:p>
    <w:p w:rsidR="00904F96" w:rsidRDefault="00904F96" w:rsidP="00814823">
      <w:pPr>
        <w:pStyle w:val="ListParagraph"/>
        <w:numPr>
          <w:ilvl w:val="0"/>
          <w:numId w:val="28"/>
        </w:numPr>
        <w:spacing w:before="0" w:beforeAutospacing="0" w:after="60" w:afterAutospacing="0"/>
        <w:ind w:left="357" w:hanging="357"/>
      </w:pPr>
      <w:r w:rsidRPr="005A06A5">
        <w:t>arranging, compiling, combining, retrieving;</w:t>
      </w:r>
    </w:p>
    <w:p w:rsidR="00904F96" w:rsidRPr="005A06A5" w:rsidRDefault="00904F96" w:rsidP="00814823">
      <w:pPr>
        <w:pStyle w:val="ListParagraph"/>
        <w:numPr>
          <w:ilvl w:val="0"/>
          <w:numId w:val="28"/>
        </w:numPr>
        <w:spacing w:before="0" w:beforeAutospacing="0" w:after="60" w:afterAutospacing="0"/>
        <w:ind w:left="357" w:hanging="357"/>
      </w:pPr>
      <w:r w:rsidRPr="005A06A5">
        <w:t>copying, reproducing in whole or in part and in</w:t>
      </w:r>
      <w:r>
        <w:t xml:space="preserve"> unlimited number of copies.</w:t>
      </w:r>
    </w:p>
    <w:p w:rsidR="00904F96" w:rsidRPr="005A06A5" w:rsidRDefault="00904F96" w:rsidP="00904F96">
      <w:r w:rsidRPr="005A06A5">
        <w:t>(b) distribution to the public in hard copies, in electronic or digital format, on the</w:t>
      </w:r>
      <w:r>
        <w:t xml:space="preserve"> </w:t>
      </w:r>
      <w:r w:rsidRPr="005A06A5">
        <w:t>internet including social networks as a downloadable or non-downloadable file;</w:t>
      </w:r>
    </w:p>
    <w:p w:rsidR="00904F96" w:rsidRPr="005A06A5" w:rsidRDefault="00904F96" w:rsidP="00904F96">
      <w:r w:rsidRPr="005A06A5">
        <w:t>(c) communication through press information services;</w:t>
      </w:r>
    </w:p>
    <w:p w:rsidR="00904F96" w:rsidRPr="005A06A5" w:rsidRDefault="00904F96" w:rsidP="00904F96">
      <w:r w:rsidRPr="005A06A5">
        <w:t>(d) inclusion in widely accessible databases or indexes, such as via ‘open access’ or ‘open data’ portals, or similar repositories, whether freely accessible or accessible only upon subscription</w:t>
      </w:r>
      <w:r>
        <w:t>;</w:t>
      </w:r>
    </w:p>
    <w:p w:rsidR="00904F96" w:rsidRPr="005A06A5" w:rsidRDefault="00904F96" w:rsidP="00904F96">
      <w:r w:rsidRPr="005A06A5">
        <w:t>(e) modifications by the contracting authority or by a third party in the name of the contracting authority, including:</w:t>
      </w:r>
    </w:p>
    <w:p w:rsidR="00904F96" w:rsidRPr="005A06A5" w:rsidRDefault="00904F96" w:rsidP="00814823">
      <w:pPr>
        <w:pStyle w:val="ListParagraph"/>
        <w:numPr>
          <w:ilvl w:val="0"/>
          <w:numId w:val="28"/>
        </w:numPr>
        <w:spacing w:before="0" w:beforeAutospacing="0" w:after="60" w:afterAutospacing="0"/>
        <w:ind w:left="357" w:hanging="357"/>
      </w:pPr>
      <w:r w:rsidRPr="00992AB1">
        <w:t xml:space="preserve">shortening; </w:t>
      </w:r>
    </w:p>
    <w:p w:rsidR="00904F96" w:rsidRPr="005A06A5" w:rsidRDefault="00904F96" w:rsidP="00814823">
      <w:pPr>
        <w:pStyle w:val="ListParagraph"/>
        <w:numPr>
          <w:ilvl w:val="0"/>
          <w:numId w:val="28"/>
        </w:numPr>
        <w:spacing w:before="0" w:beforeAutospacing="0" w:after="60" w:afterAutospacing="0"/>
        <w:ind w:left="357" w:hanging="357"/>
      </w:pPr>
      <w:r w:rsidRPr="00992AB1">
        <w:t>summarising;</w:t>
      </w:r>
    </w:p>
    <w:p w:rsidR="00904F96" w:rsidRPr="005A06A5" w:rsidRDefault="00904F96" w:rsidP="00814823">
      <w:pPr>
        <w:pStyle w:val="ListParagraph"/>
        <w:numPr>
          <w:ilvl w:val="0"/>
          <w:numId w:val="28"/>
        </w:numPr>
        <w:spacing w:before="0" w:beforeAutospacing="0" w:after="60" w:afterAutospacing="0"/>
        <w:ind w:left="357" w:hanging="357"/>
      </w:pPr>
      <w:r w:rsidRPr="00992AB1">
        <w:t>modifying the content;</w:t>
      </w:r>
    </w:p>
    <w:p w:rsidR="00904F96" w:rsidRPr="005A06A5" w:rsidRDefault="00904F96" w:rsidP="00814823">
      <w:pPr>
        <w:pStyle w:val="ListParagraph"/>
        <w:numPr>
          <w:ilvl w:val="0"/>
          <w:numId w:val="28"/>
        </w:numPr>
        <w:spacing w:before="0" w:beforeAutospacing="0" w:after="60" w:afterAutospacing="0"/>
        <w:ind w:left="357" w:hanging="357"/>
      </w:pPr>
      <w:r w:rsidRPr="00992AB1">
        <w:t>making technical changes to the content (necessary correction of technical errors), adding new parts, providing third parties with additional information concerning the result with a view to making modifications;</w:t>
      </w:r>
    </w:p>
    <w:p w:rsidR="00904F96" w:rsidRPr="005A06A5" w:rsidRDefault="00904F96" w:rsidP="00814823">
      <w:pPr>
        <w:pStyle w:val="ListParagraph"/>
        <w:numPr>
          <w:ilvl w:val="0"/>
          <w:numId w:val="28"/>
        </w:numPr>
        <w:spacing w:before="0" w:beforeAutospacing="0" w:after="60" w:afterAutospacing="0"/>
        <w:ind w:left="357" w:hanging="357"/>
      </w:pPr>
      <w:r w:rsidRPr="00992AB1">
        <w:t>addition of new elements, paragraphs, titles, leads, bolds, legend, table of content, summary, graphics;</w:t>
      </w:r>
    </w:p>
    <w:p w:rsidR="00904F96" w:rsidRPr="005A06A5" w:rsidRDefault="00904F96" w:rsidP="00814823">
      <w:pPr>
        <w:pStyle w:val="ListParagraph"/>
        <w:numPr>
          <w:ilvl w:val="0"/>
          <w:numId w:val="28"/>
        </w:numPr>
        <w:spacing w:before="0" w:beforeAutospacing="0" w:after="60" w:afterAutospacing="0"/>
        <w:ind w:left="357" w:hanging="357"/>
      </w:pPr>
      <w:r w:rsidRPr="00992AB1">
        <w:t>addition of metadata, for text and data-mining purposes; addition of right-management information; addition of technological protection measures;</w:t>
      </w:r>
    </w:p>
    <w:p w:rsidR="00904F96" w:rsidRPr="005A06A5" w:rsidRDefault="00904F96" w:rsidP="00814823">
      <w:pPr>
        <w:pStyle w:val="ListParagraph"/>
        <w:numPr>
          <w:ilvl w:val="0"/>
          <w:numId w:val="28"/>
        </w:numPr>
        <w:spacing w:before="0" w:beforeAutospacing="0" w:after="60" w:afterAutospacing="0"/>
        <w:ind w:left="357" w:hanging="357"/>
      </w:pPr>
      <w:r w:rsidRPr="00992AB1">
        <w:t>preparation in audio form, preparation as a presentation, animation, pictograms story, slide-show, public presentation;</w:t>
      </w:r>
    </w:p>
    <w:p w:rsidR="00904F96" w:rsidRPr="005A06A5" w:rsidRDefault="00904F96" w:rsidP="00814823">
      <w:pPr>
        <w:pStyle w:val="ListParagraph"/>
        <w:numPr>
          <w:ilvl w:val="0"/>
          <w:numId w:val="28"/>
        </w:numPr>
        <w:spacing w:before="0" w:beforeAutospacing="0" w:after="60" w:afterAutospacing="0"/>
        <w:ind w:left="357" w:hanging="357"/>
      </w:pPr>
      <w:r w:rsidRPr="00992AB1">
        <w:t>extracting a part or dividing into parts;</w:t>
      </w:r>
    </w:p>
    <w:p w:rsidR="00904F96" w:rsidRPr="005A06A5" w:rsidRDefault="00904F96" w:rsidP="00814823">
      <w:pPr>
        <w:pStyle w:val="ListParagraph"/>
        <w:numPr>
          <w:ilvl w:val="0"/>
          <w:numId w:val="28"/>
        </w:numPr>
        <w:spacing w:before="0" w:beforeAutospacing="0" w:after="60" w:afterAutospacing="0"/>
        <w:ind w:left="357" w:hanging="357"/>
      </w:pPr>
      <w:r w:rsidRPr="00992AB1">
        <w:t>translating</w:t>
      </w:r>
      <w:r w:rsidRPr="005A06A5">
        <w:t xml:space="preserve"> </w:t>
      </w:r>
      <w:r w:rsidRPr="00992AB1">
        <w:t>in:</w:t>
      </w:r>
    </w:p>
    <w:p w:rsidR="00904F96" w:rsidRPr="005A06A5" w:rsidRDefault="00904F96" w:rsidP="00814823">
      <w:pPr>
        <w:pStyle w:val="ListParagraph"/>
        <w:numPr>
          <w:ilvl w:val="1"/>
          <w:numId w:val="28"/>
        </w:numPr>
      </w:pPr>
      <w:r w:rsidRPr="00992AB1">
        <w:t>English, French, German;</w:t>
      </w:r>
    </w:p>
    <w:p w:rsidR="00904F96" w:rsidRPr="005A06A5" w:rsidRDefault="00904F96" w:rsidP="00814823">
      <w:pPr>
        <w:pStyle w:val="ListParagraph"/>
        <w:numPr>
          <w:ilvl w:val="1"/>
          <w:numId w:val="28"/>
        </w:numPr>
      </w:pPr>
      <w:r w:rsidRPr="00992AB1">
        <w:t>all official languages of EU;</w:t>
      </w:r>
    </w:p>
    <w:p w:rsidR="00904F96" w:rsidRPr="00992AB1" w:rsidRDefault="00904F96" w:rsidP="00814823">
      <w:pPr>
        <w:pStyle w:val="ListParagraph"/>
        <w:numPr>
          <w:ilvl w:val="1"/>
          <w:numId w:val="28"/>
        </w:numPr>
      </w:pPr>
      <w:r w:rsidRPr="00992AB1">
        <w:t>languages of candidate countries;</w:t>
      </w:r>
    </w:p>
    <w:p w:rsidR="007158EC" w:rsidRDefault="00904F96" w:rsidP="00904F96">
      <w:r w:rsidRPr="00992AB1">
        <w:t>(f)</w:t>
      </w:r>
      <w:r w:rsidRPr="005A06A5">
        <w:t xml:space="preserve"> </w:t>
      </w:r>
      <w:r w:rsidRPr="00992AB1">
        <w:t>rights</w:t>
      </w:r>
      <w:r w:rsidRPr="005A06A5">
        <w:t xml:space="preserve"> </w:t>
      </w:r>
      <w:r w:rsidRPr="00992AB1">
        <w:t>to authorise, license, or sub-license in case of licensed pre-existing rights, the modes of exploitation set out in any of the points (a) to (e) to third parties.</w:t>
      </w:r>
    </w:p>
    <w:p w:rsidR="007158EC" w:rsidRDefault="00904F96" w:rsidP="00904F96">
      <w:r w:rsidRPr="00992AB1">
        <w:t>I.10.2 Licence or transfer of pre-existing rights</w:t>
      </w:r>
      <w:r w:rsidRPr="005A06A5">
        <w:t xml:space="preserve">. </w:t>
      </w:r>
    </w:p>
    <w:p w:rsidR="007158EC" w:rsidRDefault="00904F96" w:rsidP="00904F96">
      <w:r w:rsidRPr="00992AB1">
        <w:t>All pre-existing rights</w:t>
      </w:r>
      <w:r w:rsidRPr="005A06A5">
        <w:t xml:space="preserve"> </w:t>
      </w:r>
      <w:r w:rsidRPr="00992AB1">
        <w:t>incorporated in the results, if any, are licensed to the Union as set out in Article 13.2.</w:t>
      </w:r>
    </w:p>
    <w:p w:rsidR="007158EC" w:rsidRDefault="00904F96" w:rsidP="00904F96">
      <w:r w:rsidRPr="00992AB1">
        <w:t>I.10.3 Provision of list of pre-existing rights and documentary evidence</w:t>
      </w:r>
      <w:r w:rsidRPr="005A06A5">
        <w:t xml:space="preserve">. </w:t>
      </w:r>
    </w:p>
    <w:p w:rsidR="00904F96" w:rsidRPr="00992AB1" w:rsidRDefault="00904F96" w:rsidP="00904F96">
      <w:r w:rsidRPr="00992AB1">
        <w:t>The contractor must provide the contracting authority with a list of pre-existing rights</w:t>
      </w:r>
      <w:r w:rsidRPr="005A06A5">
        <w:t xml:space="preserve"> </w:t>
      </w:r>
      <w:r w:rsidRPr="00992AB1">
        <w:t>as set out in Article 13.4</w:t>
      </w:r>
      <w:r w:rsidR="007158EC">
        <w:t xml:space="preserve"> </w:t>
      </w:r>
      <w:r w:rsidRPr="00992AB1">
        <w:t>together with the invoice for payment of the balance at the latest. In addition, the contractor must provide the contracting authority with relevant and exhaustive evidence of the acquisition of all the necessary pre-existing rights</w:t>
      </w:r>
      <w:r w:rsidRPr="005A06A5">
        <w:t xml:space="preserve"> </w:t>
      </w:r>
      <w:r w:rsidRPr="00992AB1">
        <w:t>together with a presentation of relevant result. To this effect, the contractor must provide the relevant evidence listed in Article 13.5 as appropriate</w:t>
      </w:r>
      <w:r w:rsidRPr="005A06A5">
        <w:t xml:space="preserve"> </w:t>
      </w:r>
      <w:r w:rsidRPr="00992AB1">
        <w:t>or, failing that, third parties’ statements</w:t>
      </w:r>
      <w:r w:rsidR="007158EC">
        <w:t xml:space="preserve"> </w:t>
      </w:r>
      <w:r w:rsidR="007158EC" w:rsidRPr="007158EC">
        <w:t>in accordance with Annex</w:t>
      </w:r>
      <w:r w:rsidRPr="005A06A5">
        <w:t>.</w:t>
      </w:r>
    </w:p>
    <w:p w:rsidR="00904F96" w:rsidRPr="00992AB1" w:rsidRDefault="00904F96" w:rsidP="00904F96">
      <w:pPr>
        <w:spacing w:before="0" w:beforeAutospacing="0" w:after="0" w:afterAutospacing="0" w:line="276" w:lineRule="auto"/>
        <w:rPr>
          <w:rFonts w:eastAsia="Calibri"/>
          <w:lang w:eastAsia="de-DE"/>
        </w:rPr>
      </w:pPr>
      <w:r w:rsidRPr="00992AB1">
        <w:rPr>
          <w:rFonts w:eastAsia="Calibri"/>
          <w:lang w:eastAsia="de-DE"/>
        </w:rPr>
        <w:t>The contractor cannot disclose the results or any information acquired in the course of the performance of the tasks associated with this tender, other than those that are already of public domain.</w:t>
      </w:r>
    </w:p>
    <w:p w:rsidR="00265E1E" w:rsidRPr="00DB1B93" w:rsidRDefault="00265E1E" w:rsidP="00DB1B93">
      <w:pPr>
        <w:pStyle w:val="Heading2"/>
      </w:pPr>
      <w:r w:rsidRPr="00DB1B93">
        <w:t>Content</w:t>
      </w:r>
      <w:bookmarkEnd w:id="24"/>
    </w:p>
    <w:p w:rsidR="00E273FC" w:rsidRPr="00E273FC" w:rsidRDefault="00E273FC" w:rsidP="00841568">
      <w:pPr>
        <w:pStyle w:val="Heading3"/>
      </w:pPr>
      <w:r w:rsidRPr="00E273FC">
        <w:t>Final study report</w:t>
      </w:r>
    </w:p>
    <w:p w:rsidR="00042CCB" w:rsidRDefault="00777726" w:rsidP="00DE6958">
      <w:pPr>
        <w:suppressAutoHyphens/>
        <w:rPr>
          <w:spacing w:val="-3"/>
        </w:rPr>
      </w:pPr>
      <w:r>
        <w:rPr>
          <w:spacing w:val="-3"/>
        </w:rPr>
        <w:t xml:space="preserve">The </w:t>
      </w:r>
      <w:r w:rsidR="00795070">
        <w:rPr>
          <w:spacing w:val="-3"/>
        </w:rPr>
        <w:t xml:space="preserve">final </w:t>
      </w:r>
      <w:r>
        <w:rPr>
          <w:spacing w:val="-3"/>
        </w:rPr>
        <w:t>study</w:t>
      </w:r>
      <w:r w:rsidR="00795070">
        <w:rPr>
          <w:spacing w:val="-3"/>
        </w:rPr>
        <w:t xml:space="preserve"> report</w:t>
      </w:r>
      <w:r>
        <w:rPr>
          <w:spacing w:val="-3"/>
        </w:rPr>
        <w:t xml:space="preserve"> </w:t>
      </w:r>
      <w:r w:rsidR="00926132">
        <w:rPr>
          <w:spacing w:val="-3"/>
        </w:rPr>
        <w:t xml:space="preserve">must </w:t>
      </w:r>
      <w:r w:rsidR="00D1323F">
        <w:rPr>
          <w:spacing w:val="-3"/>
        </w:rPr>
        <w:t>include</w:t>
      </w:r>
      <w:r>
        <w:rPr>
          <w:spacing w:val="-3"/>
        </w:rPr>
        <w:t>:</w:t>
      </w:r>
    </w:p>
    <w:p w:rsidR="00777726" w:rsidRDefault="00FF1AC7" w:rsidP="00814823">
      <w:pPr>
        <w:numPr>
          <w:ilvl w:val="0"/>
          <w:numId w:val="20"/>
        </w:numPr>
        <w:suppressAutoHyphens/>
        <w:rPr>
          <w:spacing w:val="-3"/>
        </w:rPr>
      </w:pPr>
      <w:r>
        <w:rPr>
          <w:spacing w:val="-3"/>
        </w:rPr>
        <w:t>an</w:t>
      </w:r>
      <w:r w:rsidR="00777726">
        <w:rPr>
          <w:spacing w:val="-3"/>
        </w:rPr>
        <w:t xml:space="preserve"> abstract of no more than 200 words </w:t>
      </w:r>
      <w:r w:rsidR="00795070" w:rsidRPr="00795070">
        <w:rPr>
          <w:spacing w:val="-3"/>
        </w:rPr>
        <w:t>an</w:t>
      </w:r>
      <w:r w:rsidR="00F6473E">
        <w:rPr>
          <w:spacing w:val="-3"/>
        </w:rPr>
        <w:t>d</w:t>
      </w:r>
      <w:r w:rsidR="00795070" w:rsidRPr="00795070">
        <w:rPr>
          <w:spacing w:val="-3"/>
        </w:rPr>
        <w:t xml:space="preserve"> </w:t>
      </w:r>
      <w:r w:rsidR="006605F1">
        <w:rPr>
          <w:spacing w:val="-3"/>
        </w:rPr>
        <w:t xml:space="preserve">an </w:t>
      </w:r>
      <w:r w:rsidR="00795070" w:rsidRPr="00795070">
        <w:rPr>
          <w:spacing w:val="-3"/>
        </w:rPr>
        <w:t>execu</w:t>
      </w:r>
      <w:r w:rsidR="00795070">
        <w:rPr>
          <w:spacing w:val="-3"/>
        </w:rPr>
        <w:t xml:space="preserve">tive summary of maximum 6 pages, both </w:t>
      </w:r>
      <w:r w:rsidR="00795070" w:rsidRPr="00795070">
        <w:rPr>
          <w:spacing w:val="-3"/>
        </w:rPr>
        <w:t>in English and French</w:t>
      </w:r>
      <w:r w:rsidR="00777726">
        <w:rPr>
          <w:spacing w:val="-3"/>
        </w:rPr>
        <w:t>;</w:t>
      </w:r>
    </w:p>
    <w:p w:rsidR="00191402" w:rsidRDefault="00191402" w:rsidP="00814823">
      <w:pPr>
        <w:pStyle w:val="FootnoteText"/>
        <w:numPr>
          <w:ilvl w:val="0"/>
          <w:numId w:val="20"/>
        </w:numPr>
        <w:rPr>
          <w:sz w:val="24"/>
        </w:rPr>
      </w:pPr>
      <w:r>
        <w:rPr>
          <w:sz w:val="24"/>
        </w:rPr>
        <w:t xml:space="preserve">specific identifiers which </w:t>
      </w:r>
      <w:r w:rsidRPr="00494814">
        <w:rPr>
          <w:spacing w:val="-3"/>
          <w:sz w:val="24"/>
        </w:rPr>
        <w:t>must</w:t>
      </w:r>
      <w:r w:rsidRPr="00494814">
        <w:rPr>
          <w:sz w:val="32"/>
        </w:rPr>
        <w:t xml:space="preserve"> </w:t>
      </w:r>
      <w:r>
        <w:rPr>
          <w:sz w:val="24"/>
        </w:rPr>
        <w:t>be incorporated on the cover page provided by the Contracting Authority</w:t>
      </w:r>
      <w:r w:rsidR="00E966AB">
        <w:rPr>
          <w:sz w:val="24"/>
        </w:rPr>
        <w:t>;</w:t>
      </w:r>
      <w:r>
        <w:rPr>
          <w:sz w:val="24"/>
        </w:rPr>
        <w:t xml:space="preserve"> </w:t>
      </w:r>
    </w:p>
    <w:p w:rsidR="00D1323F" w:rsidRDefault="00FF1AC7" w:rsidP="00814823">
      <w:pPr>
        <w:numPr>
          <w:ilvl w:val="0"/>
          <w:numId w:val="20"/>
        </w:numPr>
        <w:suppressAutoHyphens/>
        <w:rPr>
          <w:spacing w:val="-3"/>
        </w:rPr>
      </w:pPr>
      <w:r>
        <w:rPr>
          <w:spacing w:val="-3"/>
        </w:rPr>
        <w:t xml:space="preserve">the </w:t>
      </w:r>
      <w:r w:rsidR="00D1323F">
        <w:rPr>
          <w:spacing w:val="-3"/>
        </w:rPr>
        <w:t>following disclaimer:</w:t>
      </w:r>
    </w:p>
    <w:p w:rsidR="00111623" w:rsidRDefault="00111623" w:rsidP="00E273FC">
      <w:pPr>
        <w:suppressAutoHyphens/>
        <w:ind w:left="720"/>
        <w:rPr>
          <w:i/>
          <w:spacing w:val="-3"/>
        </w:rPr>
      </w:pPr>
      <w:r w:rsidRPr="00111623">
        <w:rPr>
          <w:i/>
          <w:spacing w:val="-3"/>
        </w:rPr>
        <w:t xml:space="preserve">“The information and views set out in this [report/study/article/publication…] are those of the author(s) and do not necessarily reflect the official opinion of the Commission. The Commission does not guarantee the accuracy of the data included in this study. Neither the Commission nor any person acting on the Commission’s behalf may be held responsible for the use which may be made of the information contained therein.” </w:t>
      </w:r>
    </w:p>
    <w:p w:rsidR="00E273FC" w:rsidRPr="00E273FC" w:rsidRDefault="00E273FC" w:rsidP="00C17B63">
      <w:pPr>
        <w:pStyle w:val="Heading3"/>
      </w:pPr>
      <w:r w:rsidRPr="00E273FC">
        <w:t>Publishable executive summary</w:t>
      </w:r>
    </w:p>
    <w:p w:rsidR="00E273FC" w:rsidRPr="00E273FC" w:rsidRDefault="00E273FC" w:rsidP="00E273FC">
      <w:pPr>
        <w:suppressAutoHyphens/>
        <w:rPr>
          <w:spacing w:val="-3"/>
        </w:rPr>
      </w:pPr>
      <w:r w:rsidRPr="00E273FC">
        <w:rPr>
          <w:spacing w:val="-3"/>
        </w:rPr>
        <w:t xml:space="preserve">The </w:t>
      </w:r>
      <w:r>
        <w:rPr>
          <w:spacing w:val="-3"/>
        </w:rPr>
        <w:t xml:space="preserve">publishable executive summary </w:t>
      </w:r>
      <w:r w:rsidR="00926132">
        <w:rPr>
          <w:spacing w:val="-3"/>
        </w:rPr>
        <w:t>must</w:t>
      </w:r>
      <w:r>
        <w:rPr>
          <w:spacing w:val="-3"/>
        </w:rPr>
        <w:t xml:space="preserve"> be provided in</w:t>
      </w:r>
      <w:r w:rsidRPr="00E273FC">
        <w:rPr>
          <w:spacing w:val="-3"/>
        </w:rPr>
        <w:t xml:space="preserve"> both in English and French </w:t>
      </w:r>
      <w:r>
        <w:rPr>
          <w:spacing w:val="-3"/>
        </w:rPr>
        <w:t xml:space="preserve">and </w:t>
      </w:r>
      <w:r w:rsidR="00926132">
        <w:rPr>
          <w:spacing w:val="-3"/>
        </w:rPr>
        <w:t>must</w:t>
      </w:r>
      <w:r w:rsidRPr="00E273FC">
        <w:rPr>
          <w:spacing w:val="-3"/>
        </w:rPr>
        <w:t xml:space="preserve"> include:</w:t>
      </w:r>
    </w:p>
    <w:p w:rsidR="00191402" w:rsidRPr="00E273FC" w:rsidRDefault="00191402" w:rsidP="00814823">
      <w:pPr>
        <w:numPr>
          <w:ilvl w:val="0"/>
          <w:numId w:val="20"/>
        </w:numPr>
      </w:pPr>
      <w:r w:rsidRPr="00E273FC">
        <w:t xml:space="preserve">specific identifiers which </w:t>
      </w:r>
      <w:r>
        <w:rPr>
          <w:spacing w:val="-3"/>
        </w:rPr>
        <w:t>must</w:t>
      </w:r>
      <w:r w:rsidRPr="00E273FC">
        <w:t xml:space="preserve"> be incorporated on the cover page provided by the Contracting Authority</w:t>
      </w:r>
      <w:r w:rsidR="00E966AB">
        <w:t>;</w:t>
      </w:r>
      <w:r w:rsidRPr="00E273FC">
        <w:t xml:space="preserve"> </w:t>
      </w:r>
    </w:p>
    <w:p w:rsidR="00E273FC" w:rsidRPr="00E273FC" w:rsidRDefault="00E273FC" w:rsidP="00814823">
      <w:pPr>
        <w:numPr>
          <w:ilvl w:val="0"/>
          <w:numId w:val="20"/>
        </w:numPr>
        <w:suppressAutoHyphens/>
        <w:rPr>
          <w:spacing w:val="-3"/>
        </w:rPr>
      </w:pPr>
      <w:r w:rsidRPr="00E273FC">
        <w:rPr>
          <w:spacing w:val="-3"/>
        </w:rPr>
        <w:t>the following disclaimer:</w:t>
      </w:r>
    </w:p>
    <w:p w:rsidR="00E273FC" w:rsidRDefault="00E273FC" w:rsidP="00FD3A09">
      <w:pPr>
        <w:suppressAutoHyphens/>
        <w:ind w:left="720"/>
        <w:rPr>
          <w:i/>
          <w:spacing w:val="-3"/>
        </w:rPr>
      </w:pPr>
      <w:r w:rsidRPr="00E273FC">
        <w:rPr>
          <w:i/>
          <w:spacing w:val="-3"/>
        </w:rPr>
        <w:t xml:space="preserve">“The information and views set out in this [report/study/article/publication…] are those of the author(s) and do not necessarily reflect the official opinion of the Commission. The Commission does not guarantee the accuracy of the data included in this study. Neither the Commission nor any person acting on the Commission’s behalf may be held responsible for the use which may be made of the information contained therein.” </w:t>
      </w:r>
    </w:p>
    <w:p w:rsidR="00E966AB" w:rsidRPr="00841568" w:rsidRDefault="00E966AB" w:rsidP="00841568">
      <w:pPr>
        <w:pStyle w:val="Heading3"/>
      </w:pPr>
      <w:r w:rsidRPr="00841568">
        <w:t>Requirements for publication on Internet</w:t>
      </w:r>
    </w:p>
    <w:p w:rsidR="00E966AB" w:rsidRPr="00841568" w:rsidRDefault="00E966AB" w:rsidP="00841568">
      <w:pPr>
        <w:pStyle w:val="FootnoteText"/>
        <w:ind w:left="0" w:firstLine="0"/>
        <w:rPr>
          <w:sz w:val="24"/>
          <w:lang w:eastAsia="en-US"/>
        </w:rPr>
      </w:pPr>
      <w:r w:rsidRPr="00841568">
        <w:rPr>
          <w:sz w:val="24"/>
          <w:lang w:eastAsia="en-US"/>
        </w:rPr>
        <w:t xml:space="preserve">The Commission is committed to making online information as accessible as possible to the largest possible number of users including those with visual, auditory, cognitive or physical disabilities, and those not having the latest technologies. The Commission supports the </w:t>
      </w:r>
      <w:hyperlink r:id="rId28" w:history="1">
        <w:r w:rsidRPr="00841568">
          <w:rPr>
            <w:sz w:val="24"/>
            <w:lang w:eastAsia="en-US"/>
          </w:rPr>
          <w:t>Web Content Accessibility Guidelines 2.0</w:t>
        </w:r>
      </w:hyperlink>
      <w:r w:rsidRPr="00841568">
        <w:rPr>
          <w:sz w:val="24"/>
          <w:lang w:eastAsia="en-US"/>
        </w:rPr>
        <w:t xml:space="preserve"> of the W3C. </w:t>
      </w:r>
    </w:p>
    <w:p w:rsidR="00E966AB" w:rsidRPr="00841568" w:rsidRDefault="00E966AB" w:rsidP="00841568">
      <w:pPr>
        <w:pStyle w:val="FootnoteText"/>
        <w:ind w:left="0" w:firstLine="0"/>
        <w:rPr>
          <w:sz w:val="24"/>
          <w:lang w:eastAsia="en-US"/>
        </w:rPr>
      </w:pPr>
      <w:r w:rsidRPr="00841568">
        <w:rPr>
          <w:sz w:val="24"/>
          <w:lang w:eastAsia="en-US"/>
        </w:rPr>
        <w:t xml:space="preserve">For full details on </w:t>
      </w:r>
      <w:r>
        <w:rPr>
          <w:sz w:val="24"/>
        </w:rPr>
        <w:t xml:space="preserve">the </w:t>
      </w:r>
      <w:r w:rsidRPr="00841568">
        <w:rPr>
          <w:sz w:val="24"/>
          <w:lang w:eastAsia="en-US"/>
        </w:rPr>
        <w:t xml:space="preserve">Commission policy on accessibility for information providers, see: </w:t>
      </w:r>
      <w:hyperlink r:id="rId29" w:history="1">
        <w:r w:rsidRPr="00841568">
          <w:rPr>
            <w:sz w:val="24"/>
            <w:lang w:eastAsia="en-US"/>
          </w:rPr>
          <w:t>http://ec.europa.eu/ipg/standards/accessibility/index_en.htm</w:t>
        </w:r>
      </w:hyperlink>
      <w:r w:rsidRPr="00841568">
        <w:rPr>
          <w:sz w:val="24"/>
          <w:lang w:eastAsia="en-US"/>
        </w:rPr>
        <w:t xml:space="preserve"> </w:t>
      </w:r>
    </w:p>
    <w:p w:rsidR="00E966AB" w:rsidRPr="00841568" w:rsidRDefault="00E966AB" w:rsidP="00841568">
      <w:pPr>
        <w:pStyle w:val="FootnoteText"/>
        <w:ind w:left="0" w:firstLine="0"/>
        <w:rPr>
          <w:spacing w:val="-3"/>
          <w:lang w:val="en"/>
        </w:rPr>
      </w:pPr>
      <w:r>
        <w:rPr>
          <w:sz w:val="24"/>
        </w:rPr>
        <w:t>For the publishable versions o</w:t>
      </w:r>
      <w:r w:rsidR="00970BE3">
        <w:rPr>
          <w:sz w:val="24"/>
        </w:rPr>
        <w:t>f the study, abstract and executive summary,</w:t>
      </w:r>
      <w:r>
        <w:rPr>
          <w:sz w:val="24"/>
        </w:rPr>
        <w:t xml:space="preserve"> </w:t>
      </w:r>
      <w:r w:rsidR="00970BE3">
        <w:rPr>
          <w:sz w:val="24"/>
        </w:rPr>
        <w:t>t</w:t>
      </w:r>
      <w:r>
        <w:rPr>
          <w:sz w:val="24"/>
        </w:rPr>
        <w:t xml:space="preserve">he contractor must respect the </w:t>
      </w:r>
      <w:r w:rsidRPr="00705B27">
        <w:rPr>
          <w:sz w:val="24"/>
        </w:rPr>
        <w:t>W3C guidelines for accessible pdf documents</w:t>
      </w:r>
      <w:r w:rsidRPr="00841568">
        <w:rPr>
          <w:sz w:val="24"/>
        </w:rPr>
        <w:t xml:space="preserve"> </w:t>
      </w:r>
      <w:r w:rsidR="00970BE3">
        <w:rPr>
          <w:sz w:val="24"/>
        </w:rPr>
        <w:t>as provided at</w:t>
      </w:r>
      <w:r w:rsidRPr="00841568">
        <w:rPr>
          <w:sz w:val="24"/>
          <w:lang w:eastAsia="en-US"/>
        </w:rPr>
        <w:t xml:space="preserve">: </w:t>
      </w:r>
      <w:hyperlink r:id="rId30" w:history="1">
        <w:r w:rsidRPr="00362846">
          <w:rPr>
            <w:rStyle w:val="Hyperlink"/>
            <w:sz w:val="24"/>
          </w:rPr>
          <w:t>http://www.w3.org/WAI/</w:t>
        </w:r>
        <w:r w:rsidR="00362846" w:rsidRPr="00362846">
          <w:rPr>
            <w:rStyle w:val="Hyperlink"/>
            <w:sz w:val="24"/>
          </w:rPr>
          <w:t xml:space="preserve"> </w:t>
        </w:r>
      </w:hyperlink>
      <w:r w:rsidR="00970BE3">
        <w:rPr>
          <w:sz w:val="24"/>
        </w:rPr>
        <w:t xml:space="preserve">. </w:t>
      </w:r>
    </w:p>
    <w:p w:rsidR="00265E1E" w:rsidRDefault="00265E1E" w:rsidP="00DB1B93">
      <w:pPr>
        <w:pStyle w:val="Heading2"/>
      </w:pPr>
      <w:bookmarkStart w:id="25" w:name="_Toc440617344"/>
      <w:r>
        <w:t>Structure</w:t>
      </w:r>
      <w:bookmarkEnd w:id="25"/>
    </w:p>
    <w:p w:rsidR="00D81898" w:rsidRPr="00D81898" w:rsidRDefault="00D81898" w:rsidP="00042CCB">
      <w:pPr>
        <w:pStyle w:val="FootnoteText"/>
        <w:ind w:left="0" w:firstLine="0"/>
        <w:rPr>
          <w:sz w:val="24"/>
        </w:rPr>
      </w:pPr>
      <w:r w:rsidRPr="00D81898">
        <w:rPr>
          <w:sz w:val="24"/>
        </w:rPr>
        <w:t>The structure should well reflect the requested services described under section 2.</w:t>
      </w:r>
    </w:p>
    <w:p w:rsidR="00635241" w:rsidRPr="00265E1E" w:rsidRDefault="00265E1E" w:rsidP="00DB1B93">
      <w:pPr>
        <w:pStyle w:val="Heading2"/>
      </w:pPr>
      <w:bookmarkStart w:id="26" w:name="_Toc440617345"/>
      <w:r>
        <w:t>Graphic requirements</w:t>
      </w:r>
      <w:bookmarkEnd w:id="26"/>
    </w:p>
    <w:p w:rsidR="00433B85" w:rsidRDefault="00433B85" w:rsidP="00433B85">
      <w:pPr>
        <w:pStyle w:val="FootnoteText"/>
        <w:ind w:left="0" w:firstLine="0"/>
        <w:rPr>
          <w:sz w:val="24"/>
        </w:rPr>
      </w:pPr>
      <w:r>
        <w:rPr>
          <w:sz w:val="24"/>
        </w:rPr>
        <w:t xml:space="preserve">The contractor must deliver the study </w:t>
      </w:r>
      <w:r w:rsidR="009D7CF3">
        <w:rPr>
          <w:sz w:val="24"/>
        </w:rPr>
        <w:t xml:space="preserve">and all publishable deliverables </w:t>
      </w:r>
      <w:r>
        <w:rPr>
          <w:sz w:val="24"/>
        </w:rPr>
        <w:t xml:space="preserve">in full compliance with </w:t>
      </w:r>
      <w:r w:rsidRPr="00042CCB">
        <w:rPr>
          <w:sz w:val="24"/>
        </w:rPr>
        <w:t>the corporate visual identity of the European Commission</w:t>
      </w:r>
      <w:r w:rsidR="009D7CF3">
        <w:rPr>
          <w:sz w:val="24"/>
        </w:rPr>
        <w:t>,</w:t>
      </w:r>
      <w:r w:rsidRPr="00042CCB">
        <w:rPr>
          <w:sz w:val="24"/>
        </w:rPr>
        <w:t xml:space="preserve"> by applying the graphic rules set out in the European Commission's Visual Identity Manual, including its logo. </w:t>
      </w:r>
      <w:r w:rsidR="009720A2">
        <w:rPr>
          <w:sz w:val="24"/>
        </w:rPr>
        <w:t>The graphic rules</w:t>
      </w:r>
      <w:r w:rsidR="0068305C">
        <w:rPr>
          <w:sz w:val="24"/>
        </w:rPr>
        <w:t>,</w:t>
      </w:r>
      <w:r w:rsidR="009720A2">
        <w:rPr>
          <w:sz w:val="24"/>
        </w:rPr>
        <w:t xml:space="preserve"> </w:t>
      </w:r>
      <w:r w:rsidR="0068305C">
        <w:rPr>
          <w:sz w:val="24"/>
        </w:rPr>
        <w:t xml:space="preserve">the Manual and further information </w:t>
      </w:r>
      <w:r w:rsidR="009720A2">
        <w:rPr>
          <w:sz w:val="24"/>
        </w:rPr>
        <w:t xml:space="preserve">are available at: </w:t>
      </w:r>
    </w:p>
    <w:p w:rsidR="009720A2" w:rsidRDefault="00D15D0D" w:rsidP="00433B85">
      <w:pPr>
        <w:pStyle w:val="FootnoteText"/>
        <w:ind w:left="0" w:firstLine="0"/>
        <w:rPr>
          <w:rStyle w:val="Hyperlink"/>
          <w:sz w:val="24"/>
        </w:rPr>
      </w:pPr>
      <w:hyperlink r:id="rId31" w:history="1">
        <w:r w:rsidR="009720A2" w:rsidRPr="00841568">
          <w:rPr>
            <w:rStyle w:val="Hyperlink"/>
            <w:sz w:val="24"/>
          </w:rPr>
          <w:t>http://ec.europa.eu/dgs/communication/services/visual_identity/index_en.htm</w:t>
        </w:r>
      </w:hyperlink>
    </w:p>
    <w:p w:rsidR="00A16CD4" w:rsidRDefault="00D15D0D" w:rsidP="00433B85">
      <w:pPr>
        <w:pStyle w:val="FootnoteText"/>
        <w:ind w:left="0" w:firstLine="0"/>
        <w:rPr>
          <w:sz w:val="24"/>
        </w:rPr>
      </w:pPr>
      <w:hyperlink r:id="rId32" w:history="1">
        <w:r w:rsidR="00A16CD4" w:rsidRPr="00954907">
          <w:rPr>
            <w:rStyle w:val="Hyperlink"/>
            <w:sz w:val="24"/>
          </w:rPr>
          <w:t>https://ec.europa.eu/info/resources-partners/european-commission-visual-identity_en</w:t>
        </w:r>
      </w:hyperlink>
      <w:r w:rsidR="00A16CD4">
        <w:rPr>
          <w:sz w:val="24"/>
        </w:rPr>
        <w:t xml:space="preserve"> </w:t>
      </w:r>
    </w:p>
    <w:p w:rsidR="0030439E" w:rsidRDefault="0030439E" w:rsidP="00A54979">
      <w:pPr>
        <w:spacing w:before="0" w:beforeAutospacing="0" w:after="0" w:afterAutospacing="0"/>
        <w:rPr>
          <w:rFonts w:eastAsia="Calibri"/>
          <w:i/>
          <w:color w:val="0070C0"/>
          <w:sz w:val="22"/>
          <w:szCs w:val="22"/>
          <w:lang w:eastAsia="fr-BE"/>
        </w:rPr>
      </w:pPr>
    </w:p>
    <w:p w:rsidR="0030439E" w:rsidRDefault="0030439E" w:rsidP="0030439E">
      <w:pPr>
        <w:rPr>
          <w:color w:val="0070C0"/>
          <w:spacing w:val="-3"/>
        </w:rPr>
      </w:pPr>
      <w:r w:rsidRPr="00DC54BA">
        <w:t>A simple W</w:t>
      </w:r>
      <w:r>
        <w:t>ord</w:t>
      </w:r>
      <w:r w:rsidRPr="00DC54BA">
        <w:t xml:space="preserve"> template will be provided to the </w:t>
      </w:r>
      <w:r>
        <w:t>contractor after contract signature</w:t>
      </w:r>
      <w:r w:rsidRPr="00DC54BA">
        <w:t>.</w:t>
      </w:r>
      <w:r w:rsidRPr="00DC54BA">
        <w:rPr>
          <w:i/>
          <w:spacing w:val="-3"/>
        </w:rPr>
        <w:t xml:space="preserve"> </w:t>
      </w:r>
      <w:r w:rsidRPr="00DC54BA">
        <w:rPr>
          <w:spacing w:val="-3"/>
        </w:rPr>
        <w:t xml:space="preserve">The contractor </w:t>
      </w:r>
      <w:r>
        <w:rPr>
          <w:spacing w:val="-3"/>
        </w:rPr>
        <w:t>must</w:t>
      </w:r>
      <w:r w:rsidRPr="00DC54BA">
        <w:rPr>
          <w:spacing w:val="-3"/>
        </w:rPr>
        <w:t xml:space="preserve"> </w:t>
      </w:r>
      <w:r>
        <w:rPr>
          <w:spacing w:val="-3"/>
        </w:rPr>
        <w:t>fill</w:t>
      </w:r>
      <w:r w:rsidRPr="00DC54BA">
        <w:rPr>
          <w:spacing w:val="-3"/>
        </w:rPr>
        <w:t xml:space="preserve"> in the cover page in accordance with the instructions provided in the template.</w:t>
      </w:r>
      <w:r w:rsidRPr="00DC54BA">
        <w:rPr>
          <w:color w:val="0070C0"/>
          <w:spacing w:val="-3"/>
        </w:rPr>
        <w:t xml:space="preserve"> </w:t>
      </w:r>
      <w:r w:rsidR="00BA16CE" w:rsidRPr="00DC54BA">
        <w:t xml:space="preserve">The use of templates for studies is exclusive to European Commission's contractors. No template </w:t>
      </w:r>
      <w:r w:rsidR="00BA16CE">
        <w:t>will be</w:t>
      </w:r>
      <w:r w:rsidR="00BA16CE" w:rsidRPr="00DC54BA">
        <w:t xml:space="preserve"> </w:t>
      </w:r>
      <w:r w:rsidR="00BA16CE">
        <w:t>provided</w:t>
      </w:r>
      <w:r w:rsidR="00BA16CE" w:rsidRPr="00DC54BA">
        <w:t xml:space="preserve"> to tenderers while preparing their </w:t>
      </w:r>
      <w:r w:rsidR="00BA16CE">
        <w:t>tenders</w:t>
      </w:r>
      <w:r w:rsidR="00BA16CE" w:rsidRPr="00DC54BA">
        <w:t>.</w:t>
      </w:r>
    </w:p>
    <w:p w:rsidR="00A13E52" w:rsidRPr="008E58A6" w:rsidRDefault="00A13E52" w:rsidP="008E58A6">
      <w:pPr>
        <w:pStyle w:val="Heading1"/>
      </w:pPr>
      <w:bookmarkStart w:id="27" w:name="_Toc440617346"/>
      <w:r w:rsidRPr="002B50BB">
        <w:t>Evaluation and award</w:t>
      </w:r>
      <w:bookmarkEnd w:id="27"/>
    </w:p>
    <w:p w:rsidR="00A13E52" w:rsidRDefault="00A13E52" w:rsidP="00A13E52">
      <w:pPr>
        <w:numPr>
          <w:ilvl w:val="12"/>
          <w:numId w:val="0"/>
        </w:numPr>
        <w:tabs>
          <w:tab w:val="left" w:pos="-142"/>
        </w:tabs>
        <w:spacing w:after="120"/>
      </w:pPr>
      <w:r w:rsidRPr="00EA03BA">
        <w:t xml:space="preserve">The </w:t>
      </w:r>
      <w:r>
        <w:t>evaluation is</w:t>
      </w:r>
      <w:r w:rsidRPr="00EA03BA">
        <w:t xml:space="preserve"> based</w:t>
      </w:r>
      <w:r w:rsidR="003A2BDE">
        <w:t xml:space="preserve"> solely</w:t>
      </w:r>
      <w:r w:rsidRPr="00EA03BA">
        <w:t xml:space="preserve"> on the information provided in the</w:t>
      </w:r>
      <w:r>
        <w:t xml:space="preserve"> submitted</w:t>
      </w:r>
      <w:r w:rsidRPr="00EA03BA">
        <w:t xml:space="preserve"> tender.</w:t>
      </w:r>
      <w:r>
        <w:t xml:space="preserve"> It </w:t>
      </w:r>
      <w:r w:rsidR="003A2BDE">
        <w:t xml:space="preserve">involves the following: </w:t>
      </w:r>
    </w:p>
    <w:p w:rsidR="00A13E52" w:rsidRPr="00841568" w:rsidRDefault="00A13E52" w:rsidP="00814823">
      <w:pPr>
        <w:numPr>
          <w:ilvl w:val="0"/>
          <w:numId w:val="23"/>
        </w:numPr>
        <w:tabs>
          <w:tab w:val="left" w:pos="-142"/>
        </w:tabs>
        <w:spacing w:after="120"/>
      </w:pPr>
      <w:r w:rsidRPr="00841568">
        <w:t>Verification of non-exclusion of tenderers on the basis of the exclusion criteria</w:t>
      </w:r>
    </w:p>
    <w:p w:rsidR="00A13E52" w:rsidRDefault="00A13E52" w:rsidP="00814823">
      <w:pPr>
        <w:numPr>
          <w:ilvl w:val="0"/>
          <w:numId w:val="23"/>
        </w:numPr>
        <w:tabs>
          <w:tab w:val="left" w:pos="-142"/>
        </w:tabs>
        <w:spacing w:after="120"/>
      </w:pPr>
      <w:r w:rsidRPr="00841568">
        <w:t>Selection of tenderers on the basis of selection criteria</w:t>
      </w:r>
    </w:p>
    <w:p w:rsidR="00000D63" w:rsidRPr="00DF2946" w:rsidRDefault="00000D63" w:rsidP="00814823">
      <w:pPr>
        <w:numPr>
          <w:ilvl w:val="0"/>
          <w:numId w:val="23"/>
        </w:numPr>
        <w:tabs>
          <w:tab w:val="left" w:pos="-142"/>
        </w:tabs>
        <w:spacing w:after="120"/>
      </w:pPr>
      <w:r>
        <w:t>Verification of compliance with the minimum requirements set out in these tender specifications</w:t>
      </w:r>
    </w:p>
    <w:p w:rsidR="00A13E52" w:rsidRDefault="00A13E52" w:rsidP="00814823">
      <w:pPr>
        <w:numPr>
          <w:ilvl w:val="0"/>
          <w:numId w:val="23"/>
        </w:numPr>
        <w:tabs>
          <w:tab w:val="left" w:pos="-142"/>
        </w:tabs>
        <w:spacing w:after="120"/>
      </w:pPr>
      <w:r w:rsidRPr="00841568">
        <w:t>Evaluation of tenders on the</w:t>
      </w:r>
      <w:r w:rsidR="00000D63">
        <w:t xml:space="preserve"> basis of the award criteria</w:t>
      </w:r>
    </w:p>
    <w:p w:rsidR="00882D4A" w:rsidRPr="00923064" w:rsidRDefault="00882D4A" w:rsidP="00882D4A">
      <w:pPr>
        <w:tabs>
          <w:tab w:val="left" w:pos="-142"/>
        </w:tabs>
        <w:spacing w:after="120"/>
      </w:pPr>
      <w:r>
        <w:t>The contracting authority may</w:t>
      </w:r>
      <w:r w:rsidR="008969C0">
        <w:t xml:space="preserve"> reject abnormally low tenders, in particular if it established that the tenderer or a subcontractor does not comply with applicable obligations in the fields of environmental, social and labour law. </w:t>
      </w:r>
    </w:p>
    <w:p w:rsidR="00923064" w:rsidRPr="00EA03BA" w:rsidRDefault="00923064" w:rsidP="00A13E52">
      <w:pPr>
        <w:numPr>
          <w:ilvl w:val="12"/>
          <w:numId w:val="0"/>
        </w:numPr>
        <w:tabs>
          <w:tab w:val="left" w:pos="-142"/>
        </w:tabs>
        <w:spacing w:after="120"/>
      </w:pPr>
      <w:r>
        <w:t>The Contracting Authority will assess the</w:t>
      </w:r>
      <w:r w:rsidR="00E44DD2">
        <w:t>se</w:t>
      </w:r>
      <w:r>
        <w:t xml:space="preserve"> criteria in no particular order. </w:t>
      </w:r>
      <w:r w:rsidR="002B50BB">
        <w:t xml:space="preserve">The successful tenderer must pass all criteria to be awarded the contract. </w:t>
      </w:r>
    </w:p>
    <w:p w:rsidR="00A13E52" w:rsidRPr="00DB1B93" w:rsidRDefault="008E58A6" w:rsidP="00DB1B93">
      <w:pPr>
        <w:pStyle w:val="Heading2"/>
      </w:pPr>
      <w:bookmarkStart w:id="28" w:name="_Toc440617347"/>
      <w:r>
        <w:t>Verification of non-e</w:t>
      </w:r>
      <w:r w:rsidR="00A13E52" w:rsidRPr="00DB1B93">
        <w:t>xclusion</w:t>
      </w:r>
      <w:bookmarkEnd w:id="28"/>
    </w:p>
    <w:p w:rsidR="00A13E52" w:rsidRDefault="00A13E52" w:rsidP="00A13E52">
      <w:pPr>
        <w:pStyle w:val="Text1"/>
        <w:rPr>
          <w:b w:val="0"/>
        </w:rPr>
      </w:pPr>
      <w:r>
        <w:rPr>
          <w:b w:val="0"/>
        </w:rPr>
        <w:t>All t</w:t>
      </w:r>
      <w:r w:rsidRPr="004A7117">
        <w:rPr>
          <w:b w:val="0"/>
        </w:rPr>
        <w:t xml:space="preserve">enderers </w:t>
      </w:r>
      <w:r w:rsidR="00926132" w:rsidRPr="00841568">
        <w:rPr>
          <w:b w:val="0"/>
          <w:spacing w:val="-3"/>
        </w:rPr>
        <w:t>must</w:t>
      </w:r>
      <w:r w:rsidRPr="004A7117">
        <w:rPr>
          <w:b w:val="0"/>
        </w:rPr>
        <w:t xml:space="preserve"> provide a declaration on honour</w:t>
      </w:r>
      <w:r>
        <w:rPr>
          <w:b w:val="0"/>
        </w:rPr>
        <w:t xml:space="preserve"> (see Annex</w:t>
      </w:r>
      <w:r w:rsidR="006356D5">
        <w:rPr>
          <w:b w:val="0"/>
        </w:rPr>
        <w:t xml:space="preserve"> documentation</w:t>
      </w:r>
      <w:r>
        <w:rPr>
          <w:b w:val="0"/>
        </w:rPr>
        <w:t xml:space="preserve"> </w:t>
      </w:r>
      <w:r w:rsidR="006356D5">
        <w:rPr>
          <w:b w:val="0"/>
        </w:rPr>
        <w:t>available online</w:t>
      </w:r>
      <w:r w:rsidR="00814823">
        <w:rPr>
          <w:b w:val="0"/>
        </w:rPr>
        <w:t xml:space="preserve"> and below</w:t>
      </w:r>
      <w:r>
        <w:rPr>
          <w:b w:val="0"/>
        </w:rPr>
        <w:t>)</w:t>
      </w:r>
      <w:r w:rsidRPr="004A7117">
        <w:rPr>
          <w:b w:val="0"/>
        </w:rPr>
        <w:t>, signed and dated</w:t>
      </w:r>
      <w:r>
        <w:rPr>
          <w:b w:val="0"/>
        </w:rPr>
        <w:t xml:space="preserve"> by an authorised representative</w:t>
      </w:r>
      <w:r w:rsidRPr="004A7117">
        <w:rPr>
          <w:b w:val="0"/>
        </w:rPr>
        <w:t xml:space="preserve">, stating that they are not in one of the situations </w:t>
      </w:r>
      <w:r>
        <w:rPr>
          <w:b w:val="0"/>
        </w:rPr>
        <w:t xml:space="preserve">of exclusion listed in </w:t>
      </w:r>
      <w:r w:rsidR="008E58A6">
        <w:rPr>
          <w:b w:val="0"/>
        </w:rPr>
        <w:t xml:space="preserve">that </w:t>
      </w:r>
      <w:r w:rsidR="00F35A31">
        <w:rPr>
          <w:b w:val="0"/>
        </w:rPr>
        <w:t>declaration on honour</w:t>
      </w:r>
      <w:r>
        <w:rPr>
          <w:b w:val="0"/>
        </w:rPr>
        <w:t>.</w:t>
      </w:r>
      <w:r w:rsidRPr="004A7117">
        <w:rPr>
          <w:b w:val="0"/>
        </w:rPr>
        <w:t xml:space="preserve"> </w:t>
      </w:r>
    </w:p>
    <w:p w:rsidR="00A13E52" w:rsidRPr="00841568" w:rsidRDefault="00F70D2C" w:rsidP="00841568">
      <w:pPr>
        <w:numPr>
          <w:ilvl w:val="12"/>
          <w:numId w:val="0"/>
        </w:numPr>
        <w:tabs>
          <w:tab w:val="left" w:pos="-142"/>
        </w:tabs>
        <w:spacing w:after="120"/>
        <w:rPr>
          <w:iCs/>
        </w:rPr>
      </w:pPr>
      <w:r w:rsidRPr="00841568">
        <w:t xml:space="preserve">In case of joint tender, each member of the group must provide a declaration on honour signed by an authorised representative. </w:t>
      </w:r>
    </w:p>
    <w:p w:rsidR="00F70D2C" w:rsidRPr="00F14326" w:rsidRDefault="00F70D2C" w:rsidP="00A13E52">
      <w:pPr>
        <w:pStyle w:val="Text1"/>
        <w:rPr>
          <w:b w:val="0"/>
        </w:rPr>
      </w:pPr>
      <w:r w:rsidRPr="00D81898">
        <w:rPr>
          <w:b w:val="0"/>
          <w:iCs/>
        </w:rPr>
        <w:t xml:space="preserve">In case of subcontracting, </w:t>
      </w:r>
      <w:r w:rsidRPr="00D81898">
        <w:rPr>
          <w:b w:val="0"/>
        </w:rPr>
        <w:t xml:space="preserve">subcontractors whose share of the contract is above </w:t>
      </w:r>
      <w:r w:rsidR="00292BD3" w:rsidRPr="00D81898">
        <w:rPr>
          <w:b w:val="0"/>
        </w:rPr>
        <w:t>50</w:t>
      </w:r>
      <w:r w:rsidR="00841568" w:rsidRPr="00D81898">
        <w:rPr>
          <w:b w:val="0"/>
        </w:rPr>
        <w:t> </w:t>
      </w:r>
      <w:r w:rsidRPr="00D81898">
        <w:rPr>
          <w:b w:val="0"/>
        </w:rPr>
        <w:t>% whose capacity is necessary to fulfil the selection criteria must provide a declaration on honour signed by an authorised representative.</w:t>
      </w:r>
    </w:p>
    <w:p w:rsidR="00A13E52" w:rsidRPr="00841568" w:rsidRDefault="00A13E52" w:rsidP="00841568">
      <w:pPr>
        <w:pStyle w:val="Text1"/>
        <w:rPr>
          <w:b w:val="0"/>
        </w:rPr>
      </w:pPr>
      <w:r w:rsidRPr="00841568">
        <w:rPr>
          <w:b w:val="0"/>
        </w:rPr>
        <w:t xml:space="preserve">The Contracting Authority reserves the right to verify </w:t>
      </w:r>
      <w:r w:rsidR="00D06ABC" w:rsidRPr="00841568">
        <w:rPr>
          <w:b w:val="0"/>
        </w:rPr>
        <w:t xml:space="preserve">whether the </w:t>
      </w:r>
      <w:r w:rsidR="009F43A3" w:rsidRPr="00841568">
        <w:rPr>
          <w:b w:val="0"/>
        </w:rPr>
        <w:t xml:space="preserve">successful </w:t>
      </w:r>
      <w:r w:rsidR="00D06ABC" w:rsidRPr="00841568">
        <w:rPr>
          <w:b w:val="0"/>
        </w:rPr>
        <w:t xml:space="preserve">tenderer is in one of the situations </w:t>
      </w:r>
      <w:r w:rsidR="009F43A3" w:rsidRPr="00841568">
        <w:rPr>
          <w:b w:val="0"/>
        </w:rPr>
        <w:t xml:space="preserve">of </w:t>
      </w:r>
      <w:r w:rsidR="00D06ABC" w:rsidRPr="00841568">
        <w:rPr>
          <w:b w:val="0"/>
        </w:rPr>
        <w:t xml:space="preserve">exclusion </w:t>
      </w:r>
      <w:r w:rsidRPr="00841568">
        <w:rPr>
          <w:b w:val="0"/>
        </w:rPr>
        <w:t xml:space="preserve">by requiring the supporting documents listed in </w:t>
      </w:r>
      <w:r w:rsidR="009F43A3" w:rsidRPr="00841568">
        <w:rPr>
          <w:b w:val="0"/>
        </w:rPr>
        <w:t>the declaration of honour</w:t>
      </w:r>
      <w:r w:rsidRPr="00841568">
        <w:rPr>
          <w:b w:val="0"/>
        </w:rPr>
        <w:t xml:space="preserve">. </w:t>
      </w:r>
    </w:p>
    <w:p w:rsidR="00A3760F" w:rsidRDefault="00A3760F" w:rsidP="00A13E52">
      <w:pPr>
        <w:spacing w:after="240"/>
      </w:pPr>
      <w:r>
        <w:t>Th</w:t>
      </w:r>
      <w:r w:rsidR="00DB6A71">
        <w:t>e</w:t>
      </w:r>
      <w:r>
        <w:t xml:space="preserve"> obligation </w:t>
      </w:r>
      <w:r w:rsidR="00DB6A71">
        <w:t xml:space="preserve">to submit supporting evidence </w:t>
      </w:r>
      <w:r>
        <w:t xml:space="preserve">does not apply to international organisations. </w:t>
      </w:r>
    </w:p>
    <w:p w:rsidR="006E17D5" w:rsidRDefault="00A3760F" w:rsidP="00841568">
      <w:r>
        <w:t xml:space="preserve">A </w:t>
      </w:r>
      <w:r w:rsidR="006E17D5" w:rsidRPr="006E17D5">
        <w:t xml:space="preserve">tenderer </w:t>
      </w:r>
      <w:r>
        <w:t xml:space="preserve">(or a member </w:t>
      </w:r>
      <w:r w:rsidR="00311C59">
        <w:t xml:space="preserve">of the group </w:t>
      </w:r>
      <w:r>
        <w:t>in case of joint tender, or a subcontractor) is</w:t>
      </w:r>
      <w:r w:rsidR="004C37AF">
        <w:t xml:space="preserve"> not required </w:t>
      </w:r>
      <w:r w:rsidR="006E17D5" w:rsidRPr="006E17D5">
        <w:t xml:space="preserve">to submit the documentary evidence if it has already been submitted for another procurement procedure and provided the documents were issued not more than one year </w:t>
      </w:r>
      <w:r w:rsidR="004C37AF">
        <w:t xml:space="preserve">before </w:t>
      </w:r>
      <w:r w:rsidR="006E17D5" w:rsidRPr="006E17D5">
        <w:t>the date of their request by the contracting authority</w:t>
      </w:r>
      <w:r w:rsidR="004C37AF">
        <w:t xml:space="preserve"> </w:t>
      </w:r>
      <w:r w:rsidR="004C37AF" w:rsidRPr="006E17D5">
        <w:t>and are still valid at</w:t>
      </w:r>
      <w:r w:rsidR="004C37AF">
        <w:t xml:space="preserve"> that date</w:t>
      </w:r>
      <w:r w:rsidR="006E17D5" w:rsidRPr="006E17D5">
        <w:t>. In such cases, the tenderer must declare on its honour that the documentary evidence has already been provided in a previous procurement procedure</w:t>
      </w:r>
      <w:r w:rsidR="00111A3C">
        <w:t>, indicate the reference</w:t>
      </w:r>
      <w:r w:rsidR="006E17D5" w:rsidRPr="006E17D5">
        <w:t xml:space="preserve"> </w:t>
      </w:r>
      <w:r w:rsidR="00111A3C">
        <w:t xml:space="preserve">of the procedure </w:t>
      </w:r>
      <w:r w:rsidR="006E17D5" w:rsidRPr="006E17D5">
        <w:t xml:space="preserve">and confirm that that there has been no change in </w:t>
      </w:r>
      <w:r>
        <w:t>its</w:t>
      </w:r>
      <w:r w:rsidR="006E17D5" w:rsidRPr="006E17D5">
        <w:t xml:space="preserve"> situation. </w:t>
      </w:r>
    </w:p>
    <w:p w:rsidR="00A452B7" w:rsidRDefault="00DB6A71" w:rsidP="00841568">
      <w:r>
        <w:t xml:space="preserve">A </w:t>
      </w:r>
      <w:r w:rsidRPr="006E17D5">
        <w:t xml:space="preserve">tenderer </w:t>
      </w:r>
      <w:r>
        <w:t xml:space="preserve">(or a member </w:t>
      </w:r>
      <w:r w:rsidR="00311C59">
        <w:t xml:space="preserve">of the group </w:t>
      </w:r>
      <w:r>
        <w:t xml:space="preserve">in case of joint tender, or a subcontractor) is not required </w:t>
      </w:r>
      <w:r w:rsidRPr="006E17D5">
        <w:t xml:space="preserve">to submit </w:t>
      </w:r>
      <w:r>
        <w:t>a specific document</w:t>
      </w:r>
      <w:r w:rsidRPr="006E17D5">
        <w:t xml:space="preserve"> if</w:t>
      </w:r>
      <w:r>
        <w:t xml:space="preserve"> the </w:t>
      </w:r>
      <w:r w:rsidRPr="009B2CC4">
        <w:rPr>
          <w:szCs w:val="22"/>
        </w:rPr>
        <w:t>contracting authority</w:t>
      </w:r>
      <w:r>
        <w:rPr>
          <w:szCs w:val="22"/>
        </w:rPr>
        <w:t xml:space="preserve"> </w:t>
      </w:r>
      <w:r w:rsidRPr="009B2CC4">
        <w:rPr>
          <w:szCs w:val="22"/>
        </w:rPr>
        <w:t xml:space="preserve">can access </w:t>
      </w:r>
      <w:r>
        <w:rPr>
          <w:szCs w:val="22"/>
        </w:rPr>
        <w:t>the document in question</w:t>
      </w:r>
      <w:r w:rsidRPr="009B2CC4">
        <w:rPr>
          <w:szCs w:val="22"/>
        </w:rPr>
        <w:t xml:space="preserve"> on a national database free of charge</w:t>
      </w:r>
      <w:r>
        <w:rPr>
          <w:szCs w:val="22"/>
        </w:rPr>
        <w:t xml:space="preserve">. </w:t>
      </w:r>
    </w:p>
    <w:p w:rsidR="00A13E52" w:rsidRPr="00DB1B93" w:rsidRDefault="00A13E52" w:rsidP="00DB1B93">
      <w:pPr>
        <w:pStyle w:val="Heading2"/>
      </w:pPr>
      <w:bookmarkStart w:id="29" w:name="_Toc440617348"/>
      <w:r w:rsidRPr="00DB1B93">
        <w:t>Selection criteria</w:t>
      </w:r>
      <w:bookmarkEnd w:id="29"/>
    </w:p>
    <w:p w:rsidR="000D58EC" w:rsidRDefault="000D58EC" w:rsidP="000D58EC">
      <w:pPr>
        <w:spacing w:after="240"/>
      </w:pPr>
      <w:r>
        <w:t xml:space="preserve">Tenderers must prove their legal, regulatory, economic, financial, technical and professional capacity to carry out the work subject to this procurement procedure. </w:t>
      </w:r>
    </w:p>
    <w:p w:rsidR="000D58EC" w:rsidRPr="006C2845" w:rsidRDefault="000D58EC" w:rsidP="000D58EC">
      <w:pPr>
        <w:spacing w:after="240"/>
      </w:pPr>
      <w:r>
        <w:t>The tenderer</w:t>
      </w:r>
      <w:r w:rsidRPr="006C2845">
        <w:t xml:space="preserve"> may rely on the capacities of other entities, regar</w:t>
      </w:r>
      <w:r>
        <w:t>d</w:t>
      </w:r>
      <w:r w:rsidRPr="006C2845">
        <w:t>less of the le</w:t>
      </w:r>
      <w:r>
        <w:t>gal nature of the links which it</w:t>
      </w:r>
      <w:r w:rsidRPr="006C2845">
        <w:t xml:space="preserve"> has with them. </w:t>
      </w:r>
      <w:r>
        <w:t>It must in that case prove to the Contracting Authority that it will have at its disposal the resources necessary for performance of the contract, for example by producing an undertaking on the part of those entities to place those resources at its disposal.</w:t>
      </w:r>
    </w:p>
    <w:p w:rsidR="003A43B3" w:rsidRDefault="00C97B09" w:rsidP="00841568">
      <w:pPr>
        <w:pStyle w:val="Text1"/>
        <w:rPr>
          <w:b w:val="0"/>
        </w:rPr>
      </w:pPr>
      <w:r w:rsidRPr="00841568">
        <w:rPr>
          <w:b w:val="0"/>
        </w:rPr>
        <w:t>T</w:t>
      </w:r>
      <w:r w:rsidR="00821A77" w:rsidRPr="00841568">
        <w:rPr>
          <w:b w:val="0"/>
        </w:rPr>
        <w:t xml:space="preserve">he </w:t>
      </w:r>
      <w:r w:rsidRPr="00841568">
        <w:rPr>
          <w:b w:val="0"/>
        </w:rPr>
        <w:t>tender</w:t>
      </w:r>
      <w:r w:rsidR="00821A77" w:rsidRPr="00841568">
        <w:rPr>
          <w:b w:val="0"/>
        </w:rPr>
        <w:t xml:space="preserve"> must </w:t>
      </w:r>
      <w:r w:rsidRPr="00841568">
        <w:rPr>
          <w:b w:val="0"/>
        </w:rPr>
        <w:t xml:space="preserve">include </w:t>
      </w:r>
      <w:r w:rsidR="00821A77" w:rsidRPr="00841568">
        <w:rPr>
          <w:b w:val="0"/>
        </w:rPr>
        <w:t>the proportion of the contract that the tenderer</w:t>
      </w:r>
      <w:r w:rsidRPr="00841568">
        <w:rPr>
          <w:b w:val="0"/>
        </w:rPr>
        <w:t xml:space="preserve"> intends</w:t>
      </w:r>
      <w:r w:rsidR="00821A77" w:rsidRPr="00841568">
        <w:rPr>
          <w:b w:val="0"/>
        </w:rPr>
        <w:t xml:space="preserve"> to </w:t>
      </w:r>
      <w:r w:rsidRPr="00841568">
        <w:rPr>
          <w:b w:val="0"/>
        </w:rPr>
        <w:t>subcontract</w:t>
      </w:r>
      <w:r w:rsidR="00821A77" w:rsidRPr="00841568">
        <w:rPr>
          <w:b w:val="0"/>
        </w:rPr>
        <w:t>.</w:t>
      </w:r>
    </w:p>
    <w:p w:rsidR="00F73A15" w:rsidRPr="00841568" w:rsidRDefault="00F73A15" w:rsidP="00814823">
      <w:pPr>
        <w:pStyle w:val="Heading3"/>
        <w:numPr>
          <w:ilvl w:val="2"/>
          <w:numId w:val="22"/>
        </w:numPr>
      </w:pPr>
      <w:r w:rsidRPr="00BA5864">
        <w:t>Declaration and evidence</w:t>
      </w:r>
    </w:p>
    <w:p w:rsidR="00145027" w:rsidRDefault="00B05BD0" w:rsidP="005A75FF">
      <w:pPr>
        <w:pStyle w:val="Text1"/>
        <w:rPr>
          <w:b w:val="0"/>
        </w:rPr>
      </w:pPr>
      <w:r>
        <w:rPr>
          <w:b w:val="0"/>
        </w:rPr>
        <w:t>The</w:t>
      </w:r>
      <w:r w:rsidR="005A75FF">
        <w:rPr>
          <w:b w:val="0"/>
        </w:rPr>
        <w:t xml:space="preserve"> t</w:t>
      </w:r>
      <w:r w:rsidR="005A75FF" w:rsidRPr="004A7117">
        <w:rPr>
          <w:b w:val="0"/>
        </w:rPr>
        <w:t xml:space="preserve">enderers </w:t>
      </w:r>
      <w:r>
        <w:rPr>
          <w:b w:val="0"/>
        </w:rPr>
        <w:t xml:space="preserve">(and each member of the group in case of joint tender) </w:t>
      </w:r>
      <w:r w:rsidR="00145027">
        <w:rPr>
          <w:b w:val="0"/>
        </w:rPr>
        <w:t xml:space="preserve">and </w:t>
      </w:r>
      <w:r w:rsidR="00145027" w:rsidRPr="00841568">
        <w:rPr>
          <w:b w:val="0"/>
        </w:rPr>
        <w:t>subcontractors whose capacity is necessary to fulfil the selection criteria</w:t>
      </w:r>
      <w:r w:rsidR="00145027" w:rsidRPr="00841568">
        <w:rPr>
          <w:b w:val="0"/>
          <w:spacing w:val="-3"/>
        </w:rPr>
        <w:t xml:space="preserve"> </w:t>
      </w:r>
      <w:r w:rsidR="00926132" w:rsidRPr="00841568">
        <w:rPr>
          <w:b w:val="0"/>
          <w:spacing w:val="-3"/>
        </w:rPr>
        <w:t>must</w:t>
      </w:r>
      <w:r w:rsidR="005A75FF" w:rsidRPr="004A7117">
        <w:rPr>
          <w:b w:val="0"/>
        </w:rPr>
        <w:t xml:space="preserve"> provide </w:t>
      </w:r>
      <w:r>
        <w:rPr>
          <w:b w:val="0"/>
        </w:rPr>
        <w:t>the</w:t>
      </w:r>
      <w:r w:rsidR="005A75FF" w:rsidRPr="004A7117">
        <w:rPr>
          <w:b w:val="0"/>
        </w:rPr>
        <w:t xml:space="preserve"> declaration on </w:t>
      </w:r>
      <w:r w:rsidR="005A75FF" w:rsidRPr="00FF703B">
        <w:rPr>
          <w:b w:val="0"/>
        </w:rPr>
        <w:t xml:space="preserve">honour (see Annex </w:t>
      </w:r>
      <w:r w:rsidR="006356D5">
        <w:rPr>
          <w:b w:val="0"/>
        </w:rPr>
        <w:t>documentation available online</w:t>
      </w:r>
      <w:r w:rsidR="00814823">
        <w:rPr>
          <w:b w:val="0"/>
        </w:rPr>
        <w:t xml:space="preserve"> and below</w:t>
      </w:r>
      <w:r w:rsidR="005A75FF" w:rsidRPr="00FF703B">
        <w:rPr>
          <w:b w:val="0"/>
        </w:rPr>
        <w:t>),</w:t>
      </w:r>
      <w:r w:rsidR="005A75FF" w:rsidRPr="004A7117">
        <w:rPr>
          <w:b w:val="0"/>
        </w:rPr>
        <w:t xml:space="preserve"> signed and dated</w:t>
      </w:r>
      <w:r w:rsidR="005A75FF">
        <w:rPr>
          <w:b w:val="0"/>
        </w:rPr>
        <w:t xml:space="preserve"> by an authorised representative</w:t>
      </w:r>
      <w:r w:rsidR="005A75FF" w:rsidRPr="004A7117">
        <w:rPr>
          <w:b w:val="0"/>
        </w:rPr>
        <w:t xml:space="preserve">, stating that they </w:t>
      </w:r>
      <w:r w:rsidR="005A75FF">
        <w:rPr>
          <w:b w:val="0"/>
        </w:rPr>
        <w:t>fulfil the selection criteria</w:t>
      </w:r>
      <w:r w:rsidR="00F139B5">
        <w:rPr>
          <w:b w:val="0"/>
        </w:rPr>
        <w:t xml:space="preserve"> applicable to them</w:t>
      </w:r>
      <w:r w:rsidR="00D37CA9" w:rsidRPr="00D37CA9">
        <w:rPr>
          <w:b w:val="0"/>
        </w:rPr>
        <w:t xml:space="preserve"> </w:t>
      </w:r>
      <w:r w:rsidR="00D37CA9">
        <w:rPr>
          <w:b w:val="0"/>
        </w:rPr>
        <w:t>individually</w:t>
      </w:r>
      <w:r w:rsidR="005A75FF">
        <w:rPr>
          <w:b w:val="0"/>
        </w:rPr>
        <w:t>.</w:t>
      </w:r>
      <w:r w:rsidR="005A75FF" w:rsidRPr="004A7117">
        <w:rPr>
          <w:b w:val="0"/>
        </w:rPr>
        <w:t xml:space="preserve"> </w:t>
      </w:r>
      <w:r w:rsidR="00D37CA9">
        <w:rPr>
          <w:b w:val="0"/>
        </w:rPr>
        <w:t xml:space="preserve">For </w:t>
      </w:r>
      <w:r w:rsidR="00F139B5">
        <w:rPr>
          <w:b w:val="0"/>
        </w:rPr>
        <w:t xml:space="preserve">the criteria applicable </w:t>
      </w:r>
      <w:r w:rsidR="00145027">
        <w:rPr>
          <w:b w:val="0"/>
        </w:rPr>
        <w:t xml:space="preserve">to the tenderer as a whole </w:t>
      </w:r>
      <w:r w:rsidR="00FA57BE">
        <w:rPr>
          <w:b w:val="0"/>
        </w:rPr>
        <w:t xml:space="preserve">the tenderer (sole tenderer or leader in case of joint tender) must provide the declaration on honour stating that the tenderer, including all members of the group in case of joint tender and including subcontractors if applicable, fulfils the selection criteria </w:t>
      </w:r>
      <w:r w:rsidR="00145027">
        <w:rPr>
          <w:b w:val="0"/>
        </w:rPr>
        <w:t xml:space="preserve">for </w:t>
      </w:r>
      <w:r w:rsidR="00FA57BE">
        <w:rPr>
          <w:b w:val="0"/>
        </w:rPr>
        <w:t xml:space="preserve">which </w:t>
      </w:r>
      <w:r w:rsidR="00145027">
        <w:rPr>
          <w:b w:val="0"/>
        </w:rPr>
        <w:t>a consolidated assessment</w:t>
      </w:r>
      <w:r w:rsidR="00FA57BE">
        <w:rPr>
          <w:b w:val="0"/>
        </w:rPr>
        <w:t xml:space="preserve"> will be carried out</w:t>
      </w:r>
      <w:r w:rsidR="00145027">
        <w:rPr>
          <w:b w:val="0"/>
        </w:rPr>
        <w:t xml:space="preserve">. </w:t>
      </w:r>
    </w:p>
    <w:p w:rsidR="005A75FF" w:rsidRDefault="00B05BD0" w:rsidP="005A75FF">
      <w:pPr>
        <w:pStyle w:val="Text1"/>
        <w:rPr>
          <w:b w:val="0"/>
        </w:rPr>
      </w:pPr>
      <w:r>
        <w:rPr>
          <w:b w:val="0"/>
        </w:rPr>
        <w:t xml:space="preserve">This </w:t>
      </w:r>
      <w:r w:rsidR="00145027">
        <w:rPr>
          <w:b w:val="0"/>
        </w:rPr>
        <w:t xml:space="preserve">declaration </w:t>
      </w:r>
      <w:r>
        <w:rPr>
          <w:b w:val="0"/>
        </w:rPr>
        <w:t xml:space="preserve">is part of the declaration used for exclusion criteria (see section 4.1) so only one declaration covering both aspects should be provided by each concerned entity. </w:t>
      </w:r>
    </w:p>
    <w:p w:rsidR="005A75FF" w:rsidRDefault="00BB7020" w:rsidP="005A75FF">
      <w:pPr>
        <w:spacing w:after="240"/>
      </w:pPr>
      <w:r>
        <w:t>T</w:t>
      </w:r>
      <w:r w:rsidR="005A75FF">
        <w:t xml:space="preserve">he Contracting Authority </w:t>
      </w:r>
      <w:r>
        <w:t xml:space="preserve">will evaluate selection criteria on the basis of the declarations on honour. Nevertheless, it </w:t>
      </w:r>
      <w:r w:rsidR="00415509">
        <w:t xml:space="preserve">reserves the right to require evidence </w:t>
      </w:r>
      <w:r w:rsidR="003742A1" w:rsidRPr="003742A1">
        <w:t>of the legal and regulatory, financial and economic and technical and professional capacity</w:t>
      </w:r>
      <w:r w:rsidR="00415509">
        <w:t xml:space="preserve"> of the tenderer</w:t>
      </w:r>
      <w:r w:rsidR="008E421B">
        <w:t>s</w:t>
      </w:r>
      <w:r w:rsidR="00415509">
        <w:t xml:space="preserve"> at any time during the procurement procedure and contract performance</w:t>
      </w:r>
      <w:r w:rsidR="003742A1" w:rsidRPr="003742A1">
        <w:t xml:space="preserve">. In such case the </w:t>
      </w:r>
      <w:r w:rsidR="00415509">
        <w:t>tenderer must provide the requested evidence without delay</w:t>
      </w:r>
      <w:r w:rsidR="003742A1" w:rsidRPr="003742A1">
        <w:t xml:space="preserve">. </w:t>
      </w:r>
      <w:r w:rsidR="00DA41A6">
        <w:t xml:space="preserve">The Contracting Authority may reject the tender if the requested evidence is not provided in due time. </w:t>
      </w:r>
    </w:p>
    <w:p w:rsidR="0057778B" w:rsidRDefault="0057778B" w:rsidP="0057778B">
      <w:r>
        <w:t xml:space="preserve">A </w:t>
      </w:r>
      <w:r w:rsidRPr="006E17D5">
        <w:t xml:space="preserve">tenderer </w:t>
      </w:r>
      <w:r>
        <w:t>(or a member</w:t>
      </w:r>
      <w:r w:rsidR="00311C59" w:rsidRPr="00311C59">
        <w:t xml:space="preserve"> </w:t>
      </w:r>
      <w:r w:rsidR="00311C59">
        <w:t>of the group</w:t>
      </w:r>
      <w:r>
        <w:t xml:space="preserve"> in case of joint tender, or a subcontractor) is not required </w:t>
      </w:r>
      <w:r w:rsidRPr="006E17D5">
        <w:t xml:space="preserve">to submit the documentary evidence if it has already been submitted for another procurement procedure and provided the documents were issued not more than one year </w:t>
      </w:r>
      <w:r>
        <w:t xml:space="preserve">before </w:t>
      </w:r>
      <w:r w:rsidRPr="006E17D5">
        <w:t>the date of their request by the contracting authority</w:t>
      </w:r>
      <w:r>
        <w:t xml:space="preserve"> </w:t>
      </w:r>
      <w:r w:rsidRPr="006E17D5">
        <w:t>and are still valid at</w:t>
      </w:r>
      <w:r>
        <w:t xml:space="preserve"> that date</w:t>
      </w:r>
      <w:r w:rsidRPr="006E17D5">
        <w:t>. In such cases, the tenderer must declare on its honour that the documentary evidence has already been provided in a previous procurement procedure</w:t>
      </w:r>
      <w:r w:rsidR="00204064">
        <w:t>, indicate the reference</w:t>
      </w:r>
      <w:r w:rsidR="00204064" w:rsidRPr="006E17D5">
        <w:t xml:space="preserve"> </w:t>
      </w:r>
      <w:r w:rsidR="00204064">
        <w:t>of the procedure</w:t>
      </w:r>
      <w:r w:rsidRPr="006E17D5">
        <w:t xml:space="preserve"> and confirm that that there has been no change in </w:t>
      </w:r>
      <w:r>
        <w:t>its</w:t>
      </w:r>
      <w:r w:rsidRPr="006E17D5">
        <w:t xml:space="preserve"> situation. </w:t>
      </w:r>
    </w:p>
    <w:p w:rsidR="0057778B" w:rsidRDefault="0057778B" w:rsidP="0057778B">
      <w:r>
        <w:t xml:space="preserve">A </w:t>
      </w:r>
      <w:r w:rsidRPr="006E17D5">
        <w:t xml:space="preserve">tenderer </w:t>
      </w:r>
      <w:r>
        <w:t xml:space="preserve">(or a member </w:t>
      </w:r>
      <w:r w:rsidR="00311C59">
        <w:t xml:space="preserve">of the group </w:t>
      </w:r>
      <w:r>
        <w:t xml:space="preserve">in case of joint tender, or a subcontractor) is not required </w:t>
      </w:r>
      <w:r w:rsidRPr="006E17D5">
        <w:t xml:space="preserve">to submit </w:t>
      </w:r>
      <w:r>
        <w:t>a specific document</w:t>
      </w:r>
      <w:r w:rsidRPr="006E17D5">
        <w:t xml:space="preserve"> if</w:t>
      </w:r>
      <w:r>
        <w:t xml:space="preserve"> the </w:t>
      </w:r>
      <w:r w:rsidRPr="009B2CC4">
        <w:rPr>
          <w:szCs w:val="22"/>
        </w:rPr>
        <w:t>contracting authority</w:t>
      </w:r>
      <w:r>
        <w:rPr>
          <w:szCs w:val="22"/>
        </w:rPr>
        <w:t xml:space="preserve"> </w:t>
      </w:r>
      <w:r w:rsidRPr="009B2CC4">
        <w:rPr>
          <w:szCs w:val="22"/>
        </w:rPr>
        <w:t xml:space="preserve">can access </w:t>
      </w:r>
      <w:r>
        <w:rPr>
          <w:szCs w:val="22"/>
        </w:rPr>
        <w:t>the document in question</w:t>
      </w:r>
      <w:r w:rsidRPr="009B2CC4">
        <w:rPr>
          <w:szCs w:val="22"/>
        </w:rPr>
        <w:t xml:space="preserve"> on a national database free of charge</w:t>
      </w:r>
      <w:r>
        <w:rPr>
          <w:szCs w:val="22"/>
        </w:rPr>
        <w:t xml:space="preserve">. </w:t>
      </w:r>
    </w:p>
    <w:p w:rsidR="00F77DAE" w:rsidRPr="00841568" w:rsidRDefault="00FC1F49" w:rsidP="00814823">
      <w:pPr>
        <w:pStyle w:val="Heading3"/>
        <w:numPr>
          <w:ilvl w:val="2"/>
          <w:numId w:val="22"/>
        </w:numPr>
      </w:pPr>
      <w:r w:rsidRPr="00841568">
        <w:t>Legal and regulatory capacity</w:t>
      </w:r>
    </w:p>
    <w:p w:rsidR="00F77DAE" w:rsidRDefault="00F77DAE" w:rsidP="00F77DAE">
      <w:pPr>
        <w:pStyle w:val="Text1"/>
        <w:rPr>
          <w:b w:val="0"/>
        </w:rPr>
      </w:pPr>
      <w:r>
        <w:rPr>
          <w:b w:val="0"/>
        </w:rPr>
        <w:t>Tenderers must</w:t>
      </w:r>
      <w:r w:rsidR="004279F7">
        <w:rPr>
          <w:b w:val="0"/>
        </w:rPr>
        <w:t xml:space="preserve"> prove that they are </w:t>
      </w:r>
      <w:r w:rsidR="00701D80">
        <w:rPr>
          <w:b w:val="0"/>
        </w:rPr>
        <w:t xml:space="preserve">allowed to pursue the professional activity necessary to carry out the work subject to this call for tenders. The tenderer (including each member of the group in case of joint tender) must </w:t>
      </w:r>
      <w:r>
        <w:rPr>
          <w:b w:val="0"/>
        </w:rPr>
        <w:t xml:space="preserve">provide </w:t>
      </w:r>
      <w:r w:rsidRPr="003A40A2">
        <w:rPr>
          <w:b w:val="0"/>
        </w:rPr>
        <w:t xml:space="preserve">the following information </w:t>
      </w:r>
      <w:r w:rsidR="00352B82">
        <w:rPr>
          <w:b w:val="0"/>
        </w:rPr>
        <w:t xml:space="preserve">in its tender </w:t>
      </w:r>
      <w:r>
        <w:rPr>
          <w:b w:val="0"/>
        </w:rPr>
        <w:t xml:space="preserve">if it has not been </w:t>
      </w:r>
      <w:r w:rsidR="00C97B09">
        <w:rPr>
          <w:b w:val="0"/>
        </w:rPr>
        <w:t>provided</w:t>
      </w:r>
      <w:r>
        <w:rPr>
          <w:b w:val="0"/>
        </w:rPr>
        <w:t xml:space="preserve"> with the Legal Entity Form</w:t>
      </w:r>
      <w:r w:rsidRPr="003A40A2">
        <w:rPr>
          <w:b w:val="0"/>
        </w:rPr>
        <w:t xml:space="preserve">: </w:t>
      </w:r>
    </w:p>
    <w:p w:rsidR="00F77DAE" w:rsidRDefault="00F77DAE" w:rsidP="00F77DAE">
      <w:pPr>
        <w:numPr>
          <w:ilvl w:val="12"/>
          <w:numId w:val="0"/>
        </w:numPr>
        <w:tabs>
          <w:tab w:val="left" w:pos="-142"/>
        </w:tabs>
        <w:spacing w:after="120"/>
      </w:pPr>
      <w:r>
        <w:t xml:space="preserve">- </w:t>
      </w:r>
      <w:r w:rsidRPr="003A40A2">
        <w:t>For legal persons</w:t>
      </w:r>
      <w:r>
        <w:t xml:space="preserve">, </w:t>
      </w:r>
      <w:r w:rsidRPr="00EA03BA">
        <w:t xml:space="preserve">a legible copy of the notice of </w:t>
      </w:r>
      <w:r w:rsidRPr="003A40A2">
        <w:t xml:space="preserve">appointment of the </w:t>
      </w:r>
      <w:r w:rsidRPr="00841568">
        <w:t>persons authorised to represent the tenderer</w:t>
      </w:r>
      <w:r w:rsidRPr="00EA03BA">
        <w:t xml:space="preserve"> in dealings with third parties and in legal proceedings, or a copy of the publication of such appointment if the legislation appli</w:t>
      </w:r>
      <w:r w:rsidR="001730E5">
        <w:t>cable</w:t>
      </w:r>
      <w:r w:rsidRPr="00EA03BA">
        <w:t xml:space="preserve"> to the legal </w:t>
      </w:r>
      <w:r w:rsidR="001730E5">
        <w:t>person</w:t>
      </w:r>
      <w:r w:rsidRPr="00EA03BA">
        <w:t xml:space="preserve"> requires such publication. Any delegation of this authorisation to another representative not indicated in the official appointment must be evidenced.</w:t>
      </w:r>
    </w:p>
    <w:p w:rsidR="00F77DAE" w:rsidRPr="00841568" w:rsidRDefault="00F77DAE" w:rsidP="00841568">
      <w:pPr>
        <w:numPr>
          <w:ilvl w:val="12"/>
          <w:numId w:val="0"/>
        </w:numPr>
        <w:tabs>
          <w:tab w:val="left" w:pos="-142"/>
        </w:tabs>
        <w:spacing w:after="120"/>
      </w:pPr>
      <w:r>
        <w:t xml:space="preserve">- </w:t>
      </w:r>
      <w:r w:rsidRPr="003A40A2">
        <w:t>For natural persons</w:t>
      </w:r>
      <w:r>
        <w:t xml:space="preserve">, </w:t>
      </w:r>
      <w:r w:rsidR="003A0BE7">
        <w:t>if required</w:t>
      </w:r>
      <w:r w:rsidRPr="00EA03BA">
        <w:t xml:space="preserve"> </w:t>
      </w:r>
      <w:r w:rsidR="003A0BE7">
        <w:t xml:space="preserve">under </w:t>
      </w:r>
      <w:r w:rsidRPr="00EA03BA">
        <w:t>applicable</w:t>
      </w:r>
      <w:r w:rsidR="003A0BE7">
        <w:t xml:space="preserve"> law</w:t>
      </w:r>
      <w:r w:rsidRPr="00EA03BA">
        <w:t xml:space="preserve">, a proof of </w:t>
      </w:r>
      <w:r w:rsidRPr="003A40A2">
        <w:t>registration</w:t>
      </w:r>
      <w:r w:rsidRPr="00EA03BA">
        <w:t xml:space="preserve"> on </w:t>
      </w:r>
      <w:r>
        <w:t>a</w:t>
      </w:r>
      <w:r w:rsidRPr="00EA03BA">
        <w:t xml:space="preserve"> </w:t>
      </w:r>
      <w:r w:rsidRPr="003A40A2">
        <w:t>professional or trade register</w:t>
      </w:r>
      <w:r w:rsidRPr="00EA03BA">
        <w:t xml:space="preserve"> or any other official document showing the registration number.</w:t>
      </w:r>
    </w:p>
    <w:p w:rsidR="00A13E52" w:rsidRPr="00DB1B93" w:rsidRDefault="00A13E52" w:rsidP="00841568">
      <w:pPr>
        <w:pStyle w:val="Heading3"/>
      </w:pPr>
      <w:r w:rsidRPr="00DB1B93">
        <w:t>Economic and financial capacity criteria</w:t>
      </w:r>
    </w:p>
    <w:p w:rsidR="00A13E52" w:rsidRDefault="00701D80" w:rsidP="00A13E52">
      <w:pPr>
        <w:spacing w:after="240"/>
      </w:pPr>
      <w:r>
        <w:t xml:space="preserve">The tenderer must have the necessary economic and financial capacity to perform this contract until its end. </w:t>
      </w:r>
      <w:r w:rsidR="00A13E52">
        <w:t xml:space="preserve">In order to prove their capacity, the tenderer must comply with the following </w:t>
      </w:r>
      <w:r w:rsidR="009F5EAB">
        <w:t xml:space="preserve">selection </w:t>
      </w:r>
      <w:r w:rsidR="00A13E52">
        <w:t>criteria</w:t>
      </w:r>
      <w:r w:rsidR="009F5EAB">
        <w:t>.</w:t>
      </w:r>
      <w:r w:rsidR="00A13E52">
        <w:t xml:space="preserve"> </w:t>
      </w:r>
    </w:p>
    <w:p w:rsidR="00B55C5A" w:rsidRPr="00FF703B" w:rsidRDefault="00A13E52" w:rsidP="007F1875">
      <w:pPr>
        <w:pStyle w:val="Text1"/>
        <w:rPr>
          <w:b w:val="0"/>
        </w:rPr>
      </w:pPr>
      <w:r w:rsidRPr="00841568">
        <w:rPr>
          <w:b w:val="0"/>
        </w:rPr>
        <w:t xml:space="preserve">- </w:t>
      </w:r>
      <w:r w:rsidR="00456B23" w:rsidRPr="00FF703B">
        <w:t>Criterion F1</w:t>
      </w:r>
      <w:r w:rsidR="00456B23" w:rsidRPr="00FF703B">
        <w:rPr>
          <w:b w:val="0"/>
        </w:rPr>
        <w:t xml:space="preserve">: </w:t>
      </w:r>
      <w:r w:rsidRPr="00FF703B">
        <w:rPr>
          <w:b w:val="0"/>
        </w:rPr>
        <w:t xml:space="preserve">Turnover of the last two financial years above </w:t>
      </w:r>
      <w:r w:rsidR="009F5EAB" w:rsidRPr="00FF703B">
        <w:rPr>
          <w:b w:val="0"/>
        </w:rPr>
        <w:t xml:space="preserve">EUR </w:t>
      </w:r>
      <w:r w:rsidR="007F1875" w:rsidRPr="00FF703B">
        <w:rPr>
          <w:b w:val="0"/>
        </w:rPr>
        <w:t>100,000</w:t>
      </w:r>
      <w:r w:rsidR="00466650" w:rsidRPr="00FF703B">
        <w:rPr>
          <w:b w:val="0"/>
        </w:rPr>
        <w:t>; this criterion applies to the tenderer as a whole, i.e. the combined capacity of all members of a group in case of a joint tender</w:t>
      </w:r>
      <w:r w:rsidR="00F635DD" w:rsidRPr="00FF703B">
        <w:rPr>
          <w:b w:val="0"/>
        </w:rPr>
        <w:t>.</w:t>
      </w:r>
      <w:r w:rsidRPr="00FF703B">
        <w:rPr>
          <w:b w:val="0"/>
        </w:rPr>
        <w:t xml:space="preserve"> </w:t>
      </w:r>
    </w:p>
    <w:p w:rsidR="00A13E52" w:rsidRPr="00FF703B" w:rsidRDefault="00DA41A6" w:rsidP="00A13E52">
      <w:pPr>
        <w:spacing w:after="240"/>
        <w:rPr>
          <w:b/>
        </w:rPr>
      </w:pPr>
      <w:r w:rsidRPr="00FF703B">
        <w:rPr>
          <w:b/>
        </w:rPr>
        <w:t>Evidence</w:t>
      </w:r>
      <w:r w:rsidR="009A4C2E" w:rsidRPr="00FF703B">
        <w:rPr>
          <w:b/>
        </w:rPr>
        <w:t xml:space="preserve"> (to be provided on request)</w:t>
      </w:r>
      <w:r w:rsidRPr="00FF703B">
        <w:rPr>
          <w:b/>
        </w:rPr>
        <w:t>:</w:t>
      </w:r>
    </w:p>
    <w:p w:rsidR="00A13E52" w:rsidRDefault="00A13E52" w:rsidP="00A13E52">
      <w:pPr>
        <w:spacing w:after="240"/>
      </w:pPr>
      <w:r w:rsidRPr="00FF703B">
        <w:t xml:space="preserve">- Copy of the profit </w:t>
      </w:r>
      <w:r w:rsidR="0083458C" w:rsidRPr="00FF703B">
        <w:t>and</w:t>
      </w:r>
      <w:r w:rsidRPr="00FF703B">
        <w:t xml:space="preserve"> loss account</w:t>
      </w:r>
      <w:r w:rsidR="0083458C" w:rsidRPr="00FF703B">
        <w:t>s</w:t>
      </w:r>
      <w:r w:rsidRPr="00FF703B">
        <w:t xml:space="preserve"> and balance sheet for</w:t>
      </w:r>
      <w:r>
        <w:t xml:space="preserve"> the last two years for which accounts have been closed</w:t>
      </w:r>
      <w:r w:rsidR="00FE3762">
        <w:t xml:space="preserve"> from each concerned legal entity</w:t>
      </w:r>
      <w:r w:rsidR="002660E8">
        <w:t xml:space="preserve">; </w:t>
      </w:r>
    </w:p>
    <w:p w:rsidR="00A13E52" w:rsidRDefault="00A13E52" w:rsidP="00A13E52">
      <w:pPr>
        <w:spacing w:after="240"/>
      </w:pPr>
      <w:r>
        <w:t>- Failing that, appropriate statements from banks</w:t>
      </w:r>
      <w:r w:rsidR="00457987">
        <w:t xml:space="preserve">; </w:t>
      </w:r>
    </w:p>
    <w:p w:rsidR="00A13E52" w:rsidRPr="00EA03BA" w:rsidRDefault="00A13E52" w:rsidP="00A13E52">
      <w:pPr>
        <w:spacing w:after="240"/>
      </w:pPr>
      <w:r w:rsidRPr="00EA03BA">
        <w:t xml:space="preserve">If, for some </w:t>
      </w:r>
      <w:r w:rsidRPr="004C713E">
        <w:t xml:space="preserve">exceptional reason which the </w:t>
      </w:r>
      <w:r>
        <w:t>Contracting Authority</w:t>
      </w:r>
      <w:r w:rsidRPr="004C713E">
        <w:t xml:space="preserve"> considers justified</w:t>
      </w:r>
      <w:r w:rsidRPr="00EA03BA">
        <w:t xml:space="preserve">, a tenderer is unable to provide one or other of the above documents, </w:t>
      </w:r>
      <w:r w:rsidR="009C4681">
        <w:t xml:space="preserve">it </w:t>
      </w:r>
      <w:r w:rsidRPr="00EA03BA">
        <w:t xml:space="preserve">may prove </w:t>
      </w:r>
      <w:r w:rsidR="009C4681">
        <w:t>its</w:t>
      </w:r>
      <w:r w:rsidRPr="00EA03BA">
        <w:t xml:space="preserve"> economic and financial capacity by any other document which the </w:t>
      </w:r>
      <w:r>
        <w:t>Contracting Authority</w:t>
      </w:r>
      <w:r w:rsidRPr="00EA03BA">
        <w:t xml:space="preserve"> considers appropriate. In any case, the </w:t>
      </w:r>
      <w:r>
        <w:t>Contracting Authority</w:t>
      </w:r>
      <w:r w:rsidRPr="00EA03BA">
        <w:t xml:space="preserve"> must at least be notified of the exceptional reason and its justification. The Commission reserves the right to request any other document enabling it to verify the tenderer's economic and financial capacity.</w:t>
      </w:r>
    </w:p>
    <w:p w:rsidR="00A13E52" w:rsidRDefault="00A13E52" w:rsidP="00841568">
      <w:pPr>
        <w:pStyle w:val="Heading3"/>
      </w:pPr>
      <w:r>
        <w:t>Technical and professional capacity criteria</w:t>
      </w:r>
      <w:r w:rsidRPr="00FA5709">
        <w:t xml:space="preserve"> </w:t>
      </w:r>
      <w:r>
        <w:t>and evidence</w:t>
      </w:r>
    </w:p>
    <w:p w:rsidR="00A13E52" w:rsidRPr="00833807" w:rsidRDefault="00A13E52" w:rsidP="00814823">
      <w:pPr>
        <w:numPr>
          <w:ilvl w:val="1"/>
          <w:numId w:val="18"/>
        </w:numPr>
        <w:spacing w:after="240"/>
        <w:rPr>
          <w:b/>
        </w:rPr>
      </w:pPr>
      <w:r w:rsidRPr="00833807">
        <w:rPr>
          <w:b/>
        </w:rPr>
        <w:t xml:space="preserve">Criteria relating to </w:t>
      </w:r>
      <w:r>
        <w:rPr>
          <w:b/>
        </w:rPr>
        <w:t>tenderers</w:t>
      </w:r>
    </w:p>
    <w:p w:rsidR="00F140D2" w:rsidRDefault="00A13E52" w:rsidP="00A13E52">
      <w:pPr>
        <w:spacing w:after="240"/>
      </w:pPr>
      <w:r>
        <w:t xml:space="preserve">Tenderers (in case of a joint tender the combined capacity of all </w:t>
      </w:r>
      <w:r w:rsidR="00533149">
        <w:t xml:space="preserve">members of the group </w:t>
      </w:r>
      <w:r w:rsidRPr="00885B03">
        <w:t>and identified subcontractor</w:t>
      </w:r>
      <w:r>
        <w:t>s)</w:t>
      </w:r>
      <w:r w:rsidRPr="00885B03">
        <w:t xml:space="preserve"> must</w:t>
      </w:r>
      <w:r>
        <w:t xml:space="preserve"> comply with the criteria</w:t>
      </w:r>
      <w:r w:rsidR="00F140D2">
        <w:t xml:space="preserve"> listed below</w:t>
      </w:r>
      <w:r w:rsidR="002660E8">
        <w:t xml:space="preserve">. </w:t>
      </w:r>
      <w:r w:rsidR="009A5D10">
        <w:t>The ev</w:t>
      </w:r>
      <w:r w:rsidR="00D81898">
        <w:t>idence must be provided only on</w:t>
      </w:r>
      <w:r w:rsidR="009A5D10">
        <w:t xml:space="preserve"> request. </w:t>
      </w:r>
    </w:p>
    <w:p w:rsidR="00A13E52" w:rsidRDefault="002660E8" w:rsidP="00A13E52">
      <w:pPr>
        <w:spacing w:after="240"/>
      </w:pPr>
      <w:r>
        <w:t xml:space="preserve">The </w:t>
      </w:r>
      <w:r w:rsidR="008A03AE">
        <w:t xml:space="preserve">project references indicated below </w:t>
      </w:r>
      <w:r>
        <w:t xml:space="preserve">consist in </w:t>
      </w:r>
      <w:r w:rsidR="00F140D2">
        <w:t>a</w:t>
      </w:r>
      <w:r>
        <w:t xml:space="preserve"> </w:t>
      </w:r>
      <w:r w:rsidR="00F140D2">
        <w:t xml:space="preserve">list of </w:t>
      </w:r>
      <w:r w:rsidR="00F140D2" w:rsidRPr="00960040">
        <w:t>relevant</w:t>
      </w:r>
      <w:r w:rsidR="00F140D2">
        <w:t xml:space="preserve"> services provided in the past three years, with the </w:t>
      </w:r>
      <w:r w:rsidR="00F140D2" w:rsidRPr="004C713E">
        <w:t xml:space="preserve">sums, dates and </w:t>
      </w:r>
      <w:r w:rsidR="00F140D2">
        <w:t>clients</w:t>
      </w:r>
      <w:r w:rsidR="00F140D2" w:rsidRPr="004C713E">
        <w:t>, public or private</w:t>
      </w:r>
      <w:r w:rsidR="00F140D2">
        <w:t xml:space="preserve">, </w:t>
      </w:r>
      <w:r w:rsidR="00F140D2" w:rsidRPr="0023751A">
        <w:t xml:space="preserve">accompanied by </w:t>
      </w:r>
      <w:r w:rsidR="00F140D2">
        <w:t>statements issued</w:t>
      </w:r>
      <w:r w:rsidR="00F140D2" w:rsidRPr="0023751A">
        <w:t xml:space="preserve"> </w:t>
      </w:r>
      <w:r w:rsidR="00F140D2">
        <w:t xml:space="preserve">by the clients. </w:t>
      </w:r>
    </w:p>
    <w:p w:rsidR="002D20B9" w:rsidRDefault="00E228C2" w:rsidP="00A13E52">
      <w:pPr>
        <w:spacing w:after="240"/>
      </w:pPr>
      <w:r>
        <w:t xml:space="preserve">- </w:t>
      </w:r>
      <w:r w:rsidRPr="00E228C2">
        <w:rPr>
          <w:b/>
        </w:rPr>
        <w:t>Criterion A1</w:t>
      </w:r>
      <w:r>
        <w:t xml:space="preserve">: </w:t>
      </w:r>
      <w:r w:rsidR="00A13E52">
        <w:t xml:space="preserve">The tenderer must </w:t>
      </w:r>
      <w:r w:rsidR="00A13E52" w:rsidRPr="00FF703B">
        <w:t xml:space="preserve">prove experience in the field of </w:t>
      </w:r>
      <w:r w:rsidR="00D81898" w:rsidRPr="00FF703B">
        <w:t xml:space="preserve">international trade, taxation, industrial value chains, </w:t>
      </w:r>
      <w:r w:rsidR="002D20B9" w:rsidRPr="00FF703B">
        <w:t>as well as in survey techniques</w:t>
      </w:r>
      <w:r w:rsidR="00D81898" w:rsidRPr="00FF703B">
        <w:t xml:space="preserve">, </w:t>
      </w:r>
      <w:r w:rsidR="002D20B9" w:rsidRPr="00FF703B">
        <w:t>data collection</w:t>
      </w:r>
      <w:r w:rsidR="00D81898" w:rsidRPr="00FF703B">
        <w:t xml:space="preserve">, </w:t>
      </w:r>
      <w:r w:rsidR="002D20B9" w:rsidRPr="00FF703B">
        <w:t>statistical analyses</w:t>
      </w:r>
      <w:r w:rsidR="00D81898" w:rsidRPr="00FF703B">
        <w:t xml:space="preserve">, </w:t>
      </w:r>
      <w:r w:rsidR="002D20B9" w:rsidRPr="00FF703B">
        <w:t>drafting reports and recommendations.</w:t>
      </w:r>
      <w:r w:rsidR="002D20B9">
        <w:t xml:space="preserve"> </w:t>
      </w:r>
    </w:p>
    <w:p w:rsidR="00A13E52" w:rsidRDefault="002D20B9" w:rsidP="00A13E52">
      <w:pPr>
        <w:spacing w:after="240"/>
      </w:pPr>
      <w:r w:rsidRPr="00841568">
        <w:rPr>
          <w:b/>
        </w:rPr>
        <w:t>Evidence</w:t>
      </w:r>
      <w:r w:rsidR="00E228C2">
        <w:rPr>
          <w:b/>
        </w:rPr>
        <w:t xml:space="preserve"> A1</w:t>
      </w:r>
      <w:r w:rsidRPr="00841568">
        <w:rPr>
          <w:b/>
        </w:rPr>
        <w:t>:</w:t>
      </w:r>
      <w:r>
        <w:t xml:space="preserve"> the tenderer must provide </w:t>
      </w:r>
      <w:r w:rsidR="00EA5E92">
        <w:t xml:space="preserve">references for </w:t>
      </w:r>
      <w:r w:rsidR="00526DF5">
        <w:t>2</w:t>
      </w:r>
      <w:r w:rsidR="00F140D2">
        <w:t xml:space="preserve"> </w:t>
      </w:r>
      <w:r w:rsidR="00A13E52">
        <w:t xml:space="preserve">projects delivered in </w:t>
      </w:r>
      <w:r w:rsidR="00EA5E92">
        <w:t xml:space="preserve">these </w:t>
      </w:r>
      <w:r w:rsidR="00A13E52">
        <w:t>field</w:t>
      </w:r>
      <w:r w:rsidR="00EA5E92">
        <w:t>s</w:t>
      </w:r>
      <w:r w:rsidR="00A13E52">
        <w:t xml:space="preserve"> in the last three years with a minimum value for each project of €</w:t>
      </w:r>
      <w:r w:rsidR="0015476F">
        <w:t xml:space="preserve"> </w:t>
      </w:r>
      <w:r w:rsidR="00526DF5">
        <w:t>EUR 40,000</w:t>
      </w:r>
      <w:r w:rsidR="00A13E52">
        <w:t xml:space="preserve">. </w:t>
      </w:r>
    </w:p>
    <w:p w:rsidR="00A13E52" w:rsidRPr="00833807" w:rsidRDefault="00A13E52" w:rsidP="00814823">
      <w:pPr>
        <w:numPr>
          <w:ilvl w:val="1"/>
          <w:numId w:val="18"/>
        </w:numPr>
        <w:spacing w:after="240"/>
        <w:rPr>
          <w:b/>
        </w:rPr>
      </w:pPr>
      <w:r w:rsidRPr="00833807">
        <w:rPr>
          <w:b/>
        </w:rPr>
        <w:t xml:space="preserve">Criteria relating to </w:t>
      </w:r>
      <w:r>
        <w:rPr>
          <w:b/>
        </w:rPr>
        <w:t xml:space="preserve">the team delivering the service: </w:t>
      </w:r>
    </w:p>
    <w:p w:rsidR="008A03AE" w:rsidRDefault="00A13E52" w:rsidP="00A13E52">
      <w:pPr>
        <w:pStyle w:val="Text1"/>
        <w:rPr>
          <w:b w:val="0"/>
        </w:rPr>
      </w:pPr>
      <w:r>
        <w:rPr>
          <w:b w:val="0"/>
        </w:rPr>
        <w:t>The team delivering the service should include, as a minimum, the following profiles</w:t>
      </w:r>
      <w:r w:rsidR="008A03AE">
        <w:rPr>
          <w:b w:val="0"/>
        </w:rPr>
        <w:t xml:space="preserve">. </w:t>
      </w:r>
    </w:p>
    <w:p w:rsidR="008A03AE" w:rsidRDefault="008A03AE" w:rsidP="00A13E52">
      <w:pPr>
        <w:pStyle w:val="Text1"/>
        <w:rPr>
          <w:b w:val="0"/>
        </w:rPr>
      </w:pPr>
      <w:r>
        <w:rPr>
          <w:b w:val="0"/>
        </w:rPr>
        <w:t xml:space="preserve">Evidence will </w:t>
      </w:r>
      <w:r w:rsidR="00FC1EAD">
        <w:rPr>
          <w:b w:val="0"/>
        </w:rPr>
        <w:t>consist in CVs of the team responsible to deliver the service. Each CV should indicate the</w:t>
      </w:r>
      <w:r w:rsidR="00BF2424">
        <w:rPr>
          <w:b w:val="0"/>
        </w:rPr>
        <w:t xml:space="preserve"> intended function in the delivery of the service.</w:t>
      </w:r>
      <w:r>
        <w:rPr>
          <w:b w:val="0"/>
        </w:rPr>
        <w:t xml:space="preserve"> </w:t>
      </w:r>
    </w:p>
    <w:p w:rsidR="00526DF5" w:rsidRDefault="00526DF5" w:rsidP="00A13E52">
      <w:pPr>
        <w:pStyle w:val="Text1"/>
        <w:rPr>
          <w:u w:val="single"/>
        </w:rPr>
      </w:pPr>
      <w:r>
        <w:rPr>
          <w:u w:val="single"/>
        </w:rPr>
        <w:t>Expert 1</w:t>
      </w:r>
      <w:r w:rsidR="00882B54">
        <w:rPr>
          <w:u w:val="single"/>
        </w:rPr>
        <w:t>, Project leader,</w:t>
      </w:r>
      <w:r>
        <w:rPr>
          <w:u w:val="single"/>
        </w:rPr>
        <w:t xml:space="preserve"> </w:t>
      </w:r>
      <w:r w:rsidRPr="00526DF5">
        <w:rPr>
          <w:u w:val="single"/>
        </w:rPr>
        <w:t>Minimum number of working days: 12 days</w:t>
      </w:r>
    </w:p>
    <w:p w:rsidR="00526DF5" w:rsidRDefault="00526DF5" w:rsidP="00814823">
      <w:pPr>
        <w:pStyle w:val="ListParagraph"/>
        <w:numPr>
          <w:ilvl w:val="0"/>
          <w:numId w:val="29"/>
        </w:numPr>
        <w:spacing w:before="240" w:beforeAutospacing="0" w:after="120" w:afterAutospacing="0"/>
        <w:contextualSpacing/>
        <w:jc w:val="left"/>
        <w:rPr>
          <w:rFonts w:eastAsia="Calibri"/>
        </w:rPr>
      </w:pPr>
      <w:r>
        <w:rPr>
          <w:rFonts w:eastAsia="Calibri"/>
        </w:rPr>
        <w:t>Qualifications and skills required: University education to at least a master’s degree level in Economics, Business International Relations or equivalent; Excellent analytical and writing skills.</w:t>
      </w:r>
    </w:p>
    <w:p w:rsidR="00526DF5" w:rsidRDefault="00526DF5" w:rsidP="00814823">
      <w:pPr>
        <w:pStyle w:val="ListParagraph"/>
        <w:numPr>
          <w:ilvl w:val="0"/>
          <w:numId w:val="29"/>
        </w:numPr>
        <w:spacing w:before="240" w:beforeAutospacing="0" w:after="120" w:afterAutospacing="0"/>
        <w:contextualSpacing/>
        <w:jc w:val="left"/>
        <w:rPr>
          <w:rFonts w:eastAsia="Calibri"/>
        </w:rPr>
      </w:pPr>
      <w:r>
        <w:rPr>
          <w:rFonts w:eastAsia="Calibri"/>
        </w:rPr>
        <w:t xml:space="preserve">General professional experience: 12 years of professional experience in the field of economic analysis, specifically in the field of investment due diligence or trade policies; Sound theoretical and practical background in the field of business and investment climate. </w:t>
      </w:r>
    </w:p>
    <w:p w:rsidR="00402601" w:rsidRDefault="00526DF5" w:rsidP="00814823">
      <w:pPr>
        <w:pStyle w:val="ListParagraph"/>
        <w:numPr>
          <w:ilvl w:val="0"/>
          <w:numId w:val="29"/>
        </w:numPr>
        <w:spacing w:before="240" w:beforeAutospacing="0" w:after="120" w:afterAutospacing="0"/>
        <w:contextualSpacing/>
        <w:jc w:val="left"/>
        <w:rPr>
          <w:rFonts w:eastAsia="Calibri"/>
        </w:rPr>
      </w:pPr>
      <w:r>
        <w:rPr>
          <w:rFonts w:eastAsia="Calibri"/>
        </w:rPr>
        <w:t>Specific professional experience: Profound knowledge of international trade and trade rules.</w:t>
      </w:r>
    </w:p>
    <w:p w:rsidR="00402601" w:rsidRDefault="00402601" w:rsidP="001028F0">
      <w:pPr>
        <w:pStyle w:val="ListParagraph"/>
        <w:spacing w:before="240" w:beforeAutospacing="0" w:after="120" w:afterAutospacing="0"/>
        <w:ind w:left="720"/>
        <w:contextualSpacing/>
        <w:jc w:val="left"/>
        <w:rPr>
          <w:rFonts w:eastAsia="Calibri"/>
        </w:rPr>
      </w:pPr>
    </w:p>
    <w:p w:rsidR="00402601" w:rsidRPr="001028F0" w:rsidRDefault="00402601" w:rsidP="001028F0">
      <w:pPr>
        <w:pStyle w:val="Text1"/>
        <w:rPr>
          <w:u w:val="single"/>
        </w:rPr>
      </w:pPr>
      <w:r w:rsidRPr="001028F0">
        <w:rPr>
          <w:u w:val="single"/>
        </w:rPr>
        <w:t>Expert 2</w:t>
      </w:r>
      <w:r w:rsidR="00882B54">
        <w:rPr>
          <w:u w:val="single"/>
        </w:rPr>
        <w:t>, Energy and climate policy in NEAR countries,</w:t>
      </w:r>
      <w:r w:rsidRPr="001028F0">
        <w:rPr>
          <w:u w:val="single"/>
        </w:rPr>
        <w:t xml:space="preserve"> Minimum number of working days: 6 days </w:t>
      </w:r>
    </w:p>
    <w:p w:rsidR="00402601" w:rsidRDefault="00402601" w:rsidP="00814823">
      <w:pPr>
        <w:pStyle w:val="ListParagraph"/>
        <w:numPr>
          <w:ilvl w:val="0"/>
          <w:numId w:val="29"/>
        </w:numPr>
        <w:spacing w:before="240" w:beforeAutospacing="0" w:after="120" w:afterAutospacing="0"/>
        <w:contextualSpacing/>
        <w:jc w:val="left"/>
        <w:rPr>
          <w:rFonts w:eastAsia="Calibri"/>
        </w:rPr>
      </w:pPr>
      <w:r>
        <w:rPr>
          <w:rFonts w:eastAsia="Calibri"/>
        </w:rPr>
        <w:t xml:space="preserve">Qualifications and skills required: University education to at least a master’s degree level in law, or relevant degree coupled with specific experience in energy/climate acquis alignment; Excellent analytical and writing skills. </w:t>
      </w:r>
    </w:p>
    <w:p w:rsidR="00402601" w:rsidRDefault="00402601" w:rsidP="00814823">
      <w:pPr>
        <w:pStyle w:val="ListParagraph"/>
        <w:numPr>
          <w:ilvl w:val="0"/>
          <w:numId w:val="29"/>
        </w:numPr>
        <w:spacing w:before="240" w:beforeAutospacing="0" w:after="120" w:afterAutospacing="0"/>
        <w:contextualSpacing/>
        <w:jc w:val="left"/>
        <w:rPr>
          <w:rFonts w:eastAsia="Calibri"/>
        </w:rPr>
      </w:pPr>
      <w:r>
        <w:rPr>
          <w:rFonts w:eastAsia="Calibri"/>
        </w:rPr>
        <w:t>General professional experience: 6 years of professional experience in the field of energy and climate law.</w:t>
      </w:r>
    </w:p>
    <w:p w:rsidR="00402601" w:rsidRDefault="00402601" w:rsidP="00814823">
      <w:pPr>
        <w:pStyle w:val="ListParagraph"/>
        <w:numPr>
          <w:ilvl w:val="0"/>
          <w:numId w:val="29"/>
        </w:numPr>
        <w:spacing w:before="240" w:beforeAutospacing="0" w:after="120" w:afterAutospacing="0"/>
        <w:contextualSpacing/>
        <w:jc w:val="left"/>
        <w:rPr>
          <w:rFonts w:eastAsia="Calibri"/>
        </w:rPr>
      </w:pPr>
      <w:r>
        <w:rPr>
          <w:rFonts w:eastAsia="Calibri"/>
        </w:rPr>
        <w:t xml:space="preserve">Specific professional experience: Experience in the Western Balkans, Turkey, or Energy Community Treaty. </w:t>
      </w:r>
    </w:p>
    <w:p w:rsidR="00402601" w:rsidRDefault="00402601" w:rsidP="001028F0">
      <w:pPr>
        <w:pStyle w:val="ListParagraph"/>
        <w:spacing w:before="240" w:beforeAutospacing="0" w:after="120" w:afterAutospacing="0"/>
        <w:ind w:left="360"/>
        <w:contextualSpacing/>
        <w:jc w:val="left"/>
        <w:rPr>
          <w:rFonts w:eastAsia="Calibri"/>
          <w:u w:val="single"/>
        </w:rPr>
      </w:pPr>
    </w:p>
    <w:p w:rsidR="00402601" w:rsidRPr="001028F0" w:rsidRDefault="00402601" w:rsidP="001028F0">
      <w:pPr>
        <w:pStyle w:val="Text1"/>
        <w:rPr>
          <w:u w:val="single"/>
        </w:rPr>
      </w:pPr>
      <w:r w:rsidRPr="001028F0">
        <w:rPr>
          <w:u w:val="single"/>
        </w:rPr>
        <w:t>Expert 3</w:t>
      </w:r>
      <w:r w:rsidR="00882B54">
        <w:rPr>
          <w:u w:val="single"/>
        </w:rPr>
        <w:t>, Economic analysis support,</w:t>
      </w:r>
      <w:r w:rsidRPr="001028F0">
        <w:rPr>
          <w:u w:val="single"/>
        </w:rPr>
        <w:t xml:space="preserve"> Minimum number of working days: 3 days</w:t>
      </w:r>
    </w:p>
    <w:p w:rsidR="00402601" w:rsidRDefault="00402601" w:rsidP="00814823">
      <w:pPr>
        <w:pStyle w:val="ListParagraph"/>
        <w:numPr>
          <w:ilvl w:val="0"/>
          <w:numId w:val="29"/>
        </w:numPr>
        <w:spacing w:before="240" w:beforeAutospacing="0" w:after="120" w:afterAutospacing="0"/>
        <w:contextualSpacing/>
        <w:jc w:val="left"/>
        <w:rPr>
          <w:rFonts w:eastAsia="Calibri"/>
        </w:rPr>
      </w:pPr>
      <w:r>
        <w:rPr>
          <w:rFonts w:eastAsia="Calibri"/>
        </w:rPr>
        <w:t xml:space="preserve">Qualifications and skills required: University education to at least a master’s degree level in Economics, Business International Relations or equivalent; Excellent analytical and writing skills. </w:t>
      </w:r>
    </w:p>
    <w:p w:rsidR="00402601" w:rsidRDefault="00402601" w:rsidP="00814823">
      <w:pPr>
        <w:pStyle w:val="ListParagraph"/>
        <w:numPr>
          <w:ilvl w:val="0"/>
          <w:numId w:val="29"/>
        </w:numPr>
        <w:spacing w:before="240" w:beforeAutospacing="0" w:after="120" w:afterAutospacing="0"/>
        <w:contextualSpacing/>
        <w:jc w:val="left"/>
        <w:rPr>
          <w:rFonts w:eastAsia="Calibri"/>
        </w:rPr>
      </w:pPr>
      <w:r>
        <w:rPr>
          <w:rFonts w:eastAsia="Calibri"/>
        </w:rPr>
        <w:t xml:space="preserve">General professional experience: 3-5 years of professional experience in the field of economic analysis. </w:t>
      </w:r>
    </w:p>
    <w:p w:rsidR="00402601" w:rsidRDefault="00402601" w:rsidP="00814823">
      <w:pPr>
        <w:pStyle w:val="ListParagraph"/>
        <w:numPr>
          <w:ilvl w:val="0"/>
          <w:numId w:val="29"/>
        </w:numPr>
        <w:spacing w:before="240" w:beforeAutospacing="0" w:after="120" w:afterAutospacing="0"/>
        <w:contextualSpacing/>
        <w:jc w:val="left"/>
        <w:rPr>
          <w:rFonts w:eastAsia="Calibri"/>
        </w:rPr>
      </w:pPr>
      <w:r>
        <w:rPr>
          <w:rFonts w:eastAsia="Calibri"/>
        </w:rPr>
        <w:t xml:space="preserve">Specific professional experience: Knowledge of decarbonisation policies and emission/ emission reduction cost assessment methodologies; Sound theoretical and practical background in the field of business and investment climate. </w:t>
      </w:r>
    </w:p>
    <w:p w:rsidR="008A03AE" w:rsidRDefault="008A03AE" w:rsidP="00A13E52">
      <w:pPr>
        <w:pStyle w:val="Text1"/>
        <w:rPr>
          <w:b w:val="0"/>
        </w:rPr>
      </w:pPr>
      <w:r w:rsidRPr="00841568">
        <w:t>Evidence</w:t>
      </w:r>
      <w:r>
        <w:rPr>
          <w:b w:val="0"/>
        </w:rPr>
        <w:t>: CV</w:t>
      </w:r>
    </w:p>
    <w:p w:rsidR="000644DC" w:rsidRDefault="00E705C4" w:rsidP="00A13E52">
      <w:pPr>
        <w:pStyle w:val="Text1"/>
        <w:rPr>
          <w:b w:val="0"/>
        </w:rPr>
      </w:pPr>
      <w:r w:rsidRPr="009D4BBF">
        <w:rPr>
          <w:u w:val="single"/>
        </w:rPr>
        <w:t xml:space="preserve">B2 - </w:t>
      </w:r>
      <w:r w:rsidR="00A13E52" w:rsidRPr="009D4BBF">
        <w:rPr>
          <w:u w:val="single"/>
        </w:rPr>
        <w:t>Language quality check</w:t>
      </w:r>
      <w:r w:rsidR="00A13E52" w:rsidRPr="005D1F6A">
        <w:rPr>
          <w:b w:val="0"/>
        </w:rPr>
        <w:t xml:space="preserve">: at least </w:t>
      </w:r>
      <w:r w:rsidR="00402601">
        <w:rPr>
          <w:b w:val="0"/>
        </w:rPr>
        <w:t>1</w:t>
      </w:r>
      <w:r w:rsidR="0054362D">
        <w:rPr>
          <w:b w:val="0"/>
        </w:rPr>
        <w:t xml:space="preserve"> </w:t>
      </w:r>
      <w:r w:rsidR="00A13E52" w:rsidRPr="005D1F6A">
        <w:rPr>
          <w:b w:val="0"/>
        </w:rPr>
        <w:t xml:space="preserve">member of the team should </w:t>
      </w:r>
      <w:r w:rsidR="00BF3ADE">
        <w:rPr>
          <w:b w:val="0"/>
        </w:rPr>
        <w:t xml:space="preserve">have at least C1 level in the Common European Framework for Reference for </w:t>
      </w:r>
      <w:r w:rsidR="00BF3ADE" w:rsidRPr="00FF703B">
        <w:rPr>
          <w:b w:val="0"/>
        </w:rPr>
        <w:t>Languages</w:t>
      </w:r>
      <w:r w:rsidR="00BF3ADE" w:rsidRPr="00FF703B">
        <w:rPr>
          <w:rStyle w:val="FootnoteReference"/>
          <w:b w:val="0"/>
        </w:rPr>
        <w:footnoteReference w:id="13"/>
      </w:r>
      <w:r w:rsidR="00A13E52" w:rsidRPr="00FF703B">
        <w:rPr>
          <w:b w:val="0"/>
        </w:rPr>
        <w:t xml:space="preserve"> in English</w:t>
      </w:r>
      <w:r w:rsidR="00FF703B">
        <w:rPr>
          <w:b w:val="0"/>
        </w:rPr>
        <w:t>.</w:t>
      </w:r>
    </w:p>
    <w:p w:rsidR="00A13E52" w:rsidRPr="005E1968" w:rsidRDefault="000644DC" w:rsidP="00A13E52">
      <w:pPr>
        <w:pStyle w:val="Text1"/>
        <w:rPr>
          <w:b w:val="0"/>
        </w:rPr>
      </w:pPr>
      <w:r w:rsidRPr="00841568">
        <w:t>Evidence</w:t>
      </w:r>
      <w:r>
        <w:rPr>
          <w:b w:val="0"/>
        </w:rPr>
        <w:t>:</w:t>
      </w:r>
      <w:r w:rsidR="00A13E52">
        <w:rPr>
          <w:b w:val="0"/>
        </w:rPr>
        <w:t xml:space="preserve"> a </w:t>
      </w:r>
      <w:r w:rsidR="0054362D">
        <w:rPr>
          <w:b w:val="0"/>
        </w:rPr>
        <w:t xml:space="preserve">language </w:t>
      </w:r>
      <w:r w:rsidR="00A13E52">
        <w:rPr>
          <w:b w:val="0"/>
        </w:rPr>
        <w:t xml:space="preserve">certificate or past relevant experience. </w:t>
      </w:r>
    </w:p>
    <w:p w:rsidR="00A13E52" w:rsidRPr="00DB1B93" w:rsidRDefault="00A13E52" w:rsidP="00DB1B93">
      <w:pPr>
        <w:pStyle w:val="Heading2"/>
      </w:pPr>
      <w:bookmarkStart w:id="30" w:name="_Toc440277011"/>
      <w:bookmarkStart w:id="31" w:name="_Toc440277012"/>
      <w:bookmarkStart w:id="32" w:name="_Toc440277013"/>
      <w:bookmarkStart w:id="33" w:name="_Toc440277014"/>
      <w:bookmarkStart w:id="34" w:name="_Toc440277016"/>
      <w:bookmarkStart w:id="35" w:name="_Toc440617349"/>
      <w:bookmarkEnd w:id="30"/>
      <w:bookmarkEnd w:id="31"/>
      <w:bookmarkEnd w:id="32"/>
      <w:bookmarkEnd w:id="33"/>
      <w:bookmarkEnd w:id="34"/>
      <w:r w:rsidRPr="00DB1B93">
        <w:t>Award criteria</w:t>
      </w:r>
      <w:bookmarkEnd w:id="35"/>
    </w:p>
    <w:p w:rsidR="00A13E52" w:rsidRDefault="009B067C" w:rsidP="00A13E52">
      <w:pPr>
        <w:pStyle w:val="Text1"/>
        <w:rPr>
          <w:i/>
          <w:color w:val="0070C0"/>
        </w:rPr>
      </w:pPr>
      <w:r>
        <w:rPr>
          <w:b w:val="0"/>
        </w:rPr>
        <w:t>The contract will be awarded based</w:t>
      </w:r>
      <w:r w:rsidRPr="009B067C">
        <w:t xml:space="preserve"> </w:t>
      </w:r>
      <w:r w:rsidRPr="009B067C">
        <w:rPr>
          <w:b w:val="0"/>
        </w:rPr>
        <w:t xml:space="preserve">on the most economically advantageous tender, </w:t>
      </w:r>
      <w:r w:rsidR="00A11537">
        <w:rPr>
          <w:b w:val="0"/>
        </w:rPr>
        <w:t>according to the '</w:t>
      </w:r>
      <w:r w:rsidRPr="009B067C">
        <w:rPr>
          <w:b w:val="0"/>
        </w:rPr>
        <w:t>best pric</w:t>
      </w:r>
      <w:r>
        <w:rPr>
          <w:b w:val="0"/>
        </w:rPr>
        <w:t>e-quality ratio</w:t>
      </w:r>
      <w:r w:rsidR="00A11537">
        <w:rPr>
          <w:b w:val="0"/>
        </w:rPr>
        <w:t>' award method</w:t>
      </w:r>
      <w:r w:rsidRPr="009B067C">
        <w:rPr>
          <w:b w:val="0"/>
        </w:rPr>
        <w:t xml:space="preserve">. </w:t>
      </w:r>
      <w:r w:rsidR="00A13E52">
        <w:rPr>
          <w:b w:val="0"/>
        </w:rPr>
        <w:t xml:space="preserve">The quality of the tender will be evaluated based on the following criteria. The maximum total quality score is </w:t>
      </w:r>
      <w:r w:rsidR="00776FEF">
        <w:rPr>
          <w:b w:val="0"/>
        </w:rPr>
        <w:t xml:space="preserve">100 </w:t>
      </w:r>
      <w:r w:rsidR="00A13E52">
        <w:rPr>
          <w:b w:val="0"/>
        </w:rPr>
        <w:t xml:space="preserve">points. </w:t>
      </w:r>
    </w:p>
    <w:p w:rsidR="00A13E52" w:rsidRDefault="00A13E52" w:rsidP="00814823">
      <w:pPr>
        <w:pStyle w:val="Text1"/>
        <w:numPr>
          <w:ilvl w:val="0"/>
          <w:numId w:val="19"/>
        </w:numPr>
        <w:rPr>
          <w:b w:val="0"/>
        </w:rPr>
      </w:pPr>
      <w:r w:rsidRPr="00C46272">
        <w:t>Quality of the proposed methodology</w:t>
      </w:r>
      <w:r>
        <w:rPr>
          <w:b w:val="0"/>
        </w:rPr>
        <w:t xml:space="preserve"> (</w:t>
      </w:r>
      <w:r w:rsidR="007158EC" w:rsidRPr="00882B54">
        <w:rPr>
          <w:b w:val="0"/>
          <w:i/>
        </w:rPr>
        <w:t>50</w:t>
      </w:r>
      <w:r w:rsidR="00DF2946">
        <w:rPr>
          <w:b w:val="0"/>
        </w:rPr>
        <w:t xml:space="preserve"> </w:t>
      </w:r>
      <w:r>
        <w:rPr>
          <w:b w:val="0"/>
        </w:rPr>
        <w:t xml:space="preserve">points - – minimum </w:t>
      </w:r>
      <w:r w:rsidR="001B17F4">
        <w:rPr>
          <w:b w:val="0"/>
        </w:rPr>
        <w:t>score</w:t>
      </w:r>
      <w:r>
        <w:rPr>
          <w:b w:val="0"/>
        </w:rPr>
        <w:t xml:space="preserve"> 50%) </w:t>
      </w:r>
    </w:p>
    <w:p w:rsidR="00A13E52" w:rsidRDefault="00A13E52" w:rsidP="00814823">
      <w:pPr>
        <w:pStyle w:val="Text1"/>
        <w:numPr>
          <w:ilvl w:val="0"/>
          <w:numId w:val="19"/>
        </w:numPr>
        <w:rPr>
          <w:b w:val="0"/>
        </w:rPr>
      </w:pPr>
      <w:r w:rsidRPr="00C46272">
        <w:t>Organisation of the work</w:t>
      </w:r>
      <w:r w:rsidR="00A4203D">
        <w:t xml:space="preserve"> and resources</w:t>
      </w:r>
      <w:r>
        <w:t xml:space="preserve"> </w:t>
      </w:r>
      <w:r>
        <w:rPr>
          <w:b w:val="0"/>
        </w:rPr>
        <w:t>(</w:t>
      </w:r>
      <w:r w:rsidR="007158EC">
        <w:rPr>
          <w:b w:val="0"/>
          <w:i/>
        </w:rPr>
        <w:t>30</w:t>
      </w:r>
      <w:r w:rsidR="00DF2946">
        <w:rPr>
          <w:b w:val="0"/>
        </w:rPr>
        <w:t xml:space="preserve"> </w:t>
      </w:r>
      <w:r>
        <w:rPr>
          <w:b w:val="0"/>
        </w:rPr>
        <w:t xml:space="preserve">points – minimum </w:t>
      </w:r>
      <w:r w:rsidR="001B17F4">
        <w:rPr>
          <w:b w:val="0"/>
        </w:rPr>
        <w:t xml:space="preserve">score </w:t>
      </w:r>
      <w:r>
        <w:rPr>
          <w:b w:val="0"/>
        </w:rPr>
        <w:t>50%)</w:t>
      </w:r>
    </w:p>
    <w:p w:rsidR="00A13E52" w:rsidRDefault="00A13E52" w:rsidP="00A13E52">
      <w:pPr>
        <w:pStyle w:val="Text1"/>
        <w:rPr>
          <w:b w:val="0"/>
        </w:rPr>
      </w:pPr>
      <w:r>
        <w:rPr>
          <w:b w:val="0"/>
        </w:rPr>
        <w:t xml:space="preserve">This criterion will assess how the roles and responsibilities of the proposed team and of </w:t>
      </w:r>
      <w:r w:rsidR="00774BBE">
        <w:rPr>
          <w:b w:val="0"/>
        </w:rPr>
        <w:t xml:space="preserve">the different </w:t>
      </w:r>
      <w:r>
        <w:rPr>
          <w:b w:val="0"/>
        </w:rPr>
        <w:t xml:space="preserve">economic operators (in case of joint tenders, including subcontractors if applicable) are distributed for each task. It also assesses the global allocation of time and resources to the project and to each task or deliverable, and whether this allocation is adequate for the work. The tender should provide details on the allocation of time and </w:t>
      </w:r>
      <w:r w:rsidR="00774BBE">
        <w:rPr>
          <w:b w:val="0"/>
        </w:rPr>
        <w:t xml:space="preserve">human </w:t>
      </w:r>
      <w:r>
        <w:rPr>
          <w:b w:val="0"/>
        </w:rPr>
        <w:t xml:space="preserve">resources and the rationale behind the choice of this allocation. </w:t>
      </w:r>
      <w:r w:rsidR="00774BBE">
        <w:rPr>
          <w:b w:val="0"/>
        </w:rPr>
        <w:t xml:space="preserve">Details should be provided as part of the technical offer. It is not a budget requested as part of the financial offer. </w:t>
      </w:r>
    </w:p>
    <w:p w:rsidR="00A13E52" w:rsidRDefault="00A13E52" w:rsidP="00814823">
      <w:pPr>
        <w:pStyle w:val="Text1"/>
        <w:numPr>
          <w:ilvl w:val="0"/>
          <w:numId w:val="19"/>
        </w:numPr>
        <w:rPr>
          <w:b w:val="0"/>
        </w:rPr>
      </w:pPr>
      <w:r>
        <w:t>Q</w:t>
      </w:r>
      <w:r w:rsidRPr="007A1F08">
        <w:t>uality control</w:t>
      </w:r>
      <w:r>
        <w:t xml:space="preserve"> measures </w:t>
      </w:r>
      <w:r>
        <w:rPr>
          <w:b w:val="0"/>
        </w:rPr>
        <w:t>(</w:t>
      </w:r>
      <w:r w:rsidR="007158EC">
        <w:rPr>
          <w:b w:val="0"/>
          <w:i/>
        </w:rPr>
        <w:t>20</w:t>
      </w:r>
      <w:r w:rsidR="00DF2946">
        <w:rPr>
          <w:b w:val="0"/>
        </w:rPr>
        <w:t xml:space="preserve"> </w:t>
      </w:r>
      <w:r>
        <w:rPr>
          <w:b w:val="0"/>
        </w:rPr>
        <w:t xml:space="preserve">points – minimum </w:t>
      </w:r>
      <w:r w:rsidR="001B17F4">
        <w:rPr>
          <w:b w:val="0"/>
        </w:rPr>
        <w:t xml:space="preserve">score </w:t>
      </w:r>
      <w:r>
        <w:rPr>
          <w:b w:val="0"/>
        </w:rPr>
        <w:t>50%)</w:t>
      </w:r>
    </w:p>
    <w:p w:rsidR="008D7FB2" w:rsidRDefault="00A13E52" w:rsidP="00A13E52">
      <w:pPr>
        <w:pStyle w:val="Text1"/>
        <w:rPr>
          <w:b w:val="0"/>
        </w:rPr>
      </w:pPr>
      <w:r w:rsidRPr="007A1F08">
        <w:rPr>
          <w:b w:val="0"/>
        </w:rPr>
        <w:t xml:space="preserve">This </w:t>
      </w:r>
      <w:r>
        <w:rPr>
          <w:b w:val="0"/>
        </w:rPr>
        <w:t xml:space="preserve">criterion will assess </w:t>
      </w:r>
      <w:r w:rsidRPr="007A1F08">
        <w:rPr>
          <w:b w:val="0"/>
        </w:rPr>
        <w:t>the quality control system applied to the service foreseen in th</w:t>
      </w:r>
      <w:r>
        <w:rPr>
          <w:b w:val="0"/>
        </w:rPr>
        <w:t xml:space="preserve">is tender specification concerning the quality of the </w:t>
      </w:r>
      <w:r w:rsidRPr="007A1F08">
        <w:rPr>
          <w:b w:val="0"/>
        </w:rPr>
        <w:t xml:space="preserve">deliverables, </w:t>
      </w:r>
      <w:r>
        <w:rPr>
          <w:b w:val="0"/>
        </w:rPr>
        <w:t xml:space="preserve">the </w:t>
      </w:r>
      <w:r w:rsidRPr="007A1F08">
        <w:rPr>
          <w:b w:val="0"/>
        </w:rPr>
        <w:t>language quality</w:t>
      </w:r>
      <w:r>
        <w:rPr>
          <w:b w:val="0"/>
        </w:rPr>
        <w:t xml:space="preserve"> check, and continuity of the service in case of absence of the member of the team. The quality system should be detailed in the tender and specific to the tasks at hand; a generic quality system will result in a low score. </w:t>
      </w:r>
    </w:p>
    <w:p w:rsidR="00A13E52" w:rsidRDefault="00A13E52" w:rsidP="00A13E52">
      <w:pPr>
        <w:pStyle w:val="Text1"/>
        <w:rPr>
          <w:b w:val="0"/>
        </w:rPr>
      </w:pPr>
      <w:r>
        <w:rPr>
          <w:b w:val="0"/>
        </w:rPr>
        <w:t xml:space="preserve">Tenders must score </w:t>
      </w:r>
      <w:r w:rsidR="00401F73">
        <w:rPr>
          <w:b w:val="0"/>
        </w:rPr>
        <w:t xml:space="preserve">minimum </w:t>
      </w:r>
      <w:r w:rsidRPr="004C6BDE">
        <w:rPr>
          <w:b w:val="0"/>
        </w:rPr>
        <w:t>50</w:t>
      </w:r>
      <w:r>
        <w:rPr>
          <w:b w:val="0"/>
        </w:rPr>
        <w:t xml:space="preserve">% for each criterion and sub-criterion, and </w:t>
      </w:r>
      <w:r w:rsidR="00401F73">
        <w:rPr>
          <w:b w:val="0"/>
        </w:rPr>
        <w:t xml:space="preserve">minimum </w:t>
      </w:r>
      <w:r w:rsidR="00402601">
        <w:rPr>
          <w:b w:val="0"/>
          <w:i/>
        </w:rPr>
        <w:t>50</w:t>
      </w:r>
      <w:r w:rsidR="00DF2946">
        <w:rPr>
          <w:b w:val="0"/>
        </w:rPr>
        <w:t> </w:t>
      </w:r>
      <w:r>
        <w:rPr>
          <w:b w:val="0"/>
        </w:rPr>
        <w:t xml:space="preserve">% in total. Tenders that do not reach the minimum quality </w:t>
      </w:r>
      <w:r w:rsidR="0067724B">
        <w:rPr>
          <w:b w:val="0"/>
        </w:rPr>
        <w:t>levels</w:t>
      </w:r>
      <w:r>
        <w:rPr>
          <w:b w:val="0"/>
        </w:rPr>
        <w:t xml:space="preserve"> will be rejected and will not be ranked.</w:t>
      </w:r>
    </w:p>
    <w:p w:rsidR="008D7FB2" w:rsidRPr="008D7FB2" w:rsidRDefault="008D7FB2" w:rsidP="008D7FB2">
      <w:pPr>
        <w:pStyle w:val="Heading2"/>
      </w:pPr>
      <w:bookmarkStart w:id="36" w:name="_Toc440617350"/>
      <w:r w:rsidRPr="008D7FB2">
        <w:t>Ranking of tenders</w:t>
      </w:r>
      <w:bookmarkEnd w:id="36"/>
    </w:p>
    <w:p w:rsidR="00A13E52" w:rsidRDefault="00054F8D" w:rsidP="00A13E52">
      <w:pPr>
        <w:pStyle w:val="Text1"/>
        <w:rPr>
          <w:b w:val="0"/>
        </w:rPr>
      </w:pPr>
      <w:r>
        <w:rPr>
          <w:b w:val="0"/>
        </w:rPr>
        <w:t xml:space="preserve">The contract will be awarded to the most economically advantageous tender, i.e. the tender offering the best price-quality ratio determined in accordance with the </w:t>
      </w:r>
      <w:r w:rsidRPr="00FF703B">
        <w:rPr>
          <w:b w:val="0"/>
        </w:rPr>
        <w:t xml:space="preserve">formula below. </w:t>
      </w:r>
      <w:r w:rsidR="00401F73" w:rsidRPr="00FF703B">
        <w:rPr>
          <w:b w:val="0"/>
        </w:rPr>
        <w:t>No weighting</w:t>
      </w:r>
      <w:r w:rsidR="007158EC" w:rsidRPr="00FF703B">
        <w:rPr>
          <w:b w:val="0"/>
        </w:rPr>
        <w:t xml:space="preserve"> </w:t>
      </w:r>
      <w:r w:rsidR="00A13E52" w:rsidRPr="00FF703B">
        <w:rPr>
          <w:b w:val="0"/>
        </w:rPr>
        <w:t>is given to quality and price.</w:t>
      </w:r>
      <w:r w:rsidR="00A13E52">
        <w:rPr>
          <w:b w:val="0"/>
        </w:rPr>
        <w:t xml:space="preserve"> </w:t>
      </w:r>
    </w:p>
    <w:p w:rsidR="007A2726" w:rsidRDefault="007A2726" w:rsidP="00A13E52">
      <w:pPr>
        <w:pStyle w:val="Text1"/>
        <w:rPr>
          <w:b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0"/>
        <w:gridCol w:w="1609"/>
        <w:gridCol w:w="280"/>
        <w:gridCol w:w="4383"/>
      </w:tblGrid>
      <w:tr w:rsidR="00624449" w:rsidRPr="0039570D" w:rsidTr="00624449">
        <w:trPr>
          <w:jc w:val="center"/>
        </w:trPr>
        <w:tc>
          <w:tcPr>
            <w:tcW w:w="1548" w:type="dxa"/>
            <w:shd w:val="clear" w:color="auto" w:fill="auto"/>
            <w:vAlign w:val="center"/>
          </w:tcPr>
          <w:p w:rsidR="00624449" w:rsidRPr="0039570D" w:rsidRDefault="00624449" w:rsidP="006E4822">
            <w:pPr>
              <w:jc w:val="center"/>
              <w:rPr>
                <w:rFonts w:ascii="Arial Narrow" w:hAnsi="Arial Narrow"/>
                <w:sz w:val="20"/>
                <w:szCs w:val="20"/>
              </w:rPr>
            </w:pPr>
            <w:r w:rsidRPr="0039570D">
              <w:rPr>
                <w:rFonts w:ascii="Arial Narrow" w:hAnsi="Arial Narrow"/>
                <w:sz w:val="20"/>
                <w:szCs w:val="20"/>
              </w:rPr>
              <w:t>Score for tender X</w:t>
            </w:r>
          </w:p>
        </w:tc>
        <w:tc>
          <w:tcPr>
            <w:tcW w:w="360" w:type="dxa"/>
            <w:shd w:val="clear" w:color="auto" w:fill="auto"/>
            <w:vAlign w:val="center"/>
          </w:tcPr>
          <w:p w:rsidR="00624449" w:rsidRPr="0039570D" w:rsidRDefault="00624449" w:rsidP="006E4822">
            <w:pPr>
              <w:jc w:val="center"/>
              <w:rPr>
                <w:rFonts w:ascii="Arial Narrow" w:hAnsi="Arial Narrow"/>
                <w:sz w:val="20"/>
                <w:szCs w:val="20"/>
              </w:rPr>
            </w:pPr>
            <w:r w:rsidRPr="0039570D">
              <w:rPr>
                <w:rFonts w:ascii="Arial Narrow" w:hAnsi="Arial Narrow"/>
                <w:sz w:val="20"/>
                <w:szCs w:val="20"/>
              </w:rPr>
              <w:t>=</w:t>
            </w:r>
          </w:p>
        </w:tc>
        <w:tc>
          <w:tcPr>
            <w:tcW w:w="1609" w:type="dxa"/>
            <w:shd w:val="clear" w:color="auto" w:fill="auto"/>
            <w:vAlign w:val="center"/>
          </w:tcPr>
          <w:p w:rsidR="00624449" w:rsidRPr="0039570D" w:rsidRDefault="00624449" w:rsidP="006E4822">
            <w:pPr>
              <w:pBdr>
                <w:bottom w:val="single" w:sz="12" w:space="1" w:color="auto"/>
              </w:pBdr>
              <w:jc w:val="center"/>
              <w:rPr>
                <w:rFonts w:ascii="Arial Narrow" w:hAnsi="Arial Narrow"/>
                <w:sz w:val="20"/>
                <w:szCs w:val="20"/>
              </w:rPr>
            </w:pPr>
            <w:r w:rsidRPr="0039570D">
              <w:rPr>
                <w:rFonts w:ascii="Arial Narrow" w:hAnsi="Arial Narrow"/>
                <w:sz w:val="20"/>
                <w:szCs w:val="20"/>
              </w:rPr>
              <w:t>cheapest price</w:t>
            </w:r>
          </w:p>
          <w:p w:rsidR="00624449" w:rsidRPr="0039570D" w:rsidRDefault="00624449" w:rsidP="006E4822">
            <w:pPr>
              <w:jc w:val="center"/>
              <w:rPr>
                <w:rFonts w:ascii="Arial Narrow" w:hAnsi="Arial Narrow"/>
                <w:sz w:val="20"/>
                <w:szCs w:val="20"/>
              </w:rPr>
            </w:pPr>
            <w:r w:rsidRPr="0039570D">
              <w:rPr>
                <w:rFonts w:ascii="Arial Narrow" w:hAnsi="Arial Narrow"/>
                <w:sz w:val="20"/>
                <w:szCs w:val="20"/>
              </w:rPr>
              <w:t>price of tender X</w:t>
            </w:r>
          </w:p>
        </w:tc>
        <w:tc>
          <w:tcPr>
            <w:tcW w:w="280" w:type="dxa"/>
            <w:shd w:val="clear" w:color="auto" w:fill="auto"/>
            <w:vAlign w:val="center"/>
          </w:tcPr>
          <w:p w:rsidR="00624449" w:rsidRPr="0039570D" w:rsidRDefault="00624449" w:rsidP="006E4822">
            <w:pPr>
              <w:jc w:val="center"/>
              <w:rPr>
                <w:rFonts w:ascii="Arial Narrow" w:hAnsi="Arial Narrow"/>
                <w:sz w:val="20"/>
                <w:szCs w:val="20"/>
              </w:rPr>
            </w:pPr>
            <w:r w:rsidRPr="0039570D">
              <w:rPr>
                <w:rFonts w:ascii="Arial Narrow" w:hAnsi="Arial Narrow"/>
                <w:sz w:val="20"/>
                <w:szCs w:val="20"/>
              </w:rPr>
              <w:t>*</w:t>
            </w:r>
          </w:p>
        </w:tc>
        <w:tc>
          <w:tcPr>
            <w:tcW w:w="4383" w:type="dxa"/>
            <w:shd w:val="clear" w:color="auto" w:fill="auto"/>
            <w:vAlign w:val="center"/>
          </w:tcPr>
          <w:p w:rsidR="00624449" w:rsidRPr="0039570D" w:rsidRDefault="00624449" w:rsidP="006E4822">
            <w:pPr>
              <w:jc w:val="center"/>
              <w:rPr>
                <w:rFonts w:ascii="Arial Narrow" w:hAnsi="Arial Narrow"/>
                <w:sz w:val="20"/>
                <w:szCs w:val="20"/>
              </w:rPr>
            </w:pPr>
            <w:r w:rsidRPr="0039570D">
              <w:rPr>
                <w:rFonts w:ascii="Arial Narrow" w:hAnsi="Arial Narrow"/>
                <w:sz w:val="20"/>
                <w:szCs w:val="20"/>
              </w:rPr>
              <w:t>total quality score (out of 100) for all criteria of tender X</w:t>
            </w:r>
          </w:p>
        </w:tc>
      </w:tr>
    </w:tbl>
    <w:p w:rsidR="00624449" w:rsidRDefault="00624449" w:rsidP="00A13E52">
      <w:pPr>
        <w:pStyle w:val="Text1"/>
        <w:rPr>
          <w:b w:val="0"/>
        </w:rPr>
      </w:pPr>
    </w:p>
    <w:p w:rsidR="0067724B" w:rsidRDefault="0067724B" w:rsidP="00A13E52">
      <w:pPr>
        <w:pStyle w:val="Text1"/>
        <w:rPr>
          <w:b w:val="0"/>
        </w:rPr>
      </w:pPr>
    </w:p>
    <w:p w:rsidR="0067724B" w:rsidRDefault="0067724B" w:rsidP="00A13E52">
      <w:pPr>
        <w:pStyle w:val="Text1"/>
        <w:rPr>
          <w:b w:val="0"/>
        </w:rPr>
      </w:pPr>
    </w:p>
    <w:p w:rsidR="004C4378" w:rsidRDefault="009D5163" w:rsidP="006E4822">
      <w:pPr>
        <w:spacing w:after="120"/>
        <w:rPr>
          <w:b/>
          <w:i/>
          <w:color w:val="0070C0"/>
        </w:rPr>
      </w:pPr>
      <w:r>
        <w:rPr>
          <w:b/>
        </w:rPr>
        <w:t>The tender ranked first after applying the formula will be awarded the contract</w:t>
      </w:r>
      <w:r w:rsidR="002B50BB">
        <w:rPr>
          <w:b/>
        </w:rPr>
        <w:t xml:space="preserve">. </w:t>
      </w:r>
    </w:p>
    <w:p w:rsidR="00C23246" w:rsidRPr="00431653" w:rsidRDefault="00C23246" w:rsidP="00C23246">
      <w:pPr>
        <w:pStyle w:val="Heading2"/>
        <w:numPr>
          <w:ilvl w:val="0"/>
          <w:numId w:val="0"/>
        </w:numPr>
        <w:rPr>
          <w:u w:val="none"/>
        </w:rPr>
      </w:pPr>
      <w:r>
        <w:rPr>
          <w:b w:val="0"/>
          <w:i/>
          <w:color w:val="0070C0"/>
        </w:rPr>
        <w:br w:type="page"/>
      </w:r>
      <w:bookmarkStart w:id="37" w:name="_Toc80004575"/>
      <w:r w:rsidRPr="00B72EBE">
        <w:rPr>
          <w:u w:val="none"/>
        </w:rPr>
        <w:t xml:space="preserve">Annex </w:t>
      </w:r>
      <w:r w:rsidRPr="00431653">
        <w:rPr>
          <w:u w:val="none"/>
        </w:rPr>
        <w:t>Preliminary Analysis: Implications of Carbon Border Adjustment Mechanism (CBAM) for DG NEAR countries of operation</w:t>
      </w:r>
      <w:bookmarkEnd w:id="37"/>
    </w:p>
    <w:p w:rsidR="00C23246" w:rsidRPr="00243F6F" w:rsidRDefault="00C23246" w:rsidP="00C23246">
      <w:pPr>
        <w:rPr>
          <w:noProof/>
        </w:rPr>
      </w:pPr>
      <w:r w:rsidRPr="00243F6F">
        <w:rPr>
          <w:noProof/>
        </w:rPr>
        <w:t xml:space="preserve">In practical terms, the CBAM would mostly impact those economies that currently export meaningful quantities of carbon-intensive goods, notably </w:t>
      </w:r>
      <w:r w:rsidRPr="00243F6F">
        <w:rPr>
          <w:b/>
          <w:bCs/>
          <w:noProof/>
        </w:rPr>
        <w:t>steel, aluminium, cement, fertilisers and polymers</w:t>
      </w:r>
      <w:r w:rsidRPr="00243F6F">
        <w:rPr>
          <w:noProof/>
        </w:rPr>
        <w:t xml:space="preserve">. </w:t>
      </w:r>
      <w:r w:rsidRPr="00243F6F">
        <w:rPr>
          <w:b/>
          <w:bCs/>
          <w:noProof/>
        </w:rPr>
        <w:t xml:space="preserve">Electricity </w:t>
      </w:r>
      <w:r w:rsidRPr="00243F6F">
        <w:rPr>
          <w:noProof/>
        </w:rPr>
        <w:t xml:space="preserve">exporters could also be impacted. In a second step, additional products could be considered, such as basic organic chemicals and refinery products. </w:t>
      </w:r>
    </w:p>
    <w:p w:rsidR="00C23246" w:rsidRPr="00243F6F" w:rsidRDefault="00C23246" w:rsidP="00C23246">
      <w:pPr>
        <w:rPr>
          <w:noProof/>
        </w:rPr>
      </w:pPr>
      <w:r w:rsidRPr="00243F6F">
        <w:rPr>
          <w:noProof/>
        </w:rPr>
        <w:t xml:space="preserve">The EU imports a high percentage of its </w:t>
      </w:r>
      <w:r w:rsidRPr="00243F6F">
        <w:rPr>
          <w:b/>
          <w:bCs/>
          <w:noProof/>
        </w:rPr>
        <w:t xml:space="preserve">steel </w:t>
      </w:r>
      <w:r w:rsidRPr="00243F6F">
        <w:rPr>
          <w:noProof/>
        </w:rPr>
        <w:t xml:space="preserve">needs, with Turkey (21%), Russia (20%) and Ukraine (13%) being amongst the top 10 exporters in 2019. Serbia (3%) and Belarus also exported steel to the EU (2%), though their exports are declining over time. </w:t>
      </w:r>
    </w:p>
    <w:p w:rsidR="00C23246" w:rsidRPr="00243F6F" w:rsidRDefault="00C23246" w:rsidP="00C23246">
      <w:pPr>
        <w:rPr>
          <w:noProof/>
        </w:rPr>
      </w:pPr>
      <w:r w:rsidRPr="4261EFBF">
        <w:rPr>
          <w:noProof/>
        </w:rPr>
        <w:t>In addition to the value of exports to the EU, the degree to which countries may be affected by the CBAM depends on the relative importance of the affected sector in the total exports of the country</w:t>
      </w:r>
      <w:r>
        <w:rPr>
          <w:noProof/>
        </w:rPr>
        <w:t xml:space="preserve"> or territory</w:t>
      </w:r>
      <w:r w:rsidRPr="4261EFBF">
        <w:rPr>
          <w:noProof/>
        </w:rPr>
        <w:t xml:space="preserve">, as well as the socio-economic importance of the sector in the local economy. </w:t>
      </w:r>
      <w:r w:rsidRPr="00243F6F">
        <w:rPr>
          <w:noProof/>
        </w:rPr>
        <w:t xml:space="preserve">Amongst the </w:t>
      </w:r>
      <w:r w:rsidRPr="00243F6F">
        <w:rPr>
          <w:b/>
          <w:bCs/>
          <w:noProof/>
        </w:rPr>
        <w:t>Eastern Partnership countries</w:t>
      </w:r>
      <w:r w:rsidRPr="00243F6F">
        <w:rPr>
          <w:noProof/>
        </w:rPr>
        <w:t xml:space="preserve">, </w:t>
      </w:r>
      <w:r w:rsidRPr="00243F6F">
        <w:rPr>
          <w:b/>
          <w:bCs/>
          <w:noProof/>
        </w:rPr>
        <w:t xml:space="preserve">Armenia </w:t>
      </w:r>
      <w:r w:rsidRPr="00243F6F">
        <w:rPr>
          <w:noProof/>
        </w:rPr>
        <w:t xml:space="preserve">(steel and aluminium) and </w:t>
      </w:r>
      <w:r w:rsidRPr="00243F6F">
        <w:rPr>
          <w:b/>
          <w:bCs/>
          <w:noProof/>
        </w:rPr>
        <w:t xml:space="preserve">Ukraine </w:t>
      </w:r>
      <w:r w:rsidRPr="00243F6F">
        <w:rPr>
          <w:noProof/>
        </w:rPr>
        <w:t xml:space="preserve">(steel) could be particularly affected by the CBAM, with 35.7% and 21.5% of their respective total trade with the EU coming from sectors that would be covered by CBAM. </w:t>
      </w:r>
    </w:p>
    <w:p w:rsidR="00C23246" w:rsidRPr="00561B4A" w:rsidRDefault="00C23246" w:rsidP="00C23246">
      <w:pPr>
        <w:rPr>
          <w:rFonts w:eastAsia="Calibri"/>
          <w:noProof/>
          <w:lang w:val="en-US"/>
        </w:rPr>
      </w:pPr>
      <w:r w:rsidRPr="00561B4A">
        <w:rPr>
          <w:noProof/>
        </w:rPr>
        <w:t xml:space="preserve">For the </w:t>
      </w:r>
      <w:r w:rsidRPr="00561B4A">
        <w:rPr>
          <w:b/>
          <w:bCs/>
          <w:noProof/>
        </w:rPr>
        <w:t>Southern Neighbourhood</w:t>
      </w:r>
      <w:r w:rsidRPr="00561B4A">
        <w:rPr>
          <w:noProof/>
        </w:rPr>
        <w:t>, export shares to</w:t>
      </w:r>
      <w:r>
        <w:rPr>
          <w:noProof/>
        </w:rPr>
        <w:t xml:space="preserve"> the EU vary significantly across countries and territories</w:t>
      </w:r>
      <w:r w:rsidRPr="00561B4A">
        <w:rPr>
          <w:noProof/>
        </w:rPr>
        <w:t xml:space="preserve">. </w:t>
      </w:r>
      <w:r w:rsidRPr="00561B4A">
        <w:rPr>
          <w:b/>
          <w:bCs/>
          <w:noProof/>
        </w:rPr>
        <w:t xml:space="preserve">Jordan </w:t>
      </w:r>
      <w:r w:rsidRPr="00561B4A">
        <w:rPr>
          <w:noProof/>
        </w:rPr>
        <w:t>could potentially be negatively affected, with almost 11% of its total exports to the EU in the fertilisers sector. 20% of EU fertiliser imports originate from Algeria and 21% from Egypt. F</w:t>
      </w:r>
      <w:r w:rsidRPr="00561B4A">
        <w:rPr>
          <w:rFonts w:eastAsia="Calibri"/>
          <w:noProof/>
          <w:lang w:val="en-US"/>
        </w:rPr>
        <w:t xml:space="preserve">or cement, EU imports from Algeria stand at 6%, Morocco 5% and Tunisia 3% of the EU total. </w:t>
      </w:r>
    </w:p>
    <w:p w:rsidR="00C23246" w:rsidRPr="00243F6F" w:rsidRDefault="00C23246" w:rsidP="00C23246">
      <w:pPr>
        <w:rPr>
          <w:noProof/>
        </w:rPr>
      </w:pPr>
      <w:r w:rsidRPr="00243F6F">
        <w:rPr>
          <w:noProof/>
        </w:rPr>
        <w:t xml:space="preserve">When it comes to the </w:t>
      </w:r>
      <w:r w:rsidRPr="00243F6F">
        <w:rPr>
          <w:b/>
          <w:bCs/>
          <w:noProof/>
        </w:rPr>
        <w:t>Western Balkans</w:t>
      </w:r>
      <w:r w:rsidRPr="00243F6F">
        <w:rPr>
          <w:noProof/>
        </w:rPr>
        <w:t xml:space="preserve">, exports to the EU constitute almost 70% for all of the Western Balkans total trade. In 2019, the EU's main imports from the Western Balkans were machinery and appliances (23.1%), base metals (12.6%), and chemicals (10.1%). Trade in steel and iron declined by 7.6% in 2019 compared to 2018, and constitutes 4.8% of the total value of exports to the EU from the Western Balkans economies6. </w:t>
      </w:r>
      <w:r w:rsidRPr="00243F6F">
        <w:rPr>
          <w:b/>
          <w:bCs/>
          <w:noProof/>
        </w:rPr>
        <w:t xml:space="preserve">Serbia </w:t>
      </w:r>
      <w:r w:rsidRPr="00243F6F">
        <w:rPr>
          <w:noProof/>
        </w:rPr>
        <w:t xml:space="preserve">could be affected, in particular in its steel sector, while </w:t>
      </w:r>
      <w:r w:rsidRPr="00243F6F">
        <w:rPr>
          <w:b/>
          <w:bCs/>
          <w:noProof/>
        </w:rPr>
        <w:t xml:space="preserve">Montenegro </w:t>
      </w:r>
      <w:r w:rsidRPr="00243F6F">
        <w:rPr>
          <w:noProof/>
        </w:rPr>
        <w:t xml:space="preserve">would be the most exposed economy in the region, with almost 60% of its exports (notably aluminium, electricity and steel) to the EU potentially affected. </w:t>
      </w:r>
    </w:p>
    <w:p w:rsidR="00C23246" w:rsidRPr="00243F6F" w:rsidRDefault="00C23246" w:rsidP="00C23246">
      <w:pPr>
        <w:rPr>
          <w:noProof/>
        </w:rPr>
      </w:pPr>
      <w:r w:rsidRPr="00243F6F">
        <w:rPr>
          <w:b/>
          <w:bCs/>
          <w:noProof/>
        </w:rPr>
        <w:t xml:space="preserve">Turkey </w:t>
      </w:r>
      <w:r w:rsidRPr="00243F6F">
        <w:rPr>
          <w:noProof/>
        </w:rPr>
        <w:t xml:space="preserve">is not likely to be severely impacted by the application of the CBAM: even if the EU relies on Turkey for a significant part of its steel imports, the steel sector plays a small role in the overall exports of the country (4.7%). Overall, the </w:t>
      </w:r>
      <w:r w:rsidRPr="00243F6F">
        <w:rPr>
          <w:b/>
          <w:bCs/>
          <w:noProof/>
        </w:rPr>
        <w:t xml:space="preserve">countries which would suffer the biggest cumulative impact </w:t>
      </w:r>
      <w:r w:rsidRPr="00243F6F">
        <w:rPr>
          <w:noProof/>
        </w:rPr>
        <w:t>if the above-mentioned sectors are included are:</w:t>
      </w:r>
    </w:p>
    <w:p w:rsidR="00814823" w:rsidRPr="00014490" w:rsidRDefault="004E2CB6" w:rsidP="00014490">
      <w:pPr>
        <w:rPr>
          <w:noProof/>
        </w:rPr>
      </w:pPr>
      <w:r>
        <w:rPr>
          <w:noProof/>
        </w:rPr>
        <w:drawing>
          <wp:inline distT="0" distB="0" distL="0" distR="0" wp14:anchorId="1055C1DC">
            <wp:extent cx="5762625"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2625" cy="1447800"/>
                    </a:xfrm>
                    <a:prstGeom prst="rect">
                      <a:avLst/>
                    </a:prstGeom>
                    <a:noFill/>
                    <a:ln>
                      <a:noFill/>
                    </a:ln>
                  </pic:spPr>
                </pic:pic>
              </a:graphicData>
            </a:graphic>
          </wp:inline>
        </w:drawing>
      </w:r>
    </w:p>
    <w:p w:rsidR="00C23246" w:rsidRPr="00D216A1" w:rsidRDefault="00C23246" w:rsidP="00814823"/>
    <w:sectPr w:rsidR="00C23246" w:rsidRPr="00D216A1" w:rsidSect="00624449">
      <w:pgSz w:w="11906" w:h="16838" w:code="9"/>
      <w:pgMar w:top="1247" w:right="1418" w:bottom="1247" w:left="1418"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D0D" w:rsidRDefault="00D15D0D">
      <w:r>
        <w:separator/>
      </w:r>
    </w:p>
    <w:p w:rsidR="00D15D0D" w:rsidRDefault="00D15D0D"/>
  </w:endnote>
  <w:endnote w:type="continuationSeparator" w:id="0">
    <w:p w:rsidR="00D15D0D" w:rsidRDefault="00D15D0D">
      <w:r>
        <w:continuationSeparator/>
      </w:r>
    </w:p>
    <w:p w:rsidR="00D15D0D" w:rsidRDefault="00D15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B96" w:rsidRDefault="00765B96" w:rsidP="005A5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5B96" w:rsidRDefault="00765B96" w:rsidP="00EA64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B96" w:rsidRDefault="00765B96" w:rsidP="005A5E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59A1">
      <w:rPr>
        <w:rStyle w:val="PageNumber"/>
        <w:noProof/>
      </w:rPr>
      <w:t>1</w:t>
    </w:r>
    <w:r>
      <w:rPr>
        <w:rStyle w:val="PageNumber"/>
      </w:rPr>
      <w:fldChar w:fldCharType="end"/>
    </w:r>
  </w:p>
  <w:p w:rsidR="00765B96" w:rsidRDefault="00765B96" w:rsidP="00EA64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B96" w:rsidRPr="00841568" w:rsidRDefault="00765B96" w:rsidP="00841568">
    <w:pPr>
      <w:pStyle w:val="Footer"/>
      <w:jc w:val="center"/>
      <w:rPr>
        <w:rFonts w:ascii="Times New Roman" w:hAnsi="Times New Roman"/>
        <w:sz w:val="20"/>
      </w:rPr>
    </w:pPr>
    <w:r w:rsidRPr="00841568">
      <w:rPr>
        <w:rFonts w:ascii="Times New Roman" w:hAnsi="Times New Roman"/>
        <w:sz w:val="20"/>
      </w:rPr>
      <w:fldChar w:fldCharType="begin"/>
    </w:r>
    <w:r w:rsidRPr="00841568">
      <w:rPr>
        <w:rFonts w:ascii="Times New Roman" w:hAnsi="Times New Roman"/>
        <w:sz w:val="20"/>
      </w:rPr>
      <w:instrText xml:space="preserve"> PAGE   \* MERGEFORMAT </w:instrText>
    </w:r>
    <w:r w:rsidRPr="00841568">
      <w:rPr>
        <w:rFonts w:ascii="Times New Roman" w:hAnsi="Times New Roman"/>
        <w:sz w:val="20"/>
      </w:rPr>
      <w:fldChar w:fldCharType="separate"/>
    </w:r>
    <w:r w:rsidR="001259A1" w:rsidRPr="001259A1">
      <w:rPr>
        <w:noProof/>
        <w:sz w:val="20"/>
      </w:rPr>
      <w:t>19</w:t>
    </w:r>
    <w:r w:rsidRPr="00841568">
      <w:rPr>
        <w:rFonts w:ascii="Times New Roman" w:hAnsi="Times New Roman"/>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B96" w:rsidRDefault="00765B96">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D0D" w:rsidRDefault="00D15D0D">
      <w:r>
        <w:separator/>
      </w:r>
    </w:p>
  </w:footnote>
  <w:footnote w:type="continuationSeparator" w:id="0">
    <w:p w:rsidR="00D15D0D" w:rsidRDefault="00D15D0D">
      <w:r>
        <w:continuationSeparator/>
      </w:r>
    </w:p>
  </w:footnote>
  <w:footnote w:type="continuationNotice" w:id="1">
    <w:p w:rsidR="00D15D0D" w:rsidRDefault="00D15D0D">
      <w:pPr>
        <w:spacing w:before="0" w:after="0"/>
      </w:pPr>
    </w:p>
  </w:footnote>
  <w:footnote w:id="2">
    <w:p w:rsidR="00765B96" w:rsidRPr="00132286" w:rsidRDefault="00765B96" w:rsidP="002613D9">
      <w:pPr>
        <w:pStyle w:val="FootnoteText"/>
        <w:spacing w:before="0" w:beforeAutospacing="0" w:after="0" w:afterAutospacing="0"/>
        <w:ind w:left="0" w:firstLine="0"/>
        <w:rPr>
          <w:sz w:val="16"/>
          <w:szCs w:val="16"/>
        </w:rPr>
      </w:pPr>
      <w:r w:rsidRPr="00132286">
        <w:rPr>
          <w:rStyle w:val="FootnoteReference"/>
          <w:sz w:val="16"/>
          <w:szCs w:val="16"/>
        </w:rPr>
        <w:footnoteRef/>
      </w:r>
      <w:r w:rsidRPr="00132286">
        <w:rPr>
          <w:sz w:val="16"/>
          <w:szCs w:val="16"/>
        </w:rPr>
        <w:t xml:space="preserve">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of 30.07.2018, p.1).</w:t>
      </w:r>
    </w:p>
  </w:footnote>
  <w:footnote w:id="3">
    <w:p w:rsidR="00765B96" w:rsidRPr="00D34300" w:rsidRDefault="00765B96" w:rsidP="005C00E3">
      <w:pPr>
        <w:pStyle w:val="FootnoteText"/>
        <w:rPr>
          <w:lang w:val="en-US"/>
        </w:rPr>
      </w:pPr>
      <w:r>
        <w:rPr>
          <w:rStyle w:val="FootnoteReference"/>
        </w:rPr>
        <w:footnoteRef/>
      </w:r>
      <w:r>
        <w:t xml:space="preserve"> See </w:t>
      </w:r>
      <w:hyperlink r:id="rId1" w:history="1">
        <w:r w:rsidRPr="0097414D">
          <w:rPr>
            <w:rStyle w:val="Hyperlink"/>
          </w:rPr>
          <w:t>http://www.wto.org/english/tratop_E/gproc_e/gp_gpa_e.htm</w:t>
        </w:r>
      </w:hyperlink>
    </w:p>
  </w:footnote>
  <w:footnote w:id="4">
    <w:p w:rsidR="00765B96" w:rsidRPr="00841568" w:rsidRDefault="00765B96" w:rsidP="003626B1">
      <w:pPr>
        <w:pStyle w:val="FootnoteText"/>
      </w:pPr>
      <w:r>
        <w:rPr>
          <w:rStyle w:val="FootnoteReference"/>
        </w:rPr>
        <w:footnoteRef/>
      </w:r>
      <w:r>
        <w:t xml:space="preserve"> </w:t>
      </w:r>
      <w:r>
        <w:tab/>
      </w:r>
      <w:r w:rsidRPr="00841568">
        <w:rPr>
          <w:szCs w:val="19"/>
        </w:rPr>
        <w:t>Directive 2014/24/EU of the European Parliament and of the Council of 26 February 2014 on public procurement and repealing Directive 2004/18/EC (OJ L 94, 28.3.2014, p. 65).</w:t>
      </w:r>
    </w:p>
  </w:footnote>
  <w:footnote w:id="5">
    <w:p w:rsidR="00765B96" w:rsidRPr="00D7769A" w:rsidRDefault="00765B96" w:rsidP="002613D9">
      <w:pPr>
        <w:pStyle w:val="FootnoteText"/>
        <w:rPr>
          <w:lang w:val="en-US"/>
        </w:rPr>
      </w:pPr>
      <w:r w:rsidRPr="00B96F86">
        <w:rPr>
          <w:rStyle w:val="FootnoteReference"/>
        </w:rPr>
        <w:footnoteRef/>
      </w:r>
      <w:r w:rsidRPr="00D7769A">
        <w:rPr>
          <w:lang w:val="en-US"/>
        </w:rPr>
        <w:t xml:space="preserve"> Carbon Border Adjustment Mechanism Factsheet: </w:t>
      </w:r>
      <w:hyperlink r:id="rId2" w:history="1">
        <w:r w:rsidRPr="00D7769A">
          <w:rPr>
            <w:rStyle w:val="Hyperlink"/>
            <w:lang w:val="en-US"/>
          </w:rPr>
          <w:t>https://ec.europa.eu/commission/presscorner/detail/en/fs_21_3666</w:t>
        </w:r>
      </w:hyperlink>
      <w:r w:rsidRPr="00D7769A">
        <w:rPr>
          <w:lang w:val="en-US"/>
        </w:rPr>
        <w:t xml:space="preserve"> </w:t>
      </w:r>
    </w:p>
  </w:footnote>
  <w:footnote w:id="6">
    <w:p w:rsidR="00765B96" w:rsidRPr="00D7769A" w:rsidRDefault="00765B96" w:rsidP="002613D9">
      <w:pPr>
        <w:pStyle w:val="FootnoteText"/>
        <w:rPr>
          <w:lang w:val="en-US"/>
        </w:rPr>
      </w:pPr>
      <w:r>
        <w:rPr>
          <w:rStyle w:val="FootnoteReference"/>
        </w:rPr>
        <w:footnoteRef/>
      </w:r>
      <w:r w:rsidRPr="00D7769A">
        <w:rPr>
          <w:lang w:val="en-US"/>
        </w:rPr>
        <w:t xml:space="preserve"> COM(2021) 564 final, </w:t>
      </w:r>
      <w:hyperlink r:id="rId3" w:history="1">
        <w:r w:rsidRPr="00D7769A">
          <w:rPr>
            <w:rStyle w:val="Hyperlink"/>
            <w:lang w:val="en-US"/>
          </w:rPr>
          <w:t>https://ec.europa.eu/info/sites/default/files/carbon_border_adjustment_mechanism_0.pdf</w:t>
        </w:r>
      </w:hyperlink>
      <w:r w:rsidRPr="00D7769A">
        <w:rPr>
          <w:lang w:val="en-US"/>
        </w:rPr>
        <w:t xml:space="preserve"> </w:t>
      </w:r>
    </w:p>
  </w:footnote>
  <w:footnote w:id="7">
    <w:p w:rsidR="00765B96" w:rsidRPr="003A4FEA" w:rsidRDefault="00765B96" w:rsidP="002613D9">
      <w:pPr>
        <w:pStyle w:val="FootnoteText"/>
        <w:rPr>
          <w:lang w:val="it-IT"/>
        </w:rPr>
      </w:pPr>
      <w:r w:rsidRPr="003A4FEA">
        <w:rPr>
          <w:rStyle w:val="FootnoteReference"/>
        </w:rPr>
        <w:footnoteRef/>
      </w:r>
      <w:r w:rsidRPr="003A4FEA">
        <w:rPr>
          <w:lang w:val="it-IT"/>
        </w:rPr>
        <w:t xml:space="preserve"> Albania, Montenegro, North Macedonia, Serbia, Bosnia and Herzegovina, Kosovo*</w:t>
      </w:r>
    </w:p>
  </w:footnote>
  <w:footnote w:id="8">
    <w:p w:rsidR="00765B96" w:rsidRPr="003A4FEA" w:rsidRDefault="00765B96" w:rsidP="002613D9">
      <w:pPr>
        <w:pStyle w:val="FootnoteText"/>
        <w:rPr>
          <w:lang w:val="it-IT"/>
        </w:rPr>
      </w:pPr>
      <w:r w:rsidRPr="003A4FEA">
        <w:rPr>
          <w:rStyle w:val="FootnoteReference"/>
        </w:rPr>
        <w:footnoteRef/>
      </w:r>
      <w:r w:rsidRPr="003A4FEA">
        <w:rPr>
          <w:lang w:val="it-IT"/>
        </w:rPr>
        <w:t xml:space="preserve"> Algeria, Armenia, Azerbaijan, Belarus, Egypt, Georgia, Israel, Jordan, Lebanon, Libya, Moldova, Morocco, Palestine**, Syria, Tunisia, Ukraine</w:t>
      </w:r>
    </w:p>
    <w:p w:rsidR="00765B96" w:rsidRPr="007F51DB" w:rsidRDefault="00765B96" w:rsidP="002613D9">
      <w:pPr>
        <w:pStyle w:val="FootnoteText"/>
      </w:pPr>
      <w:r w:rsidRPr="007F51DB">
        <w:t xml:space="preserve">* </w:t>
      </w:r>
      <w:r w:rsidRPr="007F51DB">
        <w:tab/>
        <w:t>This designation is without prejudice to positions on status, and is in line with UNSCR 1244/1999 and the ICJ Opinion on the Kosovo Declaration of Independence.</w:t>
      </w:r>
    </w:p>
    <w:p w:rsidR="00765B96" w:rsidRPr="0061147C" w:rsidRDefault="00765B96" w:rsidP="002613D9">
      <w:pPr>
        <w:pStyle w:val="FootnoteText"/>
      </w:pPr>
      <w:r w:rsidRPr="007F51DB">
        <w:t>**</w:t>
      </w:r>
      <w:r w:rsidRPr="007F51DB">
        <w:rPr>
          <w:lang w:val="en-IE"/>
        </w:rPr>
        <w:t xml:space="preserve"> </w:t>
      </w:r>
      <w:r w:rsidRPr="007F51DB">
        <w:rPr>
          <w:lang w:val="en-IE"/>
        </w:rPr>
        <w:tab/>
        <w:t>This designation shall not be construed as recognition of a State of Palestine and is without prejudice to the individuals positions of the Member States on this issue.</w:t>
      </w:r>
    </w:p>
  </w:footnote>
  <w:footnote w:id="9">
    <w:p w:rsidR="00765B96" w:rsidRDefault="00765B96" w:rsidP="002613D9">
      <w:pPr>
        <w:pStyle w:val="FootnoteText"/>
      </w:pPr>
      <w:r w:rsidRPr="00E912D8">
        <w:rPr>
          <w:rStyle w:val="FootnoteReference"/>
        </w:rPr>
        <w:footnoteRef/>
      </w:r>
      <w:r w:rsidRPr="5CEF740C">
        <w:rPr>
          <w:szCs w:val="20"/>
        </w:rPr>
        <w:t xml:space="preserve"> https://ec.europa.eu/info/sites/default/files/carbon_border_adjustment_mechanism_0.pdf</w:t>
      </w:r>
    </w:p>
  </w:footnote>
  <w:footnote w:id="10">
    <w:p w:rsidR="00765B96" w:rsidRDefault="00765B96" w:rsidP="002613D9">
      <w:pPr>
        <w:pStyle w:val="FootnoteText"/>
        <w:rPr>
          <w:rStyle w:val="Hyperlink"/>
          <w:rFonts w:ascii="Calibri" w:eastAsia="Calibri" w:hAnsi="Calibri" w:cs="Calibri"/>
          <w:szCs w:val="20"/>
          <w:lang w:val="de-DE"/>
        </w:rPr>
      </w:pPr>
      <w:r w:rsidRPr="5CEF740C">
        <w:rPr>
          <w:szCs w:val="20"/>
        </w:rPr>
        <w:footnoteRef/>
      </w:r>
      <w:r w:rsidRPr="5CEF740C">
        <w:rPr>
          <w:szCs w:val="20"/>
        </w:rPr>
        <w:t xml:space="preserve"> </w:t>
      </w:r>
      <w:hyperlink r:id="rId4" w:history="1">
        <w:r w:rsidRPr="5CEF740C">
          <w:rPr>
            <w:rStyle w:val="Hyperlink"/>
            <w:rFonts w:ascii="Calibri" w:eastAsia="Calibri" w:hAnsi="Calibri" w:cs="Calibri"/>
            <w:szCs w:val="20"/>
            <w:lang w:val="de-DE"/>
          </w:rPr>
          <w:t>EU Green Deal (carbon border adjustment mechanism) (europa.eu)</w:t>
        </w:r>
      </w:hyperlink>
      <w:r w:rsidRPr="5CEF740C">
        <w:rPr>
          <w:rStyle w:val="Hyperlink"/>
          <w:rFonts w:ascii="Calibri" w:eastAsia="Calibri" w:hAnsi="Calibri" w:cs="Calibri"/>
          <w:szCs w:val="20"/>
          <w:lang w:val="de-DE"/>
        </w:rPr>
        <w:t xml:space="preserve"> </w:t>
      </w:r>
      <w:hyperlink r:id="rId5" w:history="1">
        <w:r w:rsidRPr="5CEF740C">
          <w:rPr>
            <w:rStyle w:val="Hyperlink"/>
            <w:rFonts w:ascii="Calibri" w:eastAsia="Calibri" w:hAnsi="Calibri" w:cs="Calibri"/>
            <w:szCs w:val="20"/>
            <w:lang w:val="de-DE"/>
          </w:rPr>
          <w:t>https://ec.europa.eu/info/law/better-regulation/have-your-say/initiatives/12228-EU-Green-Deal-carbon-border-adjustment-mechanism-/feedback_en?p_id=7587254</w:t>
        </w:r>
      </w:hyperlink>
    </w:p>
  </w:footnote>
  <w:footnote w:id="11">
    <w:p w:rsidR="00765B96" w:rsidRPr="003A4FEA" w:rsidRDefault="00765B96" w:rsidP="002613D9">
      <w:pPr>
        <w:pStyle w:val="FootnoteText"/>
      </w:pPr>
      <w:r w:rsidRPr="00685290">
        <w:rPr>
          <w:rStyle w:val="FootnoteReference"/>
        </w:rPr>
        <w:footnoteRef/>
      </w:r>
      <w:r w:rsidRPr="00685290">
        <w:t xml:space="preserve"> Most likely it is the trader hires expertise to produce a technical fiche about the production technology used. This would then need to be appropriately accredited. Important parallels could be the EU taxonomy for sustainable activities, </w:t>
      </w:r>
      <w:hyperlink r:id="rId6" w:history="1">
        <w:r w:rsidRPr="00685290">
          <w:rPr>
            <w:rStyle w:val="Hyperlink"/>
          </w:rPr>
          <w:t>https://ec.europa.eu/info/business-economy-euro/banking-and-finance/sustainable-finance/eu-taxonomy-sustainable-activities_en</w:t>
        </w:r>
      </w:hyperlink>
      <w:r w:rsidRPr="00685290">
        <w:t xml:space="preserve"> or Clean Development Mechanism (CDM) </w:t>
      </w:r>
      <w:hyperlink r:id="rId7" w:history="1">
        <w:r w:rsidRPr="00685290">
          <w:rPr>
            <w:rStyle w:val="Hyperlink"/>
          </w:rPr>
          <w:t>https://ec.europa.eu/clima/policies/ets/credits_en</w:t>
        </w:r>
      </w:hyperlink>
      <w:r w:rsidRPr="00685290">
        <w:t>. Only direct emissions will be considered.</w:t>
      </w:r>
      <w:r w:rsidRPr="003A4FEA">
        <w:t xml:space="preserve"> </w:t>
      </w:r>
    </w:p>
  </w:footnote>
  <w:footnote w:id="12">
    <w:p w:rsidR="00765B96" w:rsidRPr="00685290" w:rsidRDefault="00765B96" w:rsidP="002613D9">
      <w:pPr>
        <w:pStyle w:val="FootnoteText"/>
        <w:rPr>
          <w:lang w:val="en-IE"/>
        </w:rPr>
      </w:pPr>
      <w:r>
        <w:rPr>
          <w:rStyle w:val="FootnoteReference"/>
        </w:rPr>
        <w:footnoteRef/>
      </w:r>
      <w:r w:rsidRPr="00D7769A">
        <w:rPr>
          <w:lang w:val="en-US"/>
        </w:rPr>
        <w:t xml:space="preserve"> COM(2021) 564 final, </w:t>
      </w:r>
      <w:hyperlink r:id="rId8" w:history="1">
        <w:r w:rsidRPr="00D7769A">
          <w:rPr>
            <w:rStyle w:val="Hyperlink"/>
            <w:lang w:val="en-US"/>
          </w:rPr>
          <w:t>https://ec.europa.eu/info/sites/default/files/carbon_border_adjustment_mechanism_0.pdf</w:t>
        </w:r>
      </w:hyperlink>
    </w:p>
  </w:footnote>
  <w:footnote w:id="13">
    <w:p w:rsidR="00765B96" w:rsidRPr="001C33A4" w:rsidRDefault="00765B96" w:rsidP="00BF3ADE">
      <w:pPr>
        <w:pStyle w:val="FootnoteText"/>
        <w:jc w:val="left"/>
        <w:rPr>
          <w:lang w:val="en-US"/>
        </w:rPr>
      </w:pPr>
      <w:r>
        <w:rPr>
          <w:rStyle w:val="FootnoteReference"/>
        </w:rPr>
        <w:footnoteRef/>
      </w:r>
      <w:r>
        <w:t xml:space="preserve"> </w:t>
      </w:r>
      <w:r>
        <w:tab/>
        <w:t xml:space="preserve">See </w:t>
      </w:r>
      <w:hyperlink r:id="rId9" w:history="1">
        <w:r w:rsidRPr="00BB0A28">
          <w:rPr>
            <w:rStyle w:val="Hyperlink"/>
          </w:rPr>
          <w:t>http://www.coe.int/t/dg4/linguistic/Cadre1_en.asp</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B96" w:rsidRDefault="00765B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B96" w:rsidRDefault="00765B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5B96" w:rsidRDefault="00765B96">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74A4077"/>
    <w:multiLevelType w:val="hybridMultilevel"/>
    <w:tmpl w:val="A814902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404A2"/>
    <w:multiLevelType w:val="hybridMultilevel"/>
    <w:tmpl w:val="0ED6A898"/>
    <w:lvl w:ilvl="0" w:tplc="3B70AF2E">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7115"/>
    <w:multiLevelType w:val="multilevel"/>
    <w:tmpl w:val="E9DAFA3A"/>
    <w:name w:val="ListNumber3Numbering"/>
    <w:lvl w:ilvl="0">
      <w:start w:val="1"/>
      <w:numFmt w:val="decimal"/>
      <w:lvlText w:val="(%1)"/>
      <w:lvlJc w:val="left"/>
      <w:pPr>
        <w:tabs>
          <w:tab w:val="num" w:pos="2625"/>
        </w:tabs>
        <w:ind w:left="2625" w:hanging="709"/>
      </w:pPr>
    </w:lvl>
    <w:lvl w:ilvl="1">
      <w:start w:val="1"/>
      <w:numFmt w:val="lowerLetter"/>
      <w:lvlText w:val="(%2)"/>
      <w:lvlJc w:val="left"/>
      <w:pPr>
        <w:tabs>
          <w:tab w:val="num" w:pos="3334"/>
        </w:tabs>
        <w:ind w:left="3334" w:hanging="709"/>
      </w:pPr>
    </w:lvl>
    <w:lvl w:ilvl="2">
      <w:start w:val="1"/>
      <w:numFmt w:val="bullet"/>
      <w:lvlText w:val="–"/>
      <w:lvlJc w:val="left"/>
      <w:pPr>
        <w:tabs>
          <w:tab w:val="num" w:pos="4042"/>
        </w:tabs>
        <w:ind w:left="4042" w:hanging="708"/>
      </w:pPr>
      <w:rPr>
        <w:rFonts w:ascii="Times New Roman" w:hAnsi="Times New Roman"/>
      </w:rPr>
    </w:lvl>
    <w:lvl w:ilvl="3">
      <w:start w:val="1"/>
      <w:numFmt w:val="bullet"/>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0F65395"/>
    <w:multiLevelType w:val="hybridMultilevel"/>
    <w:tmpl w:val="6B74BE1C"/>
    <w:lvl w:ilvl="0" w:tplc="8A9E7AD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9"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AA61765"/>
    <w:multiLevelType w:val="hybridMultilevel"/>
    <w:tmpl w:val="552850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3B4E95"/>
    <w:multiLevelType w:val="hybridMultilevel"/>
    <w:tmpl w:val="8C80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27C2971"/>
    <w:multiLevelType w:val="multilevel"/>
    <w:tmpl w:val="D41A7024"/>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792" w:hanging="432"/>
      </w:pPr>
      <w:rPr>
        <w:rFonts w:hint="default"/>
      </w:rPr>
    </w:lvl>
    <w:lvl w:ilvl="2">
      <w:start w:val="1"/>
      <w:numFmt w:val="decimal"/>
      <w:pStyle w:val="Heading3"/>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15:restartNumberingAfterBreak="0">
    <w:nsid w:val="258C22EB"/>
    <w:multiLevelType w:val="hybridMultilevel"/>
    <w:tmpl w:val="8D58EF42"/>
    <w:lvl w:ilvl="0" w:tplc="72FA4F4A">
      <w:start w:val="1"/>
      <w:numFmt w:val="decimal"/>
      <w:lvlText w:val="%1."/>
      <w:lvlJc w:val="left"/>
      <w:pPr>
        <w:ind w:left="720" w:hanging="360"/>
      </w:pPr>
    </w:lvl>
    <w:lvl w:ilvl="1" w:tplc="43F692EE">
      <w:start w:val="1"/>
      <w:numFmt w:val="lowerLetter"/>
      <w:lvlText w:val="%2."/>
      <w:lvlJc w:val="left"/>
      <w:pPr>
        <w:ind w:left="1440" w:hanging="360"/>
      </w:pPr>
    </w:lvl>
    <w:lvl w:ilvl="2" w:tplc="32DC6F8E">
      <w:start w:val="1"/>
      <w:numFmt w:val="lowerRoman"/>
      <w:lvlText w:val="%3."/>
      <w:lvlJc w:val="right"/>
      <w:pPr>
        <w:ind w:left="2160" w:hanging="180"/>
      </w:pPr>
    </w:lvl>
    <w:lvl w:ilvl="3" w:tplc="FE8ABAB8">
      <w:start w:val="1"/>
      <w:numFmt w:val="decimal"/>
      <w:lvlText w:val="%4."/>
      <w:lvlJc w:val="left"/>
      <w:pPr>
        <w:ind w:left="2880" w:hanging="360"/>
      </w:pPr>
    </w:lvl>
    <w:lvl w:ilvl="4" w:tplc="B0F2ACD6">
      <w:start w:val="1"/>
      <w:numFmt w:val="lowerLetter"/>
      <w:lvlText w:val="%5."/>
      <w:lvlJc w:val="left"/>
      <w:pPr>
        <w:ind w:left="3600" w:hanging="360"/>
      </w:pPr>
    </w:lvl>
    <w:lvl w:ilvl="5" w:tplc="3ED6E38E">
      <w:start w:val="1"/>
      <w:numFmt w:val="lowerRoman"/>
      <w:lvlText w:val="%6."/>
      <w:lvlJc w:val="right"/>
      <w:pPr>
        <w:ind w:left="4320" w:hanging="180"/>
      </w:pPr>
    </w:lvl>
    <w:lvl w:ilvl="6" w:tplc="7D406648">
      <w:start w:val="1"/>
      <w:numFmt w:val="decimal"/>
      <w:lvlText w:val="%7."/>
      <w:lvlJc w:val="left"/>
      <w:pPr>
        <w:ind w:left="5040" w:hanging="360"/>
      </w:pPr>
    </w:lvl>
    <w:lvl w:ilvl="7" w:tplc="524A31EC">
      <w:start w:val="1"/>
      <w:numFmt w:val="lowerLetter"/>
      <w:lvlText w:val="%8."/>
      <w:lvlJc w:val="left"/>
      <w:pPr>
        <w:ind w:left="5760" w:hanging="360"/>
      </w:pPr>
    </w:lvl>
    <w:lvl w:ilvl="8" w:tplc="A7001EAC">
      <w:start w:val="1"/>
      <w:numFmt w:val="lowerRoman"/>
      <w:lvlText w:val="%9."/>
      <w:lvlJc w:val="right"/>
      <w:pPr>
        <w:ind w:left="6480" w:hanging="180"/>
      </w:pPr>
    </w:lvl>
  </w:abstractNum>
  <w:abstractNum w:abstractNumId="16"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15:restartNumberingAfterBreak="0">
    <w:nsid w:val="54F46DFE"/>
    <w:multiLevelType w:val="hybridMultilevel"/>
    <w:tmpl w:val="5ED80B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5B11541E"/>
    <w:multiLevelType w:val="hybridMultilevel"/>
    <w:tmpl w:val="8604D430"/>
    <w:lvl w:ilvl="0" w:tplc="93B2A454">
      <w:start w:val="1"/>
      <w:numFmt w:val="bullet"/>
      <w:lvlText w:val=""/>
      <w:lvlJc w:val="left"/>
      <w:pPr>
        <w:ind w:left="720" w:hanging="360"/>
      </w:pPr>
      <w:rPr>
        <w:rFonts w:ascii="Symbol" w:hAnsi="Symbol" w:hint="default"/>
        <w:b w:val="0"/>
        <w:i w:val="0"/>
        <w:caps w:val="0"/>
        <w:strike w:val="0"/>
        <w:dstrike w:val="0"/>
        <w:vanish w:val="0"/>
        <w:spacing w:val="0"/>
        <w:w w:val="100"/>
        <w:kern w:val="0"/>
        <w:position w:val="0"/>
        <w:sz w:val="24"/>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3"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0635229"/>
    <w:multiLevelType w:val="hybridMultilevel"/>
    <w:tmpl w:val="5C860BB2"/>
    <w:lvl w:ilvl="0" w:tplc="EB4A068C">
      <w:start w:val="1"/>
      <w:numFmt w:val="decimal"/>
      <w:lvlText w:val="%1."/>
      <w:lvlJc w:val="left"/>
      <w:pPr>
        <w:ind w:left="720" w:hanging="360"/>
      </w:pPr>
    </w:lvl>
    <w:lvl w:ilvl="1" w:tplc="78D61318">
      <w:start w:val="1"/>
      <w:numFmt w:val="lowerLetter"/>
      <w:lvlText w:val="%2."/>
      <w:lvlJc w:val="left"/>
      <w:pPr>
        <w:ind w:left="1440" w:hanging="360"/>
      </w:pPr>
    </w:lvl>
    <w:lvl w:ilvl="2" w:tplc="D95E943A">
      <w:start w:val="1"/>
      <w:numFmt w:val="lowerRoman"/>
      <w:lvlText w:val="%3."/>
      <w:lvlJc w:val="right"/>
      <w:pPr>
        <w:ind w:left="2160" w:hanging="180"/>
      </w:pPr>
    </w:lvl>
    <w:lvl w:ilvl="3" w:tplc="DAF0B106">
      <w:start w:val="1"/>
      <w:numFmt w:val="decimal"/>
      <w:lvlText w:val="%4."/>
      <w:lvlJc w:val="left"/>
      <w:pPr>
        <w:ind w:left="2880" w:hanging="360"/>
      </w:pPr>
    </w:lvl>
    <w:lvl w:ilvl="4" w:tplc="DF5206D8">
      <w:start w:val="1"/>
      <w:numFmt w:val="lowerLetter"/>
      <w:lvlText w:val="%5."/>
      <w:lvlJc w:val="left"/>
      <w:pPr>
        <w:ind w:left="3600" w:hanging="360"/>
      </w:pPr>
    </w:lvl>
    <w:lvl w:ilvl="5" w:tplc="EF2861BC">
      <w:start w:val="1"/>
      <w:numFmt w:val="lowerRoman"/>
      <w:lvlText w:val="%6."/>
      <w:lvlJc w:val="right"/>
      <w:pPr>
        <w:ind w:left="4320" w:hanging="180"/>
      </w:pPr>
    </w:lvl>
    <w:lvl w:ilvl="6" w:tplc="DF1E237A">
      <w:start w:val="1"/>
      <w:numFmt w:val="decimal"/>
      <w:lvlText w:val="%7."/>
      <w:lvlJc w:val="left"/>
      <w:pPr>
        <w:ind w:left="5040" w:hanging="360"/>
      </w:pPr>
    </w:lvl>
    <w:lvl w:ilvl="7" w:tplc="806401C8">
      <w:start w:val="1"/>
      <w:numFmt w:val="lowerLetter"/>
      <w:lvlText w:val="%8."/>
      <w:lvlJc w:val="left"/>
      <w:pPr>
        <w:ind w:left="5760" w:hanging="360"/>
      </w:pPr>
    </w:lvl>
    <w:lvl w:ilvl="8" w:tplc="BFAA9056">
      <w:start w:val="1"/>
      <w:numFmt w:val="lowerRoman"/>
      <w:lvlText w:val="%9."/>
      <w:lvlJc w:val="right"/>
      <w:pPr>
        <w:ind w:left="6480" w:hanging="180"/>
      </w:pPr>
    </w:lvl>
  </w:abstractNum>
  <w:abstractNum w:abstractNumId="36"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135B70"/>
    <w:multiLevelType w:val="hybridMultilevel"/>
    <w:tmpl w:val="45C61188"/>
    <w:lvl w:ilvl="0" w:tplc="080C001B">
      <w:start w:val="1"/>
      <w:numFmt w:val="lowerRoman"/>
      <w:lvlText w:val="%1."/>
      <w:lvlJc w:val="right"/>
      <w:pPr>
        <w:ind w:left="720" w:hanging="360"/>
      </w:pPr>
    </w:lvl>
    <w:lvl w:ilvl="1" w:tplc="08090015">
      <w:start w:val="1"/>
      <w:numFmt w:val="upp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
  </w:num>
  <w:num w:numId="2">
    <w:abstractNumId w:val="0"/>
  </w:num>
  <w:num w:numId="3">
    <w:abstractNumId w:val="26"/>
  </w:num>
  <w:num w:numId="4">
    <w:abstractNumId w:val="20"/>
  </w:num>
  <w:num w:numId="5">
    <w:abstractNumId w:val="16"/>
  </w:num>
  <w:num w:numId="6">
    <w:abstractNumId w:val="8"/>
  </w:num>
  <w:num w:numId="7">
    <w:abstractNumId w:val="7"/>
  </w:num>
  <w:num w:numId="8">
    <w:abstractNumId w:val="29"/>
  </w:num>
  <w:num w:numId="9">
    <w:abstractNumId w:val="32"/>
  </w:num>
  <w:num w:numId="10">
    <w:abstractNumId w:val="30"/>
  </w:num>
  <w:num w:numId="11">
    <w:abstractNumId w:val="34"/>
  </w:num>
  <w:num w:numId="12">
    <w:abstractNumId w:val="14"/>
  </w:num>
  <w:num w:numId="13">
    <w:abstractNumId w:val="21"/>
  </w:num>
  <w:num w:numId="14">
    <w:abstractNumId w:val="23"/>
  </w:num>
  <w:num w:numId="15">
    <w:abstractNumId w:val="22"/>
  </w:num>
  <w:num w:numId="16">
    <w:abstractNumId w:val="2"/>
  </w:num>
  <w:num w:numId="17">
    <w:abstractNumId w:val="24"/>
  </w:num>
  <w:num w:numId="18">
    <w:abstractNumId w:val="37"/>
  </w:num>
  <w:num w:numId="19">
    <w:abstractNumId w:val="27"/>
  </w:num>
  <w:num w:numId="20">
    <w:abstractNumId w:val="6"/>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5"/>
  </w:num>
  <w:num w:numId="25">
    <w:abstractNumId w:val="35"/>
  </w:num>
  <w:num w:numId="26">
    <w:abstractNumId w:val="4"/>
  </w:num>
  <w:num w:numId="27">
    <w:abstractNumId w:val="3"/>
  </w:num>
  <w:num w:numId="28">
    <w:abstractNumId w:val="10"/>
  </w:num>
  <w:num w:numId="29">
    <w:abstractNumId w:val="11"/>
  </w:num>
  <w:num w:numId="30">
    <w:abstractNumId w:val="17"/>
  </w:num>
  <w:num w:numId="31">
    <w:abstractNumId w:val="18"/>
  </w:num>
  <w:num w:numId="32">
    <w:abstractNumId w:val="25"/>
  </w:num>
  <w:num w:numId="33">
    <w:abstractNumId w:val="12"/>
  </w:num>
  <w:num w:numId="34">
    <w:abstractNumId w:val="36"/>
  </w:num>
  <w:num w:numId="35">
    <w:abstractNumId w:val="31"/>
  </w:num>
  <w:num w:numId="36">
    <w:abstractNumId w:val="33"/>
  </w:num>
  <w:num w:numId="37">
    <w:abstractNumId w:val="9"/>
  </w:num>
  <w:num w:numId="38">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de-DE" w:vendorID="64" w:dllVersion="6" w:nlCheck="1" w:checkStyle="0"/>
  <w:activeWritingStyle w:appName="MSWord" w:lang="en-GB" w:vendorID="64" w:dllVersion="4096" w:nlCheck="1" w:checkStyle="0"/>
  <w:activeWritingStyle w:appName="MSWord" w:lang="en-US"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 w:id="1"/>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T"/>
  </w:docVars>
  <w:rsids>
    <w:rsidRoot w:val="0099376D"/>
    <w:rsid w:val="00000D63"/>
    <w:rsid w:val="00001258"/>
    <w:rsid w:val="00001578"/>
    <w:rsid w:val="0000233E"/>
    <w:rsid w:val="00002C12"/>
    <w:rsid w:val="00002EC0"/>
    <w:rsid w:val="0000300C"/>
    <w:rsid w:val="00004641"/>
    <w:rsid w:val="00013D05"/>
    <w:rsid w:val="00014490"/>
    <w:rsid w:val="00016546"/>
    <w:rsid w:val="0001678A"/>
    <w:rsid w:val="000170A9"/>
    <w:rsid w:val="000178BB"/>
    <w:rsid w:val="000232D5"/>
    <w:rsid w:val="0002594F"/>
    <w:rsid w:val="00026203"/>
    <w:rsid w:val="00032893"/>
    <w:rsid w:val="00033FAC"/>
    <w:rsid w:val="00036862"/>
    <w:rsid w:val="0004076F"/>
    <w:rsid w:val="00042CCB"/>
    <w:rsid w:val="000470EE"/>
    <w:rsid w:val="0005016C"/>
    <w:rsid w:val="0005181D"/>
    <w:rsid w:val="000535E2"/>
    <w:rsid w:val="00053676"/>
    <w:rsid w:val="00054F8D"/>
    <w:rsid w:val="000559BC"/>
    <w:rsid w:val="00055CF1"/>
    <w:rsid w:val="000561E4"/>
    <w:rsid w:val="00060DDC"/>
    <w:rsid w:val="00061179"/>
    <w:rsid w:val="00062B11"/>
    <w:rsid w:val="00063672"/>
    <w:rsid w:val="00063686"/>
    <w:rsid w:val="00063A44"/>
    <w:rsid w:val="00063D19"/>
    <w:rsid w:val="000644DC"/>
    <w:rsid w:val="00064D5B"/>
    <w:rsid w:val="00064F07"/>
    <w:rsid w:val="0006532C"/>
    <w:rsid w:val="00070013"/>
    <w:rsid w:val="0007139C"/>
    <w:rsid w:val="00071A19"/>
    <w:rsid w:val="00076077"/>
    <w:rsid w:val="0008290F"/>
    <w:rsid w:val="0008296E"/>
    <w:rsid w:val="000833BC"/>
    <w:rsid w:val="0008446A"/>
    <w:rsid w:val="00087A76"/>
    <w:rsid w:val="0009071D"/>
    <w:rsid w:val="00093531"/>
    <w:rsid w:val="00093F80"/>
    <w:rsid w:val="00095D55"/>
    <w:rsid w:val="00096D7C"/>
    <w:rsid w:val="00097710"/>
    <w:rsid w:val="00097FB8"/>
    <w:rsid w:val="000A0D55"/>
    <w:rsid w:val="000A1BFA"/>
    <w:rsid w:val="000A2E59"/>
    <w:rsid w:val="000B2B04"/>
    <w:rsid w:val="000B419B"/>
    <w:rsid w:val="000C1602"/>
    <w:rsid w:val="000C5725"/>
    <w:rsid w:val="000D035A"/>
    <w:rsid w:val="000D1BF3"/>
    <w:rsid w:val="000D1DE3"/>
    <w:rsid w:val="000D204A"/>
    <w:rsid w:val="000D48E9"/>
    <w:rsid w:val="000D58EC"/>
    <w:rsid w:val="000D73B3"/>
    <w:rsid w:val="000E2AE3"/>
    <w:rsid w:val="000E32AC"/>
    <w:rsid w:val="000E5AE1"/>
    <w:rsid w:val="000E5BC4"/>
    <w:rsid w:val="000F1967"/>
    <w:rsid w:val="000F2D2B"/>
    <w:rsid w:val="000F2FB2"/>
    <w:rsid w:val="000F4484"/>
    <w:rsid w:val="000F5B43"/>
    <w:rsid w:val="000F65B3"/>
    <w:rsid w:val="000F7776"/>
    <w:rsid w:val="001028F0"/>
    <w:rsid w:val="001037CB"/>
    <w:rsid w:val="001104AA"/>
    <w:rsid w:val="0011065F"/>
    <w:rsid w:val="001112D4"/>
    <w:rsid w:val="00111623"/>
    <w:rsid w:val="001118D7"/>
    <w:rsid w:val="00111A3C"/>
    <w:rsid w:val="00111CF5"/>
    <w:rsid w:val="001148F2"/>
    <w:rsid w:val="001164E7"/>
    <w:rsid w:val="001164FB"/>
    <w:rsid w:val="00116775"/>
    <w:rsid w:val="00116A2C"/>
    <w:rsid w:val="00116C2E"/>
    <w:rsid w:val="00117015"/>
    <w:rsid w:val="001177DD"/>
    <w:rsid w:val="00120F0F"/>
    <w:rsid w:val="001223CD"/>
    <w:rsid w:val="001259A1"/>
    <w:rsid w:val="001266C0"/>
    <w:rsid w:val="00131160"/>
    <w:rsid w:val="0013790C"/>
    <w:rsid w:val="00141296"/>
    <w:rsid w:val="00142658"/>
    <w:rsid w:val="0014292E"/>
    <w:rsid w:val="00142A59"/>
    <w:rsid w:val="00145027"/>
    <w:rsid w:val="00145532"/>
    <w:rsid w:val="0014769A"/>
    <w:rsid w:val="00150531"/>
    <w:rsid w:val="00150FFD"/>
    <w:rsid w:val="00151AD5"/>
    <w:rsid w:val="00153420"/>
    <w:rsid w:val="001535D0"/>
    <w:rsid w:val="0015476F"/>
    <w:rsid w:val="0015511D"/>
    <w:rsid w:val="00160E67"/>
    <w:rsid w:val="00164595"/>
    <w:rsid w:val="00164C05"/>
    <w:rsid w:val="001650FA"/>
    <w:rsid w:val="00166EF3"/>
    <w:rsid w:val="00167CD0"/>
    <w:rsid w:val="001701BC"/>
    <w:rsid w:val="00170F0D"/>
    <w:rsid w:val="001721D8"/>
    <w:rsid w:val="001730E5"/>
    <w:rsid w:val="00173722"/>
    <w:rsid w:val="00177546"/>
    <w:rsid w:val="00181C0E"/>
    <w:rsid w:val="00181E72"/>
    <w:rsid w:val="001837F4"/>
    <w:rsid w:val="0018457F"/>
    <w:rsid w:val="00184A6C"/>
    <w:rsid w:val="00191402"/>
    <w:rsid w:val="00191F9E"/>
    <w:rsid w:val="0019232D"/>
    <w:rsid w:val="00192343"/>
    <w:rsid w:val="0019239C"/>
    <w:rsid w:val="00194857"/>
    <w:rsid w:val="001979F1"/>
    <w:rsid w:val="001A023F"/>
    <w:rsid w:val="001A1030"/>
    <w:rsid w:val="001A13C0"/>
    <w:rsid w:val="001A2F4E"/>
    <w:rsid w:val="001B0CCD"/>
    <w:rsid w:val="001B17F4"/>
    <w:rsid w:val="001B49BE"/>
    <w:rsid w:val="001B4E68"/>
    <w:rsid w:val="001B4E96"/>
    <w:rsid w:val="001B4F3B"/>
    <w:rsid w:val="001B5FD2"/>
    <w:rsid w:val="001C0537"/>
    <w:rsid w:val="001C4618"/>
    <w:rsid w:val="001C7AC7"/>
    <w:rsid w:val="001D106E"/>
    <w:rsid w:val="001D1A61"/>
    <w:rsid w:val="001D2E46"/>
    <w:rsid w:val="001D3D44"/>
    <w:rsid w:val="001E00B3"/>
    <w:rsid w:val="001E1FDE"/>
    <w:rsid w:val="001E28CE"/>
    <w:rsid w:val="001E3A87"/>
    <w:rsid w:val="001E5C02"/>
    <w:rsid w:val="001F0654"/>
    <w:rsid w:val="001F4288"/>
    <w:rsid w:val="001F4674"/>
    <w:rsid w:val="001F59D2"/>
    <w:rsid w:val="001F5EC9"/>
    <w:rsid w:val="001F6ED3"/>
    <w:rsid w:val="001F779C"/>
    <w:rsid w:val="001F7A15"/>
    <w:rsid w:val="001F7EC9"/>
    <w:rsid w:val="00201236"/>
    <w:rsid w:val="00204064"/>
    <w:rsid w:val="0020424C"/>
    <w:rsid w:val="00211370"/>
    <w:rsid w:val="002119F4"/>
    <w:rsid w:val="0021427C"/>
    <w:rsid w:val="0021456A"/>
    <w:rsid w:val="002166A2"/>
    <w:rsid w:val="00217DFE"/>
    <w:rsid w:val="0022162F"/>
    <w:rsid w:val="00222280"/>
    <w:rsid w:val="002228CA"/>
    <w:rsid w:val="00223D00"/>
    <w:rsid w:val="00224BA8"/>
    <w:rsid w:val="0022551B"/>
    <w:rsid w:val="0022566A"/>
    <w:rsid w:val="0023005C"/>
    <w:rsid w:val="00233279"/>
    <w:rsid w:val="00234C43"/>
    <w:rsid w:val="00235513"/>
    <w:rsid w:val="0023670C"/>
    <w:rsid w:val="00236C47"/>
    <w:rsid w:val="0023751A"/>
    <w:rsid w:val="0024019D"/>
    <w:rsid w:val="0024099A"/>
    <w:rsid w:val="00240A85"/>
    <w:rsid w:val="00241812"/>
    <w:rsid w:val="002439EE"/>
    <w:rsid w:val="00244C8A"/>
    <w:rsid w:val="0024515A"/>
    <w:rsid w:val="00246C12"/>
    <w:rsid w:val="00247A25"/>
    <w:rsid w:val="00253606"/>
    <w:rsid w:val="00254704"/>
    <w:rsid w:val="00254A94"/>
    <w:rsid w:val="0025556B"/>
    <w:rsid w:val="00256694"/>
    <w:rsid w:val="00260814"/>
    <w:rsid w:val="00260EF6"/>
    <w:rsid w:val="002613D9"/>
    <w:rsid w:val="002617F6"/>
    <w:rsid w:val="00262841"/>
    <w:rsid w:val="00263AA4"/>
    <w:rsid w:val="00265E1E"/>
    <w:rsid w:val="002660E8"/>
    <w:rsid w:val="0026704D"/>
    <w:rsid w:val="002671C9"/>
    <w:rsid w:val="00271178"/>
    <w:rsid w:val="00273828"/>
    <w:rsid w:val="002756A8"/>
    <w:rsid w:val="00276D3A"/>
    <w:rsid w:val="002770E2"/>
    <w:rsid w:val="0028470B"/>
    <w:rsid w:val="00284FDB"/>
    <w:rsid w:val="002871DB"/>
    <w:rsid w:val="002875D5"/>
    <w:rsid w:val="00292BD3"/>
    <w:rsid w:val="00293F89"/>
    <w:rsid w:val="00296DDC"/>
    <w:rsid w:val="002976F5"/>
    <w:rsid w:val="002A2464"/>
    <w:rsid w:val="002A2BFA"/>
    <w:rsid w:val="002A389A"/>
    <w:rsid w:val="002A38A0"/>
    <w:rsid w:val="002A425A"/>
    <w:rsid w:val="002A5CE7"/>
    <w:rsid w:val="002A67AE"/>
    <w:rsid w:val="002A6C60"/>
    <w:rsid w:val="002B0AEE"/>
    <w:rsid w:val="002B1138"/>
    <w:rsid w:val="002B41C6"/>
    <w:rsid w:val="002B50BB"/>
    <w:rsid w:val="002B5BCC"/>
    <w:rsid w:val="002B63E3"/>
    <w:rsid w:val="002C0537"/>
    <w:rsid w:val="002C25F9"/>
    <w:rsid w:val="002C3207"/>
    <w:rsid w:val="002C3959"/>
    <w:rsid w:val="002C4050"/>
    <w:rsid w:val="002C6F70"/>
    <w:rsid w:val="002C778C"/>
    <w:rsid w:val="002C7A35"/>
    <w:rsid w:val="002D1C16"/>
    <w:rsid w:val="002D1E4D"/>
    <w:rsid w:val="002D20B9"/>
    <w:rsid w:val="002D2F3D"/>
    <w:rsid w:val="002D36A9"/>
    <w:rsid w:val="002E2A8E"/>
    <w:rsid w:val="002E2ABD"/>
    <w:rsid w:val="002E3662"/>
    <w:rsid w:val="002F0BB5"/>
    <w:rsid w:val="002F2E9E"/>
    <w:rsid w:val="002F3B79"/>
    <w:rsid w:val="002F4471"/>
    <w:rsid w:val="002F65AB"/>
    <w:rsid w:val="002F7BB8"/>
    <w:rsid w:val="00301205"/>
    <w:rsid w:val="003034A2"/>
    <w:rsid w:val="00303DA1"/>
    <w:rsid w:val="0030439E"/>
    <w:rsid w:val="00305EA0"/>
    <w:rsid w:val="00311C59"/>
    <w:rsid w:val="00317D20"/>
    <w:rsid w:val="003214F8"/>
    <w:rsid w:val="00321E66"/>
    <w:rsid w:val="00323DAD"/>
    <w:rsid w:val="0032656D"/>
    <w:rsid w:val="0032661F"/>
    <w:rsid w:val="0033032B"/>
    <w:rsid w:val="00336695"/>
    <w:rsid w:val="0033729A"/>
    <w:rsid w:val="00343496"/>
    <w:rsid w:val="00347D32"/>
    <w:rsid w:val="00350FA4"/>
    <w:rsid w:val="00352B82"/>
    <w:rsid w:val="0035687A"/>
    <w:rsid w:val="003568E2"/>
    <w:rsid w:val="00357C2F"/>
    <w:rsid w:val="00357C47"/>
    <w:rsid w:val="00360CD9"/>
    <w:rsid w:val="00361F74"/>
    <w:rsid w:val="0036219B"/>
    <w:rsid w:val="003626B1"/>
    <w:rsid w:val="00362846"/>
    <w:rsid w:val="00365159"/>
    <w:rsid w:val="00365CE3"/>
    <w:rsid w:val="0036764F"/>
    <w:rsid w:val="003676A2"/>
    <w:rsid w:val="0037020E"/>
    <w:rsid w:val="003742A1"/>
    <w:rsid w:val="003763DD"/>
    <w:rsid w:val="003765C9"/>
    <w:rsid w:val="0037792C"/>
    <w:rsid w:val="00377BA7"/>
    <w:rsid w:val="00381187"/>
    <w:rsid w:val="003816FE"/>
    <w:rsid w:val="003836CD"/>
    <w:rsid w:val="00384056"/>
    <w:rsid w:val="003850C1"/>
    <w:rsid w:val="003856BC"/>
    <w:rsid w:val="0039087B"/>
    <w:rsid w:val="00392598"/>
    <w:rsid w:val="00394300"/>
    <w:rsid w:val="003962E0"/>
    <w:rsid w:val="0039634F"/>
    <w:rsid w:val="00396486"/>
    <w:rsid w:val="00397DAA"/>
    <w:rsid w:val="003A0BE7"/>
    <w:rsid w:val="003A0D5D"/>
    <w:rsid w:val="003A2BDE"/>
    <w:rsid w:val="003A40A2"/>
    <w:rsid w:val="003A43B3"/>
    <w:rsid w:val="003A46FC"/>
    <w:rsid w:val="003A6F26"/>
    <w:rsid w:val="003B198C"/>
    <w:rsid w:val="003B25D3"/>
    <w:rsid w:val="003B2B2E"/>
    <w:rsid w:val="003B3A1F"/>
    <w:rsid w:val="003B75C1"/>
    <w:rsid w:val="003C1ECC"/>
    <w:rsid w:val="003C350A"/>
    <w:rsid w:val="003D00A3"/>
    <w:rsid w:val="003D13B3"/>
    <w:rsid w:val="003D25C8"/>
    <w:rsid w:val="003D384B"/>
    <w:rsid w:val="003D4081"/>
    <w:rsid w:val="003D6AF5"/>
    <w:rsid w:val="003D72C8"/>
    <w:rsid w:val="003E01BF"/>
    <w:rsid w:val="003E21F2"/>
    <w:rsid w:val="003E2D12"/>
    <w:rsid w:val="003E49E5"/>
    <w:rsid w:val="003E71EB"/>
    <w:rsid w:val="003F162A"/>
    <w:rsid w:val="003F45E7"/>
    <w:rsid w:val="003F493A"/>
    <w:rsid w:val="003F6912"/>
    <w:rsid w:val="004003BC"/>
    <w:rsid w:val="00401DE8"/>
    <w:rsid w:val="00401F73"/>
    <w:rsid w:val="00402601"/>
    <w:rsid w:val="00402A5A"/>
    <w:rsid w:val="0040311B"/>
    <w:rsid w:val="00403917"/>
    <w:rsid w:val="004047C1"/>
    <w:rsid w:val="004074E7"/>
    <w:rsid w:val="004078A3"/>
    <w:rsid w:val="004117A8"/>
    <w:rsid w:val="00413B20"/>
    <w:rsid w:val="00414D93"/>
    <w:rsid w:val="00415509"/>
    <w:rsid w:val="0041587F"/>
    <w:rsid w:val="004230EB"/>
    <w:rsid w:val="004232C8"/>
    <w:rsid w:val="004268C8"/>
    <w:rsid w:val="004279F7"/>
    <w:rsid w:val="00427ACE"/>
    <w:rsid w:val="00430003"/>
    <w:rsid w:val="004303C6"/>
    <w:rsid w:val="004315C5"/>
    <w:rsid w:val="00432F53"/>
    <w:rsid w:val="00433A17"/>
    <w:rsid w:val="00433B85"/>
    <w:rsid w:val="00436265"/>
    <w:rsid w:val="00437E14"/>
    <w:rsid w:val="004404C3"/>
    <w:rsid w:val="00440E2D"/>
    <w:rsid w:val="00441B6A"/>
    <w:rsid w:val="004427B1"/>
    <w:rsid w:val="00442E86"/>
    <w:rsid w:val="00446CA7"/>
    <w:rsid w:val="00447C7B"/>
    <w:rsid w:val="00453584"/>
    <w:rsid w:val="00456B23"/>
    <w:rsid w:val="00457987"/>
    <w:rsid w:val="00461EE7"/>
    <w:rsid w:val="00462D8C"/>
    <w:rsid w:val="004640A9"/>
    <w:rsid w:val="00464748"/>
    <w:rsid w:val="0046555A"/>
    <w:rsid w:val="00465D65"/>
    <w:rsid w:val="0046609F"/>
    <w:rsid w:val="00466650"/>
    <w:rsid w:val="004666FD"/>
    <w:rsid w:val="00467A5D"/>
    <w:rsid w:val="00472C06"/>
    <w:rsid w:val="00473139"/>
    <w:rsid w:val="00480E41"/>
    <w:rsid w:val="00482443"/>
    <w:rsid w:val="00482FEC"/>
    <w:rsid w:val="00483562"/>
    <w:rsid w:val="00484B8D"/>
    <w:rsid w:val="0048610D"/>
    <w:rsid w:val="0048659E"/>
    <w:rsid w:val="004871ED"/>
    <w:rsid w:val="00490654"/>
    <w:rsid w:val="0049394A"/>
    <w:rsid w:val="00493E58"/>
    <w:rsid w:val="00494814"/>
    <w:rsid w:val="00494C77"/>
    <w:rsid w:val="00494D6B"/>
    <w:rsid w:val="00495874"/>
    <w:rsid w:val="004A10E4"/>
    <w:rsid w:val="004A35D7"/>
    <w:rsid w:val="004A6029"/>
    <w:rsid w:val="004A62E3"/>
    <w:rsid w:val="004A70F6"/>
    <w:rsid w:val="004A7117"/>
    <w:rsid w:val="004A76DD"/>
    <w:rsid w:val="004B2BE2"/>
    <w:rsid w:val="004B2E12"/>
    <w:rsid w:val="004B57DF"/>
    <w:rsid w:val="004C0290"/>
    <w:rsid w:val="004C37AF"/>
    <w:rsid w:val="004C4378"/>
    <w:rsid w:val="004C4F79"/>
    <w:rsid w:val="004C6BDE"/>
    <w:rsid w:val="004C713E"/>
    <w:rsid w:val="004D0BE9"/>
    <w:rsid w:val="004D5386"/>
    <w:rsid w:val="004E2CB6"/>
    <w:rsid w:val="004E60C2"/>
    <w:rsid w:val="004E6368"/>
    <w:rsid w:val="004F21D6"/>
    <w:rsid w:val="004F546F"/>
    <w:rsid w:val="004F718E"/>
    <w:rsid w:val="00500F4A"/>
    <w:rsid w:val="00504162"/>
    <w:rsid w:val="00504CFB"/>
    <w:rsid w:val="005055A5"/>
    <w:rsid w:val="00505943"/>
    <w:rsid w:val="00506EFB"/>
    <w:rsid w:val="00507134"/>
    <w:rsid w:val="00510732"/>
    <w:rsid w:val="00511E97"/>
    <w:rsid w:val="00513A46"/>
    <w:rsid w:val="00515649"/>
    <w:rsid w:val="0052190C"/>
    <w:rsid w:val="00521CE1"/>
    <w:rsid w:val="00523C2F"/>
    <w:rsid w:val="00524352"/>
    <w:rsid w:val="0052510A"/>
    <w:rsid w:val="00525516"/>
    <w:rsid w:val="00526DF5"/>
    <w:rsid w:val="00531501"/>
    <w:rsid w:val="00532434"/>
    <w:rsid w:val="00533149"/>
    <w:rsid w:val="0053478A"/>
    <w:rsid w:val="0054321E"/>
    <w:rsid w:val="0054362D"/>
    <w:rsid w:val="00544EEF"/>
    <w:rsid w:val="005477C2"/>
    <w:rsid w:val="00553EC1"/>
    <w:rsid w:val="005542F0"/>
    <w:rsid w:val="0055508C"/>
    <w:rsid w:val="00556865"/>
    <w:rsid w:val="00557553"/>
    <w:rsid w:val="00561610"/>
    <w:rsid w:val="00561A36"/>
    <w:rsid w:val="0056224C"/>
    <w:rsid w:val="00566B6A"/>
    <w:rsid w:val="005712E2"/>
    <w:rsid w:val="00571D5A"/>
    <w:rsid w:val="005724C2"/>
    <w:rsid w:val="00574355"/>
    <w:rsid w:val="00574E91"/>
    <w:rsid w:val="00574F14"/>
    <w:rsid w:val="0057778B"/>
    <w:rsid w:val="005801D6"/>
    <w:rsid w:val="0058299E"/>
    <w:rsid w:val="00583F1B"/>
    <w:rsid w:val="00585E3D"/>
    <w:rsid w:val="005864AE"/>
    <w:rsid w:val="00591382"/>
    <w:rsid w:val="00592115"/>
    <w:rsid w:val="00595F67"/>
    <w:rsid w:val="00596F28"/>
    <w:rsid w:val="00597037"/>
    <w:rsid w:val="005975BA"/>
    <w:rsid w:val="005A3285"/>
    <w:rsid w:val="005A4249"/>
    <w:rsid w:val="005A5764"/>
    <w:rsid w:val="005A5ED3"/>
    <w:rsid w:val="005A75FF"/>
    <w:rsid w:val="005B08F8"/>
    <w:rsid w:val="005B0BE5"/>
    <w:rsid w:val="005B0E50"/>
    <w:rsid w:val="005B0EA3"/>
    <w:rsid w:val="005B2F42"/>
    <w:rsid w:val="005B49FF"/>
    <w:rsid w:val="005B54C5"/>
    <w:rsid w:val="005B6011"/>
    <w:rsid w:val="005B693E"/>
    <w:rsid w:val="005C00E3"/>
    <w:rsid w:val="005C1AE0"/>
    <w:rsid w:val="005C1E82"/>
    <w:rsid w:val="005C27E8"/>
    <w:rsid w:val="005C3A05"/>
    <w:rsid w:val="005C46EB"/>
    <w:rsid w:val="005C4DEA"/>
    <w:rsid w:val="005D0321"/>
    <w:rsid w:val="005D0C59"/>
    <w:rsid w:val="005D1F6A"/>
    <w:rsid w:val="005D3DAC"/>
    <w:rsid w:val="005D42D5"/>
    <w:rsid w:val="005D4699"/>
    <w:rsid w:val="005D6497"/>
    <w:rsid w:val="005D75B9"/>
    <w:rsid w:val="005E0B4A"/>
    <w:rsid w:val="005E1968"/>
    <w:rsid w:val="005E2EC8"/>
    <w:rsid w:val="005E49F1"/>
    <w:rsid w:val="005E4D6B"/>
    <w:rsid w:val="005E61B0"/>
    <w:rsid w:val="005E7E0A"/>
    <w:rsid w:val="005E7E7F"/>
    <w:rsid w:val="005F1698"/>
    <w:rsid w:val="005F25E8"/>
    <w:rsid w:val="005F4EB0"/>
    <w:rsid w:val="005F5D5C"/>
    <w:rsid w:val="005F616C"/>
    <w:rsid w:val="005F618A"/>
    <w:rsid w:val="005F64B7"/>
    <w:rsid w:val="005F6D3E"/>
    <w:rsid w:val="006009E7"/>
    <w:rsid w:val="00600F2B"/>
    <w:rsid w:val="006061F0"/>
    <w:rsid w:val="0060794A"/>
    <w:rsid w:val="0061146A"/>
    <w:rsid w:val="00611A76"/>
    <w:rsid w:val="006170DA"/>
    <w:rsid w:val="00622F3F"/>
    <w:rsid w:val="00623672"/>
    <w:rsid w:val="00624449"/>
    <w:rsid w:val="006263BC"/>
    <w:rsid w:val="00626703"/>
    <w:rsid w:val="0063003E"/>
    <w:rsid w:val="00634EAD"/>
    <w:rsid w:val="00635241"/>
    <w:rsid w:val="006356D5"/>
    <w:rsid w:val="00635E63"/>
    <w:rsid w:val="00640FD2"/>
    <w:rsid w:val="006411DB"/>
    <w:rsid w:val="006418EB"/>
    <w:rsid w:val="006431D8"/>
    <w:rsid w:val="006440E8"/>
    <w:rsid w:val="00646E27"/>
    <w:rsid w:val="006545D4"/>
    <w:rsid w:val="00654C64"/>
    <w:rsid w:val="00656031"/>
    <w:rsid w:val="006605F1"/>
    <w:rsid w:val="00661896"/>
    <w:rsid w:val="00662362"/>
    <w:rsid w:val="006705F8"/>
    <w:rsid w:val="00671B56"/>
    <w:rsid w:val="006732CA"/>
    <w:rsid w:val="0067409B"/>
    <w:rsid w:val="0067557C"/>
    <w:rsid w:val="00675D6D"/>
    <w:rsid w:val="0067724B"/>
    <w:rsid w:val="00681734"/>
    <w:rsid w:val="0068305C"/>
    <w:rsid w:val="0068321E"/>
    <w:rsid w:val="0068330D"/>
    <w:rsid w:val="006836EE"/>
    <w:rsid w:val="00683BC4"/>
    <w:rsid w:val="0068719D"/>
    <w:rsid w:val="00692D16"/>
    <w:rsid w:val="00693516"/>
    <w:rsid w:val="00694ABC"/>
    <w:rsid w:val="00696EAA"/>
    <w:rsid w:val="006A0C54"/>
    <w:rsid w:val="006A0C5B"/>
    <w:rsid w:val="006A3B8A"/>
    <w:rsid w:val="006A3FE0"/>
    <w:rsid w:val="006A4312"/>
    <w:rsid w:val="006A52AD"/>
    <w:rsid w:val="006A6229"/>
    <w:rsid w:val="006A7172"/>
    <w:rsid w:val="006A73B2"/>
    <w:rsid w:val="006A75CE"/>
    <w:rsid w:val="006B2BC8"/>
    <w:rsid w:val="006B2C3D"/>
    <w:rsid w:val="006B5D51"/>
    <w:rsid w:val="006B6CE6"/>
    <w:rsid w:val="006C01C3"/>
    <w:rsid w:val="006C3C01"/>
    <w:rsid w:val="006C59BA"/>
    <w:rsid w:val="006C7E36"/>
    <w:rsid w:val="006D10D0"/>
    <w:rsid w:val="006D1538"/>
    <w:rsid w:val="006D2176"/>
    <w:rsid w:val="006D3955"/>
    <w:rsid w:val="006D73EE"/>
    <w:rsid w:val="006E17D5"/>
    <w:rsid w:val="006E1F05"/>
    <w:rsid w:val="006E4138"/>
    <w:rsid w:val="006E4822"/>
    <w:rsid w:val="006E5032"/>
    <w:rsid w:val="006E6408"/>
    <w:rsid w:val="006E6946"/>
    <w:rsid w:val="006F0444"/>
    <w:rsid w:val="006F1315"/>
    <w:rsid w:val="006F1BCD"/>
    <w:rsid w:val="006F2CA6"/>
    <w:rsid w:val="006F5F3B"/>
    <w:rsid w:val="006F6106"/>
    <w:rsid w:val="006F7F04"/>
    <w:rsid w:val="007002FF"/>
    <w:rsid w:val="00700619"/>
    <w:rsid w:val="00701D80"/>
    <w:rsid w:val="007032E4"/>
    <w:rsid w:val="0070450E"/>
    <w:rsid w:val="00705595"/>
    <w:rsid w:val="007059A6"/>
    <w:rsid w:val="0070712D"/>
    <w:rsid w:val="00707A36"/>
    <w:rsid w:val="00711874"/>
    <w:rsid w:val="00712B10"/>
    <w:rsid w:val="00713115"/>
    <w:rsid w:val="0071501B"/>
    <w:rsid w:val="007158EC"/>
    <w:rsid w:val="00717FC4"/>
    <w:rsid w:val="007243CC"/>
    <w:rsid w:val="00725B29"/>
    <w:rsid w:val="00725C21"/>
    <w:rsid w:val="00726232"/>
    <w:rsid w:val="00734C15"/>
    <w:rsid w:val="0073725B"/>
    <w:rsid w:val="00740443"/>
    <w:rsid w:val="007414F1"/>
    <w:rsid w:val="007438A1"/>
    <w:rsid w:val="00745479"/>
    <w:rsid w:val="00751BF7"/>
    <w:rsid w:val="0075323C"/>
    <w:rsid w:val="007573AA"/>
    <w:rsid w:val="0076236C"/>
    <w:rsid w:val="00763C98"/>
    <w:rsid w:val="00763F0A"/>
    <w:rsid w:val="00765B96"/>
    <w:rsid w:val="00765BB4"/>
    <w:rsid w:val="007668DD"/>
    <w:rsid w:val="00766BA0"/>
    <w:rsid w:val="0076799D"/>
    <w:rsid w:val="00770E69"/>
    <w:rsid w:val="007718EE"/>
    <w:rsid w:val="00773DA3"/>
    <w:rsid w:val="00774BBE"/>
    <w:rsid w:val="00775716"/>
    <w:rsid w:val="00776FEF"/>
    <w:rsid w:val="00777726"/>
    <w:rsid w:val="007817BA"/>
    <w:rsid w:val="00781C22"/>
    <w:rsid w:val="00782397"/>
    <w:rsid w:val="00783FED"/>
    <w:rsid w:val="00786621"/>
    <w:rsid w:val="007906F6"/>
    <w:rsid w:val="00791CEA"/>
    <w:rsid w:val="00794ACB"/>
    <w:rsid w:val="00795070"/>
    <w:rsid w:val="00796364"/>
    <w:rsid w:val="007975D4"/>
    <w:rsid w:val="007A1F08"/>
    <w:rsid w:val="007A2682"/>
    <w:rsid w:val="007A2726"/>
    <w:rsid w:val="007A454A"/>
    <w:rsid w:val="007A4BD6"/>
    <w:rsid w:val="007A4F0E"/>
    <w:rsid w:val="007A6F81"/>
    <w:rsid w:val="007A7A34"/>
    <w:rsid w:val="007B15DA"/>
    <w:rsid w:val="007B507F"/>
    <w:rsid w:val="007B5154"/>
    <w:rsid w:val="007B6B07"/>
    <w:rsid w:val="007B6CE4"/>
    <w:rsid w:val="007B76A5"/>
    <w:rsid w:val="007C047A"/>
    <w:rsid w:val="007C1F13"/>
    <w:rsid w:val="007C2262"/>
    <w:rsid w:val="007C2F79"/>
    <w:rsid w:val="007D024B"/>
    <w:rsid w:val="007D065A"/>
    <w:rsid w:val="007D0F98"/>
    <w:rsid w:val="007D397F"/>
    <w:rsid w:val="007D3D0A"/>
    <w:rsid w:val="007E018F"/>
    <w:rsid w:val="007E1158"/>
    <w:rsid w:val="007E1AFF"/>
    <w:rsid w:val="007E7172"/>
    <w:rsid w:val="007F1343"/>
    <w:rsid w:val="007F1397"/>
    <w:rsid w:val="007F1693"/>
    <w:rsid w:val="007F1875"/>
    <w:rsid w:val="007F3034"/>
    <w:rsid w:val="007F3882"/>
    <w:rsid w:val="007F4B19"/>
    <w:rsid w:val="007F5D3D"/>
    <w:rsid w:val="007F7AFF"/>
    <w:rsid w:val="008027F2"/>
    <w:rsid w:val="008037CB"/>
    <w:rsid w:val="00806136"/>
    <w:rsid w:val="00807A68"/>
    <w:rsid w:val="00807AAC"/>
    <w:rsid w:val="00811E4A"/>
    <w:rsid w:val="00811EFF"/>
    <w:rsid w:val="00812516"/>
    <w:rsid w:val="00814823"/>
    <w:rsid w:val="00821A77"/>
    <w:rsid w:val="00824E08"/>
    <w:rsid w:val="00826CEE"/>
    <w:rsid w:val="00827738"/>
    <w:rsid w:val="008308DF"/>
    <w:rsid w:val="00833807"/>
    <w:rsid w:val="0083458C"/>
    <w:rsid w:val="00834DBE"/>
    <w:rsid w:val="00837883"/>
    <w:rsid w:val="008402D5"/>
    <w:rsid w:val="00840BDB"/>
    <w:rsid w:val="00841568"/>
    <w:rsid w:val="00842A18"/>
    <w:rsid w:val="008434D9"/>
    <w:rsid w:val="008502EC"/>
    <w:rsid w:val="00851284"/>
    <w:rsid w:val="008515B8"/>
    <w:rsid w:val="008518D9"/>
    <w:rsid w:val="00851CA9"/>
    <w:rsid w:val="00853638"/>
    <w:rsid w:val="008570F0"/>
    <w:rsid w:val="00862521"/>
    <w:rsid w:val="00863179"/>
    <w:rsid w:val="008634A5"/>
    <w:rsid w:val="008639D1"/>
    <w:rsid w:val="00867620"/>
    <w:rsid w:val="008708BA"/>
    <w:rsid w:val="00870BD9"/>
    <w:rsid w:val="0087145C"/>
    <w:rsid w:val="00871786"/>
    <w:rsid w:val="00872631"/>
    <w:rsid w:val="0087380C"/>
    <w:rsid w:val="00874CF3"/>
    <w:rsid w:val="00877857"/>
    <w:rsid w:val="00880C12"/>
    <w:rsid w:val="00882B54"/>
    <w:rsid w:val="00882D4A"/>
    <w:rsid w:val="008841A7"/>
    <w:rsid w:val="008848E6"/>
    <w:rsid w:val="008857F3"/>
    <w:rsid w:val="00885B03"/>
    <w:rsid w:val="00890032"/>
    <w:rsid w:val="008915F6"/>
    <w:rsid w:val="00892775"/>
    <w:rsid w:val="00895D57"/>
    <w:rsid w:val="008967F2"/>
    <w:rsid w:val="008969C0"/>
    <w:rsid w:val="00896D1B"/>
    <w:rsid w:val="008975DF"/>
    <w:rsid w:val="008A03AE"/>
    <w:rsid w:val="008A0DF3"/>
    <w:rsid w:val="008A0E37"/>
    <w:rsid w:val="008A13A9"/>
    <w:rsid w:val="008A28E7"/>
    <w:rsid w:val="008A3D45"/>
    <w:rsid w:val="008A3F01"/>
    <w:rsid w:val="008A60BC"/>
    <w:rsid w:val="008B0553"/>
    <w:rsid w:val="008B497D"/>
    <w:rsid w:val="008B4A6A"/>
    <w:rsid w:val="008B58A2"/>
    <w:rsid w:val="008C117D"/>
    <w:rsid w:val="008C134F"/>
    <w:rsid w:val="008C332C"/>
    <w:rsid w:val="008D1828"/>
    <w:rsid w:val="008D25FF"/>
    <w:rsid w:val="008D2F29"/>
    <w:rsid w:val="008D41EF"/>
    <w:rsid w:val="008D785B"/>
    <w:rsid w:val="008D7FB2"/>
    <w:rsid w:val="008E1FD1"/>
    <w:rsid w:val="008E30C2"/>
    <w:rsid w:val="008E421B"/>
    <w:rsid w:val="008E43EA"/>
    <w:rsid w:val="008E58A6"/>
    <w:rsid w:val="008E6ED9"/>
    <w:rsid w:val="008E7C66"/>
    <w:rsid w:val="008F0283"/>
    <w:rsid w:val="008F097E"/>
    <w:rsid w:val="008F2698"/>
    <w:rsid w:val="008F44CE"/>
    <w:rsid w:val="008F50A7"/>
    <w:rsid w:val="008F5C60"/>
    <w:rsid w:val="008F6DF1"/>
    <w:rsid w:val="00901FE0"/>
    <w:rsid w:val="00902F43"/>
    <w:rsid w:val="00904EAB"/>
    <w:rsid w:val="00904F96"/>
    <w:rsid w:val="00914187"/>
    <w:rsid w:val="00916185"/>
    <w:rsid w:val="00916CF6"/>
    <w:rsid w:val="00916EBC"/>
    <w:rsid w:val="00917A6B"/>
    <w:rsid w:val="0092075D"/>
    <w:rsid w:val="00921550"/>
    <w:rsid w:val="009229A7"/>
    <w:rsid w:val="00923064"/>
    <w:rsid w:val="00926132"/>
    <w:rsid w:val="00927E80"/>
    <w:rsid w:val="00933571"/>
    <w:rsid w:val="00933846"/>
    <w:rsid w:val="00935ABF"/>
    <w:rsid w:val="009364E7"/>
    <w:rsid w:val="009365FE"/>
    <w:rsid w:val="00937AFF"/>
    <w:rsid w:val="00942269"/>
    <w:rsid w:val="0094318E"/>
    <w:rsid w:val="00943650"/>
    <w:rsid w:val="00943943"/>
    <w:rsid w:val="00947A11"/>
    <w:rsid w:val="009507EF"/>
    <w:rsid w:val="00951E7C"/>
    <w:rsid w:val="00954BA0"/>
    <w:rsid w:val="00956419"/>
    <w:rsid w:val="0095740D"/>
    <w:rsid w:val="009575FE"/>
    <w:rsid w:val="00960040"/>
    <w:rsid w:val="0096096F"/>
    <w:rsid w:val="00965681"/>
    <w:rsid w:val="00966DCE"/>
    <w:rsid w:val="00970BE3"/>
    <w:rsid w:val="009720A2"/>
    <w:rsid w:val="00972954"/>
    <w:rsid w:val="00974DA3"/>
    <w:rsid w:val="00974EA9"/>
    <w:rsid w:val="00974EFC"/>
    <w:rsid w:val="009777DA"/>
    <w:rsid w:val="00977C0F"/>
    <w:rsid w:val="00981E48"/>
    <w:rsid w:val="00983261"/>
    <w:rsid w:val="00983B84"/>
    <w:rsid w:val="00984291"/>
    <w:rsid w:val="00984C18"/>
    <w:rsid w:val="009861D1"/>
    <w:rsid w:val="00991FAF"/>
    <w:rsid w:val="00992340"/>
    <w:rsid w:val="00992DC4"/>
    <w:rsid w:val="009933D1"/>
    <w:rsid w:val="0099341B"/>
    <w:rsid w:val="0099376D"/>
    <w:rsid w:val="00994123"/>
    <w:rsid w:val="00994ED1"/>
    <w:rsid w:val="009955D2"/>
    <w:rsid w:val="00995FE7"/>
    <w:rsid w:val="009974BB"/>
    <w:rsid w:val="009A24E8"/>
    <w:rsid w:val="009A4C2E"/>
    <w:rsid w:val="009A4E41"/>
    <w:rsid w:val="009A5443"/>
    <w:rsid w:val="009A5785"/>
    <w:rsid w:val="009A5D10"/>
    <w:rsid w:val="009B067C"/>
    <w:rsid w:val="009B2007"/>
    <w:rsid w:val="009B4A59"/>
    <w:rsid w:val="009B61A9"/>
    <w:rsid w:val="009B7A6A"/>
    <w:rsid w:val="009C267A"/>
    <w:rsid w:val="009C3776"/>
    <w:rsid w:val="009C4681"/>
    <w:rsid w:val="009C4D16"/>
    <w:rsid w:val="009D18C2"/>
    <w:rsid w:val="009D4BBF"/>
    <w:rsid w:val="009D5163"/>
    <w:rsid w:val="009D5C8A"/>
    <w:rsid w:val="009D6643"/>
    <w:rsid w:val="009D68F9"/>
    <w:rsid w:val="009D78EF"/>
    <w:rsid w:val="009D7CF3"/>
    <w:rsid w:val="009E36A8"/>
    <w:rsid w:val="009E5B29"/>
    <w:rsid w:val="009E6315"/>
    <w:rsid w:val="009F06D0"/>
    <w:rsid w:val="009F1C7E"/>
    <w:rsid w:val="009F2F3E"/>
    <w:rsid w:val="009F382A"/>
    <w:rsid w:val="009F43A3"/>
    <w:rsid w:val="009F5C60"/>
    <w:rsid w:val="009F5EAB"/>
    <w:rsid w:val="009F6838"/>
    <w:rsid w:val="00A01FB6"/>
    <w:rsid w:val="00A02628"/>
    <w:rsid w:val="00A03DD8"/>
    <w:rsid w:val="00A047ED"/>
    <w:rsid w:val="00A11537"/>
    <w:rsid w:val="00A12F1D"/>
    <w:rsid w:val="00A13A25"/>
    <w:rsid w:val="00A13E52"/>
    <w:rsid w:val="00A14722"/>
    <w:rsid w:val="00A16CD4"/>
    <w:rsid w:val="00A206F8"/>
    <w:rsid w:val="00A2145A"/>
    <w:rsid w:val="00A23F28"/>
    <w:rsid w:val="00A25B35"/>
    <w:rsid w:val="00A25F90"/>
    <w:rsid w:val="00A260A0"/>
    <w:rsid w:val="00A2653F"/>
    <w:rsid w:val="00A320AF"/>
    <w:rsid w:val="00A322EC"/>
    <w:rsid w:val="00A326C6"/>
    <w:rsid w:val="00A33A03"/>
    <w:rsid w:val="00A345E2"/>
    <w:rsid w:val="00A35519"/>
    <w:rsid w:val="00A36FF9"/>
    <w:rsid w:val="00A3715E"/>
    <w:rsid w:val="00A3760F"/>
    <w:rsid w:val="00A40032"/>
    <w:rsid w:val="00A4203D"/>
    <w:rsid w:val="00A4207A"/>
    <w:rsid w:val="00A43EFD"/>
    <w:rsid w:val="00A452B7"/>
    <w:rsid w:val="00A454EB"/>
    <w:rsid w:val="00A457ED"/>
    <w:rsid w:val="00A476AA"/>
    <w:rsid w:val="00A533C6"/>
    <w:rsid w:val="00A54979"/>
    <w:rsid w:val="00A55981"/>
    <w:rsid w:val="00A5762D"/>
    <w:rsid w:val="00A57A44"/>
    <w:rsid w:val="00A6064D"/>
    <w:rsid w:val="00A618EF"/>
    <w:rsid w:val="00A63E51"/>
    <w:rsid w:val="00A64321"/>
    <w:rsid w:val="00A67B5F"/>
    <w:rsid w:val="00A70683"/>
    <w:rsid w:val="00A70DBB"/>
    <w:rsid w:val="00A718DE"/>
    <w:rsid w:val="00A72580"/>
    <w:rsid w:val="00A768A5"/>
    <w:rsid w:val="00A84EBE"/>
    <w:rsid w:val="00A84FCA"/>
    <w:rsid w:val="00A87954"/>
    <w:rsid w:val="00A879D8"/>
    <w:rsid w:val="00A91E75"/>
    <w:rsid w:val="00A92C68"/>
    <w:rsid w:val="00A935F7"/>
    <w:rsid w:val="00A959D8"/>
    <w:rsid w:val="00A95B33"/>
    <w:rsid w:val="00A96674"/>
    <w:rsid w:val="00A96C39"/>
    <w:rsid w:val="00A977D1"/>
    <w:rsid w:val="00AA0806"/>
    <w:rsid w:val="00AA088C"/>
    <w:rsid w:val="00AA1ACB"/>
    <w:rsid w:val="00AA1CB6"/>
    <w:rsid w:val="00AA66CD"/>
    <w:rsid w:val="00AA7356"/>
    <w:rsid w:val="00AB0EA9"/>
    <w:rsid w:val="00AB3335"/>
    <w:rsid w:val="00AB3FD7"/>
    <w:rsid w:val="00AB5E94"/>
    <w:rsid w:val="00AB738F"/>
    <w:rsid w:val="00AB7532"/>
    <w:rsid w:val="00AB767B"/>
    <w:rsid w:val="00AC1446"/>
    <w:rsid w:val="00AC170B"/>
    <w:rsid w:val="00AC2422"/>
    <w:rsid w:val="00AC259F"/>
    <w:rsid w:val="00AC3AA5"/>
    <w:rsid w:val="00AC5D90"/>
    <w:rsid w:val="00AC7CEA"/>
    <w:rsid w:val="00AD2C05"/>
    <w:rsid w:val="00AD3680"/>
    <w:rsid w:val="00AE1634"/>
    <w:rsid w:val="00AE2BD6"/>
    <w:rsid w:val="00AE5172"/>
    <w:rsid w:val="00AF04E1"/>
    <w:rsid w:val="00AF105A"/>
    <w:rsid w:val="00AF113D"/>
    <w:rsid w:val="00AF2144"/>
    <w:rsid w:val="00AF2B61"/>
    <w:rsid w:val="00B02ACC"/>
    <w:rsid w:val="00B03BFB"/>
    <w:rsid w:val="00B0430D"/>
    <w:rsid w:val="00B05BD0"/>
    <w:rsid w:val="00B10875"/>
    <w:rsid w:val="00B113A6"/>
    <w:rsid w:val="00B11C53"/>
    <w:rsid w:val="00B155CC"/>
    <w:rsid w:val="00B1773F"/>
    <w:rsid w:val="00B17B8E"/>
    <w:rsid w:val="00B17EE1"/>
    <w:rsid w:val="00B205DB"/>
    <w:rsid w:val="00B2071B"/>
    <w:rsid w:val="00B22F54"/>
    <w:rsid w:val="00B231FC"/>
    <w:rsid w:val="00B23BAE"/>
    <w:rsid w:val="00B25991"/>
    <w:rsid w:val="00B27182"/>
    <w:rsid w:val="00B32EE7"/>
    <w:rsid w:val="00B343E8"/>
    <w:rsid w:val="00B35FA9"/>
    <w:rsid w:val="00B36071"/>
    <w:rsid w:val="00B37B1A"/>
    <w:rsid w:val="00B40545"/>
    <w:rsid w:val="00B417A0"/>
    <w:rsid w:val="00B43A05"/>
    <w:rsid w:val="00B45667"/>
    <w:rsid w:val="00B45727"/>
    <w:rsid w:val="00B46ACD"/>
    <w:rsid w:val="00B51143"/>
    <w:rsid w:val="00B52FD4"/>
    <w:rsid w:val="00B55C5A"/>
    <w:rsid w:val="00B563DC"/>
    <w:rsid w:val="00B57122"/>
    <w:rsid w:val="00B63D99"/>
    <w:rsid w:val="00B65036"/>
    <w:rsid w:val="00B6563B"/>
    <w:rsid w:val="00B70DBB"/>
    <w:rsid w:val="00B734AA"/>
    <w:rsid w:val="00B7371A"/>
    <w:rsid w:val="00B73911"/>
    <w:rsid w:val="00B750A2"/>
    <w:rsid w:val="00B7790B"/>
    <w:rsid w:val="00B83C1F"/>
    <w:rsid w:val="00B860A2"/>
    <w:rsid w:val="00B911AD"/>
    <w:rsid w:val="00B91721"/>
    <w:rsid w:val="00B918C2"/>
    <w:rsid w:val="00B941B9"/>
    <w:rsid w:val="00B942A7"/>
    <w:rsid w:val="00B94BC1"/>
    <w:rsid w:val="00B97300"/>
    <w:rsid w:val="00BA16CE"/>
    <w:rsid w:val="00BA2CC6"/>
    <w:rsid w:val="00BA34D5"/>
    <w:rsid w:val="00BA3F87"/>
    <w:rsid w:val="00BA537A"/>
    <w:rsid w:val="00BB02D8"/>
    <w:rsid w:val="00BB1860"/>
    <w:rsid w:val="00BB7020"/>
    <w:rsid w:val="00BC2F05"/>
    <w:rsid w:val="00BC3576"/>
    <w:rsid w:val="00BC50B2"/>
    <w:rsid w:val="00BC539D"/>
    <w:rsid w:val="00BD032F"/>
    <w:rsid w:val="00BD27E7"/>
    <w:rsid w:val="00BD46F4"/>
    <w:rsid w:val="00BD5511"/>
    <w:rsid w:val="00BD5C13"/>
    <w:rsid w:val="00BD5DAE"/>
    <w:rsid w:val="00BD602B"/>
    <w:rsid w:val="00BD6277"/>
    <w:rsid w:val="00BD7DAC"/>
    <w:rsid w:val="00BE36EE"/>
    <w:rsid w:val="00BF0124"/>
    <w:rsid w:val="00BF113A"/>
    <w:rsid w:val="00BF2424"/>
    <w:rsid w:val="00BF3ADE"/>
    <w:rsid w:val="00BF7FD1"/>
    <w:rsid w:val="00C01870"/>
    <w:rsid w:val="00C01D76"/>
    <w:rsid w:val="00C025C4"/>
    <w:rsid w:val="00C03418"/>
    <w:rsid w:val="00C03566"/>
    <w:rsid w:val="00C038E9"/>
    <w:rsid w:val="00C03B7A"/>
    <w:rsid w:val="00C07B4E"/>
    <w:rsid w:val="00C10F78"/>
    <w:rsid w:val="00C14C4F"/>
    <w:rsid w:val="00C15403"/>
    <w:rsid w:val="00C15CFE"/>
    <w:rsid w:val="00C17619"/>
    <w:rsid w:val="00C17B63"/>
    <w:rsid w:val="00C17C9E"/>
    <w:rsid w:val="00C20F3C"/>
    <w:rsid w:val="00C23246"/>
    <w:rsid w:val="00C23530"/>
    <w:rsid w:val="00C26CAD"/>
    <w:rsid w:val="00C271E9"/>
    <w:rsid w:val="00C27585"/>
    <w:rsid w:val="00C30595"/>
    <w:rsid w:val="00C314F4"/>
    <w:rsid w:val="00C323F9"/>
    <w:rsid w:val="00C32A0D"/>
    <w:rsid w:val="00C40C40"/>
    <w:rsid w:val="00C414C0"/>
    <w:rsid w:val="00C46163"/>
    <w:rsid w:val="00C46272"/>
    <w:rsid w:val="00C46FCF"/>
    <w:rsid w:val="00C47CE4"/>
    <w:rsid w:val="00C51C74"/>
    <w:rsid w:val="00C53BFF"/>
    <w:rsid w:val="00C5526E"/>
    <w:rsid w:val="00C561AC"/>
    <w:rsid w:val="00C57BF4"/>
    <w:rsid w:val="00C642B0"/>
    <w:rsid w:val="00C64B78"/>
    <w:rsid w:val="00C65843"/>
    <w:rsid w:val="00C7158D"/>
    <w:rsid w:val="00C7228C"/>
    <w:rsid w:val="00C7297D"/>
    <w:rsid w:val="00C742E8"/>
    <w:rsid w:val="00C74871"/>
    <w:rsid w:val="00C7665F"/>
    <w:rsid w:val="00C7667D"/>
    <w:rsid w:val="00C76BAF"/>
    <w:rsid w:val="00C77A64"/>
    <w:rsid w:val="00C84E4A"/>
    <w:rsid w:val="00C87D82"/>
    <w:rsid w:val="00C904FB"/>
    <w:rsid w:val="00C932E1"/>
    <w:rsid w:val="00C94AF4"/>
    <w:rsid w:val="00C95D81"/>
    <w:rsid w:val="00C97B09"/>
    <w:rsid w:val="00C97F19"/>
    <w:rsid w:val="00CA1871"/>
    <w:rsid w:val="00CA1897"/>
    <w:rsid w:val="00CA3D37"/>
    <w:rsid w:val="00CA4610"/>
    <w:rsid w:val="00CA46F9"/>
    <w:rsid w:val="00CA492A"/>
    <w:rsid w:val="00CA5E17"/>
    <w:rsid w:val="00CA6054"/>
    <w:rsid w:val="00CA7B8A"/>
    <w:rsid w:val="00CB4DA6"/>
    <w:rsid w:val="00CB5060"/>
    <w:rsid w:val="00CB54DD"/>
    <w:rsid w:val="00CB72F9"/>
    <w:rsid w:val="00CC0B13"/>
    <w:rsid w:val="00CC114F"/>
    <w:rsid w:val="00CC35A0"/>
    <w:rsid w:val="00CC38D0"/>
    <w:rsid w:val="00CC3A36"/>
    <w:rsid w:val="00CC664C"/>
    <w:rsid w:val="00CC6E42"/>
    <w:rsid w:val="00CC777D"/>
    <w:rsid w:val="00CD22AB"/>
    <w:rsid w:val="00CD30D9"/>
    <w:rsid w:val="00CD35D0"/>
    <w:rsid w:val="00CD3665"/>
    <w:rsid w:val="00CD6766"/>
    <w:rsid w:val="00CE0197"/>
    <w:rsid w:val="00CE383E"/>
    <w:rsid w:val="00CE490D"/>
    <w:rsid w:val="00CE710C"/>
    <w:rsid w:val="00CE7C03"/>
    <w:rsid w:val="00CE7F07"/>
    <w:rsid w:val="00CF0FD2"/>
    <w:rsid w:val="00CF11D3"/>
    <w:rsid w:val="00CF1657"/>
    <w:rsid w:val="00CF19E4"/>
    <w:rsid w:val="00CF4E58"/>
    <w:rsid w:val="00CF5378"/>
    <w:rsid w:val="00CF563E"/>
    <w:rsid w:val="00CF6F4A"/>
    <w:rsid w:val="00CF7297"/>
    <w:rsid w:val="00D001BE"/>
    <w:rsid w:val="00D01516"/>
    <w:rsid w:val="00D02720"/>
    <w:rsid w:val="00D0453D"/>
    <w:rsid w:val="00D06ABC"/>
    <w:rsid w:val="00D127D9"/>
    <w:rsid w:val="00D1323F"/>
    <w:rsid w:val="00D13E87"/>
    <w:rsid w:val="00D15D0D"/>
    <w:rsid w:val="00D171B0"/>
    <w:rsid w:val="00D20487"/>
    <w:rsid w:val="00D216A1"/>
    <w:rsid w:val="00D22676"/>
    <w:rsid w:val="00D22C51"/>
    <w:rsid w:val="00D24C16"/>
    <w:rsid w:val="00D2666D"/>
    <w:rsid w:val="00D272F9"/>
    <w:rsid w:val="00D27F29"/>
    <w:rsid w:val="00D30F2D"/>
    <w:rsid w:val="00D3189F"/>
    <w:rsid w:val="00D32920"/>
    <w:rsid w:val="00D33EDA"/>
    <w:rsid w:val="00D34300"/>
    <w:rsid w:val="00D34DBF"/>
    <w:rsid w:val="00D35114"/>
    <w:rsid w:val="00D36A4A"/>
    <w:rsid w:val="00D37CA9"/>
    <w:rsid w:val="00D44B98"/>
    <w:rsid w:val="00D4518E"/>
    <w:rsid w:val="00D45E71"/>
    <w:rsid w:val="00D51E24"/>
    <w:rsid w:val="00D5207E"/>
    <w:rsid w:val="00D55DFF"/>
    <w:rsid w:val="00D56E3C"/>
    <w:rsid w:val="00D61BE1"/>
    <w:rsid w:val="00D63941"/>
    <w:rsid w:val="00D6552A"/>
    <w:rsid w:val="00D6623A"/>
    <w:rsid w:val="00D66516"/>
    <w:rsid w:val="00D709E0"/>
    <w:rsid w:val="00D7468C"/>
    <w:rsid w:val="00D75199"/>
    <w:rsid w:val="00D778FC"/>
    <w:rsid w:val="00D779BF"/>
    <w:rsid w:val="00D77F10"/>
    <w:rsid w:val="00D800C4"/>
    <w:rsid w:val="00D817FA"/>
    <w:rsid w:val="00D81898"/>
    <w:rsid w:val="00D82D44"/>
    <w:rsid w:val="00D8486D"/>
    <w:rsid w:val="00D87B1D"/>
    <w:rsid w:val="00D93A9F"/>
    <w:rsid w:val="00D93DD5"/>
    <w:rsid w:val="00D944BB"/>
    <w:rsid w:val="00DA1BBD"/>
    <w:rsid w:val="00DA2435"/>
    <w:rsid w:val="00DA41A6"/>
    <w:rsid w:val="00DA611B"/>
    <w:rsid w:val="00DA6171"/>
    <w:rsid w:val="00DB0755"/>
    <w:rsid w:val="00DB1B93"/>
    <w:rsid w:val="00DB2D30"/>
    <w:rsid w:val="00DB466A"/>
    <w:rsid w:val="00DB6A71"/>
    <w:rsid w:val="00DC09EB"/>
    <w:rsid w:val="00DC1652"/>
    <w:rsid w:val="00DC168F"/>
    <w:rsid w:val="00DC460B"/>
    <w:rsid w:val="00DC476E"/>
    <w:rsid w:val="00DC52BA"/>
    <w:rsid w:val="00DC7337"/>
    <w:rsid w:val="00DD066D"/>
    <w:rsid w:val="00DD3920"/>
    <w:rsid w:val="00DD66FF"/>
    <w:rsid w:val="00DE0275"/>
    <w:rsid w:val="00DE2300"/>
    <w:rsid w:val="00DE28C9"/>
    <w:rsid w:val="00DE6958"/>
    <w:rsid w:val="00DE7D40"/>
    <w:rsid w:val="00DF0111"/>
    <w:rsid w:val="00DF179D"/>
    <w:rsid w:val="00DF2946"/>
    <w:rsid w:val="00DF33CB"/>
    <w:rsid w:val="00DF3B87"/>
    <w:rsid w:val="00DF40AE"/>
    <w:rsid w:val="00DF4222"/>
    <w:rsid w:val="00DF5C06"/>
    <w:rsid w:val="00DF6E74"/>
    <w:rsid w:val="00E02E63"/>
    <w:rsid w:val="00E03003"/>
    <w:rsid w:val="00E05EB3"/>
    <w:rsid w:val="00E067C8"/>
    <w:rsid w:val="00E067FD"/>
    <w:rsid w:val="00E118D9"/>
    <w:rsid w:val="00E12E22"/>
    <w:rsid w:val="00E13A65"/>
    <w:rsid w:val="00E13CA2"/>
    <w:rsid w:val="00E14880"/>
    <w:rsid w:val="00E14BB5"/>
    <w:rsid w:val="00E15F95"/>
    <w:rsid w:val="00E17503"/>
    <w:rsid w:val="00E17D34"/>
    <w:rsid w:val="00E17FB6"/>
    <w:rsid w:val="00E20441"/>
    <w:rsid w:val="00E22335"/>
    <w:rsid w:val="00E228C2"/>
    <w:rsid w:val="00E243A1"/>
    <w:rsid w:val="00E2524A"/>
    <w:rsid w:val="00E26196"/>
    <w:rsid w:val="00E273FC"/>
    <w:rsid w:val="00E37977"/>
    <w:rsid w:val="00E418F6"/>
    <w:rsid w:val="00E41BA0"/>
    <w:rsid w:val="00E42724"/>
    <w:rsid w:val="00E435D0"/>
    <w:rsid w:val="00E43B3A"/>
    <w:rsid w:val="00E43CF9"/>
    <w:rsid w:val="00E4410A"/>
    <w:rsid w:val="00E44DD2"/>
    <w:rsid w:val="00E4528C"/>
    <w:rsid w:val="00E45E15"/>
    <w:rsid w:val="00E45F9A"/>
    <w:rsid w:val="00E467E8"/>
    <w:rsid w:val="00E47457"/>
    <w:rsid w:val="00E4784B"/>
    <w:rsid w:val="00E5066C"/>
    <w:rsid w:val="00E509F2"/>
    <w:rsid w:val="00E51490"/>
    <w:rsid w:val="00E54DDC"/>
    <w:rsid w:val="00E56351"/>
    <w:rsid w:val="00E60474"/>
    <w:rsid w:val="00E60A2F"/>
    <w:rsid w:val="00E63050"/>
    <w:rsid w:val="00E632F0"/>
    <w:rsid w:val="00E64280"/>
    <w:rsid w:val="00E65A0E"/>
    <w:rsid w:val="00E66B1E"/>
    <w:rsid w:val="00E67927"/>
    <w:rsid w:val="00E70303"/>
    <w:rsid w:val="00E705C4"/>
    <w:rsid w:val="00E7141F"/>
    <w:rsid w:val="00E73DF4"/>
    <w:rsid w:val="00E81EBA"/>
    <w:rsid w:val="00E834CE"/>
    <w:rsid w:val="00E83FD2"/>
    <w:rsid w:val="00E849EE"/>
    <w:rsid w:val="00E93A96"/>
    <w:rsid w:val="00E966AB"/>
    <w:rsid w:val="00EA0033"/>
    <w:rsid w:val="00EA1D41"/>
    <w:rsid w:val="00EA5E92"/>
    <w:rsid w:val="00EA64A6"/>
    <w:rsid w:val="00EA6A80"/>
    <w:rsid w:val="00EA7430"/>
    <w:rsid w:val="00EB0192"/>
    <w:rsid w:val="00EB1E1C"/>
    <w:rsid w:val="00EB5025"/>
    <w:rsid w:val="00EB61F1"/>
    <w:rsid w:val="00EB6442"/>
    <w:rsid w:val="00EB66E1"/>
    <w:rsid w:val="00EB68C7"/>
    <w:rsid w:val="00EB720F"/>
    <w:rsid w:val="00EC195B"/>
    <w:rsid w:val="00EC464D"/>
    <w:rsid w:val="00EC536A"/>
    <w:rsid w:val="00ED00B8"/>
    <w:rsid w:val="00ED0803"/>
    <w:rsid w:val="00ED0892"/>
    <w:rsid w:val="00ED258F"/>
    <w:rsid w:val="00ED4F50"/>
    <w:rsid w:val="00ED538B"/>
    <w:rsid w:val="00ED7FC6"/>
    <w:rsid w:val="00EE1184"/>
    <w:rsid w:val="00EE221F"/>
    <w:rsid w:val="00EE3138"/>
    <w:rsid w:val="00EE3D0D"/>
    <w:rsid w:val="00EE77FE"/>
    <w:rsid w:val="00EF1F9C"/>
    <w:rsid w:val="00EF3E65"/>
    <w:rsid w:val="00EF6F22"/>
    <w:rsid w:val="00EF78C1"/>
    <w:rsid w:val="00EF7F9B"/>
    <w:rsid w:val="00F00D75"/>
    <w:rsid w:val="00F01FAA"/>
    <w:rsid w:val="00F023A1"/>
    <w:rsid w:val="00F02E15"/>
    <w:rsid w:val="00F037F1"/>
    <w:rsid w:val="00F05388"/>
    <w:rsid w:val="00F139B5"/>
    <w:rsid w:val="00F140D2"/>
    <w:rsid w:val="00F14326"/>
    <w:rsid w:val="00F14777"/>
    <w:rsid w:val="00F1514E"/>
    <w:rsid w:val="00F2193A"/>
    <w:rsid w:val="00F31B31"/>
    <w:rsid w:val="00F3240B"/>
    <w:rsid w:val="00F336E6"/>
    <w:rsid w:val="00F338CA"/>
    <w:rsid w:val="00F33C5A"/>
    <w:rsid w:val="00F35A31"/>
    <w:rsid w:val="00F364BA"/>
    <w:rsid w:val="00F40168"/>
    <w:rsid w:val="00F40A9D"/>
    <w:rsid w:val="00F43441"/>
    <w:rsid w:val="00F4565E"/>
    <w:rsid w:val="00F50944"/>
    <w:rsid w:val="00F509D3"/>
    <w:rsid w:val="00F50E84"/>
    <w:rsid w:val="00F51D6F"/>
    <w:rsid w:val="00F53E9D"/>
    <w:rsid w:val="00F5471C"/>
    <w:rsid w:val="00F55B86"/>
    <w:rsid w:val="00F56E9A"/>
    <w:rsid w:val="00F57105"/>
    <w:rsid w:val="00F57436"/>
    <w:rsid w:val="00F57BC4"/>
    <w:rsid w:val="00F57E89"/>
    <w:rsid w:val="00F60D5C"/>
    <w:rsid w:val="00F6113A"/>
    <w:rsid w:val="00F615B7"/>
    <w:rsid w:val="00F635DD"/>
    <w:rsid w:val="00F6473E"/>
    <w:rsid w:val="00F64808"/>
    <w:rsid w:val="00F65FE3"/>
    <w:rsid w:val="00F70D2C"/>
    <w:rsid w:val="00F716C4"/>
    <w:rsid w:val="00F726D7"/>
    <w:rsid w:val="00F72B52"/>
    <w:rsid w:val="00F7322A"/>
    <w:rsid w:val="00F73A15"/>
    <w:rsid w:val="00F77C5C"/>
    <w:rsid w:val="00F77DAE"/>
    <w:rsid w:val="00F830E2"/>
    <w:rsid w:val="00F83876"/>
    <w:rsid w:val="00F84949"/>
    <w:rsid w:val="00F85013"/>
    <w:rsid w:val="00F870F3"/>
    <w:rsid w:val="00F90613"/>
    <w:rsid w:val="00F923CF"/>
    <w:rsid w:val="00F973BF"/>
    <w:rsid w:val="00F97AEB"/>
    <w:rsid w:val="00FA0E93"/>
    <w:rsid w:val="00FA26C3"/>
    <w:rsid w:val="00FA5709"/>
    <w:rsid w:val="00FA57BE"/>
    <w:rsid w:val="00FA74DA"/>
    <w:rsid w:val="00FB1C30"/>
    <w:rsid w:val="00FB4E1E"/>
    <w:rsid w:val="00FB6E96"/>
    <w:rsid w:val="00FC1EAD"/>
    <w:rsid w:val="00FC1F49"/>
    <w:rsid w:val="00FC299A"/>
    <w:rsid w:val="00FC2F0E"/>
    <w:rsid w:val="00FC3CF4"/>
    <w:rsid w:val="00FC442F"/>
    <w:rsid w:val="00FD0755"/>
    <w:rsid w:val="00FD0E29"/>
    <w:rsid w:val="00FD26C3"/>
    <w:rsid w:val="00FD2D30"/>
    <w:rsid w:val="00FD3A09"/>
    <w:rsid w:val="00FD6EB6"/>
    <w:rsid w:val="00FD7AE1"/>
    <w:rsid w:val="00FE254F"/>
    <w:rsid w:val="00FE3762"/>
    <w:rsid w:val="00FE665F"/>
    <w:rsid w:val="00FE7886"/>
    <w:rsid w:val="00FF0650"/>
    <w:rsid w:val="00FF073A"/>
    <w:rsid w:val="00FF1321"/>
    <w:rsid w:val="00FF13F2"/>
    <w:rsid w:val="00FF1AC7"/>
    <w:rsid w:val="00FF1B6A"/>
    <w:rsid w:val="00FF4731"/>
    <w:rsid w:val="00FF497A"/>
    <w:rsid w:val="00FF49DE"/>
    <w:rsid w:val="00FF4ADB"/>
    <w:rsid w:val="00FF4BD0"/>
    <w:rsid w:val="00FF70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EE945E9"/>
  <w15:docId w15:val="{96661E5D-D341-48EF-A02D-32D21748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57F3"/>
    <w:pPr>
      <w:spacing w:before="100" w:beforeAutospacing="1" w:after="100" w:afterAutospacing="1"/>
      <w:jc w:val="both"/>
    </w:pPr>
  </w:style>
  <w:style w:type="paragraph" w:styleId="Heading1">
    <w:name w:val="heading 1"/>
    <w:basedOn w:val="Normal"/>
    <w:next w:val="Text1"/>
    <w:qFormat/>
    <w:rsid w:val="00DB1B93"/>
    <w:pPr>
      <w:keepNext/>
      <w:numPr>
        <w:numId w:val="21"/>
      </w:numPr>
      <w:spacing w:before="240" w:beforeAutospacing="0" w:after="240" w:afterAutospacing="0"/>
      <w:outlineLvl w:val="0"/>
    </w:pPr>
    <w:rPr>
      <w:b/>
      <w:smallCaps/>
      <w:sz w:val="28"/>
      <w:szCs w:val="28"/>
    </w:rPr>
  </w:style>
  <w:style w:type="paragraph" w:styleId="Heading2">
    <w:name w:val="heading 2"/>
    <w:aliases w:val=" Znak Znak Znak Znak,Znak Znak Znak Znak"/>
    <w:basedOn w:val="Normal"/>
    <w:next w:val="Text2"/>
    <w:link w:val="Heading2Char"/>
    <w:qFormat/>
    <w:rsid w:val="009D7CF3"/>
    <w:pPr>
      <w:keepNext/>
      <w:numPr>
        <w:ilvl w:val="1"/>
        <w:numId w:val="21"/>
      </w:numPr>
      <w:spacing w:before="360" w:beforeAutospacing="0"/>
      <w:outlineLvl w:val="1"/>
    </w:pPr>
    <w:rPr>
      <w:b/>
      <w:u w:val="single"/>
    </w:rPr>
  </w:style>
  <w:style w:type="paragraph" w:styleId="Heading3">
    <w:name w:val="heading 3"/>
    <w:basedOn w:val="Normal"/>
    <w:next w:val="Text1"/>
    <w:link w:val="Heading3Char"/>
    <w:autoRedefine/>
    <w:qFormat/>
    <w:rsid w:val="00F73A15"/>
    <w:pPr>
      <w:keepNext/>
      <w:numPr>
        <w:ilvl w:val="2"/>
        <w:numId w:val="21"/>
      </w:numPr>
      <w:outlineLvl w:val="2"/>
    </w:pPr>
    <w:rPr>
      <w:rFonts w:ascii="Times New Roman Bold" w:hAnsi="Times New Roman Bold"/>
      <w:b/>
    </w:rPr>
  </w:style>
  <w:style w:type="paragraph" w:styleId="Heading4">
    <w:name w:val="heading 4"/>
    <w:basedOn w:val="Normal"/>
    <w:next w:val="Text4"/>
    <w:qFormat/>
    <w:pPr>
      <w:keepNext/>
      <w:outlineLvl w:val="3"/>
    </w:pPr>
  </w:style>
  <w:style w:type="paragraph" w:styleId="Heading5">
    <w:name w:val="heading 5"/>
    <w:basedOn w:val="Normal"/>
    <w:next w:val="Normal"/>
    <w:pPr>
      <w:spacing w:before="240" w:after="60"/>
      <w:ind w:left="3332" w:hanging="708"/>
      <w:outlineLvl w:val="4"/>
    </w:pPr>
    <w:rPr>
      <w:rFonts w:ascii="Arial" w:hAnsi="Arial"/>
      <w:sz w:val="22"/>
    </w:rPr>
  </w:style>
  <w:style w:type="paragraph" w:styleId="Heading6">
    <w:name w:val="heading 6"/>
    <w:basedOn w:val="Normal"/>
    <w:next w:val="Normal"/>
    <w:pPr>
      <w:spacing w:before="240" w:after="60"/>
      <w:ind w:left="4040" w:hanging="708"/>
      <w:outlineLvl w:val="5"/>
    </w:pPr>
    <w:rPr>
      <w:rFonts w:ascii="Arial" w:hAnsi="Arial"/>
      <w:i/>
      <w:sz w:val="22"/>
    </w:rPr>
  </w:style>
  <w:style w:type="paragraph" w:styleId="Heading7">
    <w:name w:val="heading 7"/>
    <w:basedOn w:val="Normal"/>
    <w:next w:val="Normal"/>
    <w:pPr>
      <w:spacing w:before="240" w:after="60"/>
      <w:ind w:left="4748" w:hanging="708"/>
      <w:outlineLvl w:val="6"/>
    </w:pPr>
    <w:rPr>
      <w:rFonts w:ascii="Arial" w:hAnsi="Arial"/>
      <w:sz w:val="20"/>
    </w:rPr>
  </w:style>
  <w:style w:type="paragraph" w:styleId="Heading8">
    <w:name w:val="heading 8"/>
    <w:basedOn w:val="Normal"/>
    <w:next w:val="Normal"/>
    <w:pPr>
      <w:spacing w:before="240" w:after="60"/>
      <w:ind w:left="5456" w:hanging="708"/>
      <w:outlineLvl w:val="7"/>
    </w:pPr>
    <w:rPr>
      <w:rFonts w:ascii="Arial" w:hAnsi="Arial"/>
      <w:i/>
      <w:sz w:val="20"/>
    </w:rPr>
  </w:style>
  <w:style w:type="paragraph" w:styleId="Heading9">
    <w:name w:val="heading 9"/>
    <w:basedOn w:val="Normal"/>
    <w:next w:val="Normal"/>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qFormat/>
    <w:rsid w:val="00097FB8"/>
    <w:rPr>
      <w:b/>
    </w:rPr>
  </w:style>
  <w:style w:type="paragraph" w:customStyle="1" w:styleId="Text2">
    <w:name w:val="Text 2"/>
    <w:basedOn w:val="Normal"/>
    <w:link w:val="Text2Char1"/>
    <w:rsid w:val="00C03B7A"/>
    <w:pPr>
      <w:tabs>
        <w:tab w:val="left" w:pos="2160"/>
      </w:tabs>
      <w:ind w:left="1077"/>
    </w:pPr>
  </w:style>
  <w:style w:type="paragraph" w:customStyle="1" w:styleId="Text3">
    <w:name w:val="Text 3"/>
    <w:basedOn w:val="Normal"/>
    <w:link w:val="Text3Char"/>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Note de bas de page Car1 Car,Note de bas de page Car Car1 Car,Note de bas de page Car1 Car Car1 Car,Note de bas de page Car Car Car Car Car1 Car,Note de bas de page Car Car Car Car,fn,Footnote Text Char Car,DTE-Voetnoottekst"/>
    <w:basedOn w:val="Normal"/>
    <w:link w:val="FootnoteTextChar"/>
    <w:qFormat/>
    <w:rsid w:val="00812516"/>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pPr>
      <w:numPr>
        <w:numId w:val="3"/>
      </w:numPr>
    </w:pPr>
  </w:style>
  <w:style w:type="paragraph" w:styleId="ListBullet2">
    <w:name w:val="List Bullet 2"/>
    <w:basedOn w:val="Text2"/>
    <w:pPr>
      <w:numPr>
        <w:numId w:val="5"/>
      </w:numPr>
      <w:tabs>
        <w:tab w:val="clear" w:pos="2160"/>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160"/>
      </w:tabs>
    </w:pPr>
  </w:style>
  <w:style w:type="paragraph" w:styleId="ListNumber3">
    <w:name w:val="List Number 3"/>
    <w:basedOn w:val="Text3"/>
    <w:uiPriority w:val="1"/>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styleId="PlainText">
    <w:name w:val="Plain Text"/>
    <w:basedOn w:val="Normal"/>
    <w:link w:val="PlainTextChar"/>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rsid w:val="0011065F"/>
    <w:pPr>
      <w:spacing w:before="240" w:after="60"/>
      <w:jc w:val="center"/>
      <w:outlineLvl w:val="0"/>
    </w:pPr>
    <w:rPr>
      <w:b/>
      <w:kern w:val="28"/>
      <w:sz w:val="2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link w:val="ListDash3Char"/>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ind w:left="3901" w:hanging="703"/>
    </w:pPr>
  </w:style>
  <w:style w:type="paragraph" w:customStyle="1" w:styleId="ListNumber3Level2">
    <w:name w:val="List Number 3 (Level 2)"/>
    <w:basedOn w:val="Text3"/>
    <w:uiPriority w:val="1"/>
    <w:pPr>
      <w:numPr>
        <w:ilvl w:val="1"/>
        <w:numId w:val="16"/>
      </w:numPr>
      <w:tabs>
        <w:tab w:val="clear" w:pos="2302"/>
      </w:tabs>
    </w:pPr>
  </w:style>
  <w:style w:type="paragraph" w:customStyle="1" w:styleId="ListNumber3Level3">
    <w:name w:val="List Number 3 (Level 3)"/>
    <w:basedOn w:val="Text3"/>
    <w:uiPriority w:val="1"/>
    <w:pPr>
      <w:numPr>
        <w:ilvl w:val="2"/>
        <w:numId w:val="16"/>
      </w:numPr>
      <w:tabs>
        <w:tab w:val="clear" w:pos="2302"/>
      </w:tabs>
    </w:pPr>
  </w:style>
  <w:style w:type="paragraph" w:customStyle="1" w:styleId="ListNumber3Level4">
    <w:name w:val="List Number 3 (Level 4)"/>
    <w:basedOn w:val="Text3"/>
    <w:uiPriority w:val="1"/>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Enclosures"/>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ZCom">
    <w:name w:val="Z_Com"/>
    <w:basedOn w:val="Normal"/>
    <w:next w:val="ZDGName"/>
    <w:uiPriority w:val="2"/>
    <w:rsid w:val="0099376D"/>
    <w:pPr>
      <w:widowControl w:val="0"/>
      <w:autoSpaceDE w:val="0"/>
      <w:autoSpaceDN w:val="0"/>
      <w:spacing w:after="0"/>
      <w:ind w:right="85"/>
    </w:pPr>
    <w:rPr>
      <w:rFonts w:ascii="Arial" w:hAnsi="Arial" w:cs="Arial"/>
    </w:rPr>
  </w:style>
  <w:style w:type="paragraph" w:customStyle="1" w:styleId="ZDGName">
    <w:name w:val="Z_DGName"/>
    <w:basedOn w:val="Normal"/>
    <w:uiPriority w:val="2"/>
    <w:rsid w:val="0099376D"/>
    <w:pPr>
      <w:widowControl w:val="0"/>
      <w:autoSpaceDE w:val="0"/>
      <w:autoSpaceDN w:val="0"/>
      <w:spacing w:after="0"/>
      <w:ind w:right="85"/>
      <w:jc w:val="left"/>
    </w:pPr>
    <w:rPr>
      <w:rFonts w:ascii="Arial" w:hAnsi="Arial" w:cs="Arial"/>
      <w:sz w:val="16"/>
      <w:szCs w:val="16"/>
    </w:rPr>
  </w:style>
  <w:style w:type="paragraph" w:customStyle="1" w:styleId="Text2Char">
    <w:name w:val="Text 2 Char"/>
    <w:basedOn w:val="Normal"/>
    <w:link w:val="Text2CharChar"/>
    <w:rsid w:val="0099376D"/>
    <w:pPr>
      <w:tabs>
        <w:tab w:val="left" w:pos="2160"/>
      </w:tabs>
      <w:ind w:left="1077"/>
    </w:pPr>
  </w:style>
  <w:style w:type="character" w:styleId="PageNumber">
    <w:name w:val="page number"/>
    <w:basedOn w:val="DefaultParagraphFont"/>
    <w:rsid w:val="0099376D"/>
  </w:style>
  <w:style w:type="character" w:customStyle="1" w:styleId="Text2CharChar">
    <w:name w:val="Text 2 Char Char"/>
    <w:link w:val="Text2Char"/>
    <w:rsid w:val="0099376D"/>
    <w:rPr>
      <w:sz w:val="24"/>
      <w:lang w:val="en-GB" w:eastAsia="en-US" w:bidi="ar-SA"/>
    </w:rPr>
  </w:style>
  <w:style w:type="character" w:styleId="Hyperlink">
    <w:name w:val="Hyperlink"/>
    <w:uiPriority w:val="99"/>
    <w:rsid w:val="009F1C7E"/>
    <w:rPr>
      <w:color w:val="0000FF"/>
      <w:u w:val="single"/>
    </w:rPr>
  </w:style>
  <w:style w:type="character" w:customStyle="1" w:styleId="Text2Char1">
    <w:name w:val="Text 2 Char1"/>
    <w:link w:val="Text2"/>
    <w:rsid w:val="00C03B7A"/>
    <w:rPr>
      <w:sz w:val="24"/>
      <w:lang w:val="en-GB" w:eastAsia="en-US" w:bidi="ar-SA"/>
    </w:rPr>
  </w:style>
  <w:style w:type="paragraph" w:styleId="BalloonText">
    <w:name w:val="Balloon Text"/>
    <w:basedOn w:val="Normal"/>
    <w:link w:val="BalloonTextChar"/>
    <w:rsid w:val="00076077"/>
    <w:rPr>
      <w:rFonts w:ascii="Tahoma" w:hAnsi="Tahoma" w:cs="Tahoma"/>
      <w:sz w:val="16"/>
      <w:szCs w:val="16"/>
    </w:rPr>
  </w:style>
  <w:style w:type="character" w:customStyle="1" w:styleId="Text3Char">
    <w:name w:val="Text 3 Char"/>
    <w:link w:val="Text3"/>
    <w:rsid w:val="00CE0197"/>
    <w:rPr>
      <w:sz w:val="24"/>
      <w:lang w:val="en-GB" w:eastAsia="en-US" w:bidi="ar-SA"/>
    </w:rPr>
  </w:style>
  <w:style w:type="character" w:customStyle="1" w:styleId="ListDash3Char">
    <w:name w:val="List Dash 3 Char"/>
    <w:basedOn w:val="Text3Char"/>
    <w:link w:val="ListDash3"/>
    <w:rsid w:val="00CE0197"/>
    <w:rPr>
      <w:sz w:val="24"/>
      <w:lang w:val="en-GB" w:eastAsia="en-US" w:bidi="ar-SA"/>
    </w:rPr>
  </w:style>
  <w:style w:type="character" w:styleId="FootnoteReference">
    <w:name w:val="footnote reference"/>
    <w:aliases w:val="Footnote symbol,Footnote,Voetnootverwijzing,Footnote number,fr,o,Footnotemark,FR,Footnotemark1,Footnotemark2,FR1,Footnotemark3,FR2,Footnotemark4,FR3,Footnotemark5,FR4,Footnotemark6,Footnotemark7,Footnotemark8,FR5,Footnotemark11,F,SUPE"/>
    <w:link w:val="CharCharChar"/>
    <w:qFormat/>
    <w:rsid w:val="00B70DBB"/>
    <w:rPr>
      <w:vertAlign w:val="superscript"/>
    </w:rPr>
  </w:style>
  <w:style w:type="paragraph" w:customStyle="1" w:styleId="Point0">
    <w:name w:val="Point 0"/>
    <w:basedOn w:val="Normal"/>
    <w:rsid w:val="008D785B"/>
    <w:pPr>
      <w:spacing w:before="120" w:after="120"/>
      <w:ind w:left="850" w:hanging="850"/>
    </w:pPr>
    <w:rPr>
      <w:lang w:eastAsia="zh-CN"/>
    </w:rPr>
  </w:style>
  <w:style w:type="paragraph" w:styleId="NormalWeb">
    <w:name w:val="Normal (Web)"/>
    <w:basedOn w:val="Normal"/>
    <w:rsid w:val="00CF7297"/>
    <w:pPr>
      <w:jc w:val="left"/>
    </w:pPr>
  </w:style>
  <w:style w:type="character" w:styleId="Emphasis">
    <w:name w:val="Emphasis"/>
    <w:rsid w:val="00CF7297"/>
    <w:rPr>
      <w:i/>
      <w:iCs/>
    </w:rPr>
  </w:style>
  <w:style w:type="table" w:styleId="TableGrid">
    <w:name w:val="Table Grid"/>
    <w:basedOn w:val="TableNormal"/>
    <w:rsid w:val="00933846"/>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
    <w:rsid w:val="004427B1"/>
    <w:pPr>
      <w:spacing w:after="160" w:line="240" w:lineRule="exact"/>
      <w:jc w:val="left"/>
    </w:pPr>
    <w:rPr>
      <w:rFonts w:ascii="Tahoma" w:hAnsi="Tahoma"/>
      <w:sz w:val="20"/>
      <w:lang w:val="en-US"/>
    </w:rPr>
  </w:style>
  <w:style w:type="character" w:styleId="CommentReference">
    <w:name w:val="annotation reference"/>
    <w:rsid w:val="00194857"/>
    <w:rPr>
      <w:sz w:val="16"/>
      <w:szCs w:val="16"/>
    </w:rPr>
  </w:style>
  <w:style w:type="paragraph" w:styleId="CommentSubject">
    <w:name w:val="annotation subject"/>
    <w:basedOn w:val="CommentText"/>
    <w:next w:val="CommentText"/>
    <w:link w:val="CommentSubjectChar"/>
    <w:rsid w:val="00194857"/>
    <w:rPr>
      <w:b/>
      <w:bCs/>
    </w:rPr>
  </w:style>
  <w:style w:type="character" w:customStyle="1" w:styleId="Indent2">
    <w:name w:val="Indent 2"/>
    <w:basedOn w:val="DefaultParagraphFont"/>
    <w:rsid w:val="00C77A64"/>
  </w:style>
  <w:style w:type="character" w:customStyle="1" w:styleId="Indent3">
    <w:name w:val="Indent 3"/>
    <w:rsid w:val="008E43EA"/>
    <w:rPr>
      <w:spacing w:val="-3"/>
    </w:rPr>
  </w:style>
  <w:style w:type="character" w:customStyle="1" w:styleId="Text1Char">
    <w:name w:val="Text 1 Char"/>
    <w:link w:val="Text1"/>
    <w:rsid w:val="00770E69"/>
    <w:rPr>
      <w:b/>
      <w:sz w:val="24"/>
      <w:lang w:val="en-GB" w:eastAsia="en-US" w:bidi="ar-SA"/>
    </w:rPr>
  </w:style>
  <w:style w:type="paragraph" w:customStyle="1" w:styleId="Default">
    <w:name w:val="Default"/>
    <w:rsid w:val="00CE490D"/>
    <w:pPr>
      <w:autoSpaceDE w:val="0"/>
      <w:autoSpaceDN w:val="0"/>
      <w:adjustRightInd w:val="0"/>
    </w:pPr>
    <w:rPr>
      <w:rFonts w:ascii="Arial" w:hAnsi="Arial" w:cs="Arial"/>
      <w:color w:val="000000"/>
    </w:rPr>
  </w:style>
  <w:style w:type="character" w:customStyle="1" w:styleId="FootnoteTextChar">
    <w:name w:val="Footnote Text Char"/>
    <w:aliases w:val="footnote Char,Note de bas de page Car1 Car Char,Note de bas de page Car Car1 Car Char,Note de bas de page Car1 Car Car1 Car Char,Note de bas de page Car Car Car Car Car1 Car Char,Note de bas de page Car Car Car Car Char,fn Char"/>
    <w:link w:val="FootnoteText"/>
    <w:qFormat/>
    <w:rsid w:val="00812516"/>
    <w:rPr>
      <w:sz w:val="20"/>
    </w:rPr>
  </w:style>
  <w:style w:type="character" w:styleId="EndnoteReference">
    <w:name w:val="endnote reference"/>
    <w:rsid w:val="00164595"/>
    <w:rPr>
      <w:vertAlign w:val="superscript"/>
    </w:rPr>
  </w:style>
  <w:style w:type="paragraph" w:styleId="ListParagraph">
    <w:name w:val="List Paragraph"/>
    <w:aliases w:val="List Paragraph compact,Normal bullet 2,Paragraphe de liste 2,Reference list,Bullet list,Numbered List,List Paragraph1,1st level - Bullet List Paragraph,Lettre d'introduction,Paragraph,Bullet EY,List Paragraph11,Normal bullet 21,List L1"/>
    <w:basedOn w:val="Normal"/>
    <w:link w:val="ListParagraphChar"/>
    <w:uiPriority w:val="34"/>
    <w:qFormat/>
    <w:rsid w:val="00E273FC"/>
    <w:pPr>
      <w:ind w:left="708"/>
    </w:pPr>
  </w:style>
  <w:style w:type="character" w:customStyle="1" w:styleId="PlainTextChar">
    <w:name w:val="Plain Text Char"/>
    <w:link w:val="PlainText"/>
    <w:rsid w:val="00150531"/>
    <w:rPr>
      <w:rFonts w:ascii="Courier New" w:hAnsi="Courier New"/>
      <w:lang w:eastAsia="en-US"/>
    </w:rPr>
  </w:style>
  <w:style w:type="character" w:customStyle="1" w:styleId="Heading3Char">
    <w:name w:val="Heading 3 Char"/>
    <w:link w:val="Heading3"/>
    <w:rsid w:val="00F73A15"/>
    <w:rPr>
      <w:rFonts w:ascii="Times New Roman Bold" w:hAnsi="Times New Roman Bold"/>
      <w:b/>
    </w:rPr>
  </w:style>
  <w:style w:type="character" w:customStyle="1" w:styleId="FooterChar">
    <w:name w:val="Footer Char"/>
    <w:link w:val="Footer"/>
    <w:uiPriority w:val="99"/>
    <w:rsid w:val="00DE0275"/>
    <w:rPr>
      <w:rFonts w:ascii="Arial" w:hAnsi="Arial"/>
      <w:sz w:val="16"/>
      <w:lang w:eastAsia="en-US"/>
    </w:rPr>
  </w:style>
  <w:style w:type="paragraph" w:styleId="NoSpacing">
    <w:name w:val="No Spacing"/>
    <w:uiPriority w:val="1"/>
    <w:qFormat/>
    <w:rsid w:val="008857F3"/>
    <w:pPr>
      <w:spacing w:beforeAutospacing="1" w:afterAutospacing="1"/>
      <w:jc w:val="both"/>
    </w:pPr>
  </w:style>
  <w:style w:type="paragraph" w:customStyle="1" w:styleId="Char">
    <w:name w:val="Char"/>
    <w:basedOn w:val="Normal"/>
    <w:next w:val="Normal"/>
    <w:rsid w:val="00C7297D"/>
    <w:pPr>
      <w:spacing w:after="160" w:line="240" w:lineRule="exact"/>
      <w:jc w:val="left"/>
    </w:pPr>
    <w:rPr>
      <w:rFonts w:ascii="Tahoma" w:hAnsi="Tahoma"/>
      <w:szCs w:val="20"/>
      <w:lang w:val="en-US" w:eastAsia="en-US"/>
    </w:rPr>
  </w:style>
  <w:style w:type="paragraph" w:customStyle="1" w:styleId="CharCharChar">
    <w:name w:val="Char Char Char"/>
    <w:basedOn w:val="Normal"/>
    <w:link w:val="FootnoteReference"/>
    <w:rsid w:val="002613D9"/>
    <w:pPr>
      <w:spacing w:before="0" w:beforeAutospacing="0" w:after="160" w:afterAutospacing="0" w:line="240" w:lineRule="exact"/>
      <w:jc w:val="left"/>
    </w:pPr>
    <w:rPr>
      <w:vertAlign w:val="superscript"/>
    </w:rPr>
  </w:style>
  <w:style w:type="character" w:customStyle="1" w:styleId="Heading2Char">
    <w:name w:val="Heading 2 Char"/>
    <w:aliases w:val=" Znak Znak Znak Znak Char,Znak Znak Znak Znak Char"/>
    <w:link w:val="Heading2"/>
    <w:rsid w:val="002613D9"/>
    <w:rPr>
      <w:b/>
      <w:u w:val="single"/>
    </w:rPr>
  </w:style>
  <w:style w:type="character" w:customStyle="1" w:styleId="ListParagraphChar">
    <w:name w:val="List Paragraph Char"/>
    <w:aliases w:val="List Paragraph compact Char,Normal bullet 2 Char,Paragraphe de liste 2 Char,Reference list Char,Bullet list Char,Numbered List Char,List Paragraph1 Char,1st level - Bullet List Paragraph Char,Lettre d'introduction Char,Paragraph Char"/>
    <w:link w:val="ListParagraph"/>
    <w:uiPriority w:val="34"/>
    <w:qFormat/>
    <w:locked/>
    <w:rsid w:val="002613D9"/>
  </w:style>
  <w:style w:type="character" w:customStyle="1" w:styleId="CommentTextChar">
    <w:name w:val="Comment Text Char"/>
    <w:link w:val="CommentText"/>
    <w:rsid w:val="00904F96"/>
    <w:rPr>
      <w:sz w:val="20"/>
    </w:rPr>
  </w:style>
  <w:style w:type="paragraph" w:customStyle="1" w:styleId="ZFlag">
    <w:name w:val="Z_Flag"/>
    <w:basedOn w:val="Normal"/>
    <w:next w:val="Normal"/>
    <w:uiPriority w:val="2"/>
    <w:rsid w:val="00A047ED"/>
    <w:pPr>
      <w:widowControl w:val="0"/>
      <w:spacing w:before="0" w:beforeAutospacing="0" w:after="0" w:afterAutospacing="0"/>
      <w:ind w:right="85"/>
    </w:pPr>
    <w:rPr>
      <w:szCs w:val="20"/>
    </w:rPr>
  </w:style>
  <w:style w:type="table" w:customStyle="1" w:styleId="TableLetterhead">
    <w:name w:val="Table Letterhead"/>
    <w:basedOn w:val="TableNormal"/>
    <w:semiHidden/>
    <w:rsid w:val="00A047ED"/>
    <w:rPr>
      <w:szCs w:val="20"/>
    </w:rPr>
    <w:tblPr>
      <w:tblCellMar>
        <w:left w:w="0" w:type="dxa"/>
        <w:bottom w:w="340" w:type="dxa"/>
        <w:right w:w="0" w:type="dxa"/>
      </w:tblCellMar>
    </w:tbl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814823"/>
  </w:style>
  <w:style w:type="paragraph" w:customStyle="1" w:styleId="me-testo">
    <w:name w:val="me-testo"/>
    <w:basedOn w:val="Normal"/>
    <w:rsid w:val="00814823"/>
    <w:pPr>
      <w:jc w:val="left"/>
    </w:pPr>
    <w:rPr>
      <w:lang w:eastAsia="ko-KR"/>
    </w:rPr>
  </w:style>
  <w:style w:type="character" w:customStyle="1" w:styleId="normal--char">
    <w:name w:val="normal--char"/>
    <w:rsid w:val="00814823"/>
  </w:style>
  <w:style w:type="character" w:customStyle="1" w:styleId="BodyTextChar">
    <w:name w:val="Body Text Char"/>
    <w:link w:val="BodyText"/>
    <w:rsid w:val="00814823"/>
  </w:style>
  <w:style w:type="character" w:customStyle="1" w:styleId="BalloonTextChar">
    <w:name w:val="Balloon Text Char"/>
    <w:link w:val="BalloonText"/>
    <w:rsid w:val="00814823"/>
    <w:rPr>
      <w:rFonts w:ascii="Tahoma" w:hAnsi="Tahoma" w:cs="Tahoma"/>
      <w:sz w:val="16"/>
      <w:szCs w:val="16"/>
    </w:rPr>
  </w:style>
  <w:style w:type="paragraph" w:styleId="Revision">
    <w:name w:val="Revision"/>
    <w:hidden/>
    <w:uiPriority w:val="99"/>
    <w:semiHidden/>
    <w:rsid w:val="00814823"/>
  </w:style>
  <w:style w:type="character" w:customStyle="1" w:styleId="TitleChar">
    <w:name w:val="Title Char"/>
    <w:link w:val="Title"/>
    <w:rsid w:val="00814823"/>
    <w:rPr>
      <w:b/>
      <w:kern w:val="28"/>
      <w:sz w:val="28"/>
    </w:rPr>
  </w:style>
  <w:style w:type="character" w:customStyle="1" w:styleId="CommentSubjectChar">
    <w:name w:val="Comment Subject Char"/>
    <w:link w:val="CommentSubject"/>
    <w:rsid w:val="00814823"/>
    <w:rPr>
      <w:b/>
      <w:bCs/>
      <w:sz w:val="20"/>
    </w:rPr>
  </w:style>
  <w:style w:type="table" w:styleId="GridTable4-Accent5">
    <w:name w:val="Grid Table 4 Accent 5"/>
    <w:basedOn w:val="TableNormal"/>
    <w:uiPriority w:val="49"/>
    <w:rsid w:val="00814823"/>
    <w:rPr>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styleId="PlaceholderText">
    <w:name w:val="Placeholder Text"/>
    <w:uiPriority w:val="99"/>
    <w:semiHidden/>
    <w:rsid w:val="008148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8829">
      <w:bodyDiv w:val="1"/>
      <w:marLeft w:val="0"/>
      <w:marRight w:val="0"/>
      <w:marTop w:val="0"/>
      <w:marBottom w:val="0"/>
      <w:divBdr>
        <w:top w:val="none" w:sz="0" w:space="0" w:color="auto"/>
        <w:left w:val="none" w:sz="0" w:space="0" w:color="auto"/>
        <w:bottom w:val="none" w:sz="0" w:space="0" w:color="auto"/>
        <w:right w:val="none" w:sz="0" w:space="0" w:color="auto"/>
      </w:divBdr>
    </w:div>
    <w:div w:id="79183565">
      <w:bodyDiv w:val="1"/>
      <w:marLeft w:val="0"/>
      <w:marRight w:val="0"/>
      <w:marTop w:val="0"/>
      <w:marBottom w:val="0"/>
      <w:divBdr>
        <w:top w:val="none" w:sz="0" w:space="0" w:color="auto"/>
        <w:left w:val="none" w:sz="0" w:space="0" w:color="auto"/>
        <w:bottom w:val="none" w:sz="0" w:space="0" w:color="auto"/>
        <w:right w:val="none" w:sz="0" w:space="0" w:color="auto"/>
      </w:divBdr>
      <w:divsChild>
        <w:div w:id="154423745">
          <w:marLeft w:val="274"/>
          <w:marRight w:val="0"/>
          <w:marTop w:val="0"/>
          <w:marBottom w:val="0"/>
          <w:divBdr>
            <w:top w:val="none" w:sz="0" w:space="0" w:color="auto"/>
            <w:left w:val="none" w:sz="0" w:space="0" w:color="auto"/>
            <w:bottom w:val="none" w:sz="0" w:space="0" w:color="auto"/>
            <w:right w:val="none" w:sz="0" w:space="0" w:color="auto"/>
          </w:divBdr>
        </w:div>
        <w:div w:id="256331957">
          <w:marLeft w:val="274"/>
          <w:marRight w:val="0"/>
          <w:marTop w:val="0"/>
          <w:marBottom w:val="0"/>
          <w:divBdr>
            <w:top w:val="none" w:sz="0" w:space="0" w:color="auto"/>
            <w:left w:val="none" w:sz="0" w:space="0" w:color="auto"/>
            <w:bottom w:val="none" w:sz="0" w:space="0" w:color="auto"/>
            <w:right w:val="none" w:sz="0" w:space="0" w:color="auto"/>
          </w:divBdr>
        </w:div>
        <w:div w:id="490606716">
          <w:marLeft w:val="274"/>
          <w:marRight w:val="0"/>
          <w:marTop w:val="0"/>
          <w:marBottom w:val="0"/>
          <w:divBdr>
            <w:top w:val="none" w:sz="0" w:space="0" w:color="auto"/>
            <w:left w:val="none" w:sz="0" w:space="0" w:color="auto"/>
            <w:bottom w:val="none" w:sz="0" w:space="0" w:color="auto"/>
            <w:right w:val="none" w:sz="0" w:space="0" w:color="auto"/>
          </w:divBdr>
        </w:div>
        <w:div w:id="1147163241">
          <w:marLeft w:val="274"/>
          <w:marRight w:val="0"/>
          <w:marTop w:val="0"/>
          <w:marBottom w:val="0"/>
          <w:divBdr>
            <w:top w:val="none" w:sz="0" w:space="0" w:color="auto"/>
            <w:left w:val="none" w:sz="0" w:space="0" w:color="auto"/>
            <w:bottom w:val="none" w:sz="0" w:space="0" w:color="auto"/>
            <w:right w:val="none" w:sz="0" w:space="0" w:color="auto"/>
          </w:divBdr>
        </w:div>
        <w:div w:id="2038777527">
          <w:marLeft w:val="274"/>
          <w:marRight w:val="0"/>
          <w:marTop w:val="0"/>
          <w:marBottom w:val="0"/>
          <w:divBdr>
            <w:top w:val="none" w:sz="0" w:space="0" w:color="auto"/>
            <w:left w:val="none" w:sz="0" w:space="0" w:color="auto"/>
            <w:bottom w:val="none" w:sz="0" w:space="0" w:color="auto"/>
            <w:right w:val="none" w:sz="0" w:space="0" w:color="auto"/>
          </w:divBdr>
        </w:div>
      </w:divsChild>
    </w:div>
    <w:div w:id="387384287">
      <w:bodyDiv w:val="1"/>
      <w:marLeft w:val="0"/>
      <w:marRight w:val="0"/>
      <w:marTop w:val="48"/>
      <w:marBottom w:val="0"/>
      <w:divBdr>
        <w:top w:val="none" w:sz="0" w:space="0" w:color="auto"/>
        <w:left w:val="none" w:sz="0" w:space="0" w:color="auto"/>
        <w:bottom w:val="none" w:sz="0" w:space="0" w:color="auto"/>
        <w:right w:val="none" w:sz="0" w:space="0" w:color="auto"/>
      </w:divBdr>
      <w:divsChild>
        <w:div w:id="363798307">
          <w:marLeft w:val="-3150"/>
          <w:marRight w:val="0"/>
          <w:marTop w:val="0"/>
          <w:marBottom w:val="0"/>
          <w:divBdr>
            <w:top w:val="none" w:sz="0" w:space="0" w:color="auto"/>
            <w:left w:val="none" w:sz="0" w:space="0" w:color="auto"/>
            <w:bottom w:val="none" w:sz="0" w:space="0" w:color="auto"/>
            <w:right w:val="none" w:sz="0" w:space="0" w:color="auto"/>
          </w:divBdr>
          <w:divsChild>
            <w:div w:id="94862655">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580483986">
      <w:bodyDiv w:val="1"/>
      <w:marLeft w:val="0"/>
      <w:marRight w:val="0"/>
      <w:marTop w:val="48"/>
      <w:marBottom w:val="0"/>
      <w:divBdr>
        <w:top w:val="none" w:sz="0" w:space="0" w:color="auto"/>
        <w:left w:val="none" w:sz="0" w:space="0" w:color="auto"/>
        <w:bottom w:val="none" w:sz="0" w:space="0" w:color="auto"/>
        <w:right w:val="none" w:sz="0" w:space="0" w:color="auto"/>
      </w:divBdr>
      <w:divsChild>
        <w:div w:id="1990476602">
          <w:marLeft w:val="-3150"/>
          <w:marRight w:val="0"/>
          <w:marTop w:val="0"/>
          <w:marBottom w:val="0"/>
          <w:divBdr>
            <w:top w:val="none" w:sz="0" w:space="0" w:color="auto"/>
            <w:left w:val="none" w:sz="0" w:space="0" w:color="auto"/>
            <w:bottom w:val="none" w:sz="0" w:space="0" w:color="auto"/>
            <w:right w:val="none" w:sz="0" w:space="0" w:color="auto"/>
          </w:divBdr>
          <w:divsChild>
            <w:div w:id="585111680">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 w:id="681665385">
      <w:bodyDiv w:val="1"/>
      <w:marLeft w:val="0"/>
      <w:marRight w:val="0"/>
      <w:marTop w:val="0"/>
      <w:marBottom w:val="0"/>
      <w:divBdr>
        <w:top w:val="none" w:sz="0" w:space="0" w:color="auto"/>
        <w:left w:val="none" w:sz="0" w:space="0" w:color="auto"/>
        <w:bottom w:val="none" w:sz="0" w:space="0" w:color="auto"/>
        <w:right w:val="none" w:sz="0" w:space="0" w:color="auto"/>
      </w:divBdr>
    </w:div>
    <w:div w:id="743256227">
      <w:bodyDiv w:val="1"/>
      <w:marLeft w:val="0"/>
      <w:marRight w:val="0"/>
      <w:marTop w:val="0"/>
      <w:marBottom w:val="0"/>
      <w:divBdr>
        <w:top w:val="none" w:sz="0" w:space="0" w:color="auto"/>
        <w:left w:val="none" w:sz="0" w:space="0" w:color="auto"/>
        <w:bottom w:val="none" w:sz="0" w:space="0" w:color="auto"/>
        <w:right w:val="none" w:sz="0" w:space="0" w:color="auto"/>
      </w:divBdr>
    </w:div>
    <w:div w:id="1401176315">
      <w:bodyDiv w:val="1"/>
      <w:marLeft w:val="0"/>
      <w:marRight w:val="0"/>
      <w:marTop w:val="0"/>
      <w:marBottom w:val="0"/>
      <w:divBdr>
        <w:top w:val="none" w:sz="0" w:space="0" w:color="auto"/>
        <w:left w:val="none" w:sz="0" w:space="0" w:color="auto"/>
        <w:bottom w:val="none" w:sz="0" w:space="0" w:color="auto"/>
        <w:right w:val="none" w:sz="0" w:space="0" w:color="auto"/>
      </w:divBdr>
    </w:div>
    <w:div w:id="1678271006">
      <w:bodyDiv w:val="1"/>
      <w:marLeft w:val="0"/>
      <w:marRight w:val="0"/>
      <w:marTop w:val="0"/>
      <w:marBottom w:val="0"/>
      <w:divBdr>
        <w:top w:val="none" w:sz="0" w:space="0" w:color="auto"/>
        <w:left w:val="none" w:sz="0" w:space="0" w:color="auto"/>
        <w:bottom w:val="none" w:sz="0" w:space="0" w:color="auto"/>
        <w:right w:val="none" w:sz="0" w:space="0" w:color="auto"/>
      </w:divBdr>
    </w:div>
    <w:div w:id="1798570816">
      <w:bodyDiv w:val="1"/>
      <w:marLeft w:val="0"/>
      <w:marRight w:val="0"/>
      <w:marTop w:val="0"/>
      <w:marBottom w:val="0"/>
      <w:divBdr>
        <w:top w:val="none" w:sz="0" w:space="0" w:color="auto"/>
        <w:left w:val="none" w:sz="0" w:space="0" w:color="auto"/>
        <w:bottom w:val="none" w:sz="0" w:space="0" w:color="auto"/>
        <w:right w:val="none" w:sz="0" w:space="0" w:color="auto"/>
      </w:divBdr>
    </w:div>
    <w:div w:id="1800681575">
      <w:bodyDiv w:val="1"/>
      <w:marLeft w:val="0"/>
      <w:marRight w:val="0"/>
      <w:marTop w:val="0"/>
      <w:marBottom w:val="0"/>
      <w:divBdr>
        <w:top w:val="none" w:sz="0" w:space="0" w:color="auto"/>
        <w:left w:val="none" w:sz="0" w:space="0" w:color="auto"/>
        <w:bottom w:val="none" w:sz="0" w:space="0" w:color="auto"/>
        <w:right w:val="none" w:sz="0" w:space="0" w:color="auto"/>
      </w:divBdr>
    </w:div>
    <w:div w:id="19673920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databank.worldbank.org/source/world-development-indicators" TargetMode="External"/><Relationship Id="rId3" Type="http://schemas.openxmlformats.org/officeDocument/2006/relationships/customXml" Target="../customXml/item3.xml"/><Relationship Id="rId21" Type="http://schemas.openxmlformats.org/officeDocument/2006/relationships/hyperlink" Target="http://ec.europa.eu/budget/contracts_grants/info_contracts/legal_entities/legal_entities_en.cf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trade.ec.europa.eu/access-to-markets/en/home" TargetMode="External"/><Relationship Id="rId33"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c.europa.eu/neighbourhood-enlargement/tenders/grants-and-tenders_en" TargetMode="External"/><Relationship Id="rId29" Type="http://schemas.openxmlformats.org/officeDocument/2006/relationships/hyperlink" Target="http://ec.europa.eu/ipg/standards/accessibility/index_en.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rketanalysis.intracen.org/en" TargetMode="External"/><Relationship Id="rId32" Type="http://schemas.openxmlformats.org/officeDocument/2006/relationships/hyperlink" Target="https://ec.europa.eu/info/resources-partners/european-commission-visual-identity_en"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eur-lex.europa.eu/LexUriServ/LexUriServ.do?uri=OJ:L:2003:124:0036:0041:en:PDF" TargetMode="External"/><Relationship Id="rId28" Type="http://schemas.openxmlformats.org/officeDocument/2006/relationships/hyperlink" Target="http://www.w3.org/TR/WCAG20/" TargetMode="External"/><Relationship Id="rId10" Type="http://schemas.openxmlformats.org/officeDocument/2006/relationships/endnotes" Target="endnotes.xml"/><Relationship Id="rId19" Type="http://schemas.openxmlformats.org/officeDocument/2006/relationships/hyperlink" Target="https://eur-lex.europa.eu/legal-content/EN/AUTO/?uri=uriserv:OJ.L_.2018.193.01.0001.01.ENG&amp;toc=OJ:L:2018:193:TOC" TargetMode="External"/><Relationship Id="rId31" Type="http://schemas.openxmlformats.org/officeDocument/2006/relationships/hyperlink" Target="http://ec.europa.eu/dgs/communication/services/visual_identity/index_en.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ec.europa.eu/budget/contracts_grants/info_contracts/index_en.cfm" TargetMode="External"/><Relationship Id="rId27" Type="http://schemas.openxmlformats.org/officeDocument/2006/relationships/hyperlink" Target="https://wits.worldbank.org/" TargetMode="External"/><Relationship Id="rId30" Type="http://schemas.openxmlformats.org/officeDocument/2006/relationships/hyperlink" Target="http://www.w3.org/WAI/"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default/files/carbon_border_adjustment_mechanism_0.pdf" TargetMode="External"/><Relationship Id="rId3" Type="http://schemas.openxmlformats.org/officeDocument/2006/relationships/hyperlink" Target="https://ec.europa.eu/info/sites/default/files/carbon_border_adjustment_mechanism_0.pdf" TargetMode="External"/><Relationship Id="rId7" Type="http://schemas.openxmlformats.org/officeDocument/2006/relationships/hyperlink" Target="https://ec.europa.eu/clima/policies/ets/credits_en" TargetMode="External"/><Relationship Id="rId2" Type="http://schemas.openxmlformats.org/officeDocument/2006/relationships/hyperlink" Target="https://ec.europa.eu/commission/presscorner/detail/en/fs_21_3666" TargetMode="External"/><Relationship Id="rId1" Type="http://schemas.openxmlformats.org/officeDocument/2006/relationships/hyperlink" Target="http://www.wto.org/english/tratop_E/gproc_e/gp_gpa_e.htm" TargetMode="External"/><Relationship Id="rId6" Type="http://schemas.openxmlformats.org/officeDocument/2006/relationships/hyperlink" Target="https://ec.europa.eu/info/business-economy-euro/banking-and-finance/sustainable-finance/eu-taxonomy-sustainable-activities_en" TargetMode="External"/><Relationship Id="rId5" Type="http://schemas.openxmlformats.org/officeDocument/2006/relationships/hyperlink" Target="https://ec.europa.eu/info/law/better-regulation/have-your-say/initiatives/12228-EU-Green-Deal-carbon-border-adjustment-mechanism-/feedback_en?p_id=7587254" TargetMode="External"/><Relationship Id="rId4" Type="http://schemas.openxmlformats.org/officeDocument/2006/relationships/hyperlink" Target="https://ec.europa.eu/info/law/better-regulation/have-your-say/initiatives/12228-EU-Green-Deal-carbon-border-adjustment-mechanism-/feedback_en?p_id=7587254" TargetMode="External"/><Relationship Id="rId9" Type="http://schemas.openxmlformats.org/officeDocument/2006/relationships/hyperlink" Target="http://www.coe.int/t/dg4/linguistic/Cadre1_en.as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EA25F43B16034A890773D71A710A1D" ma:contentTypeVersion="2" ma:contentTypeDescription="Create a new document." ma:contentTypeScope="" ma:versionID="0763b30e16b45acf057255bf097dcfa1">
  <xsd:schema xmlns:xsd="http://www.w3.org/2001/XMLSchema" xmlns:xs="http://www.w3.org/2001/XMLSchema" xmlns:p="http://schemas.microsoft.com/office/2006/metadata/properties" xmlns:ns1="http://schemas.microsoft.com/sharepoint/v3" xmlns:ns2="c02e182b-7e46-4567-89e5-b76ccbd06361" targetNamespace="http://schemas.microsoft.com/office/2006/metadata/properties" ma:root="true" ma:fieldsID="87fb69b367242138ee00867b624ca365" ns1:_="" ns2:_="">
    <xsd:import namespace="http://schemas.microsoft.com/sharepoint/v3"/>
    <xsd:import namespace="c02e182b-7e46-4567-89e5-b76ccbd0636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2e182b-7e46-4567-89e5-b76ccbd0636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c02e182b-7e46-4567-89e5-b76ccbd06361">Procedure/management</Category>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706E-33EE-4722-8576-09C222BAF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2e182b-7e46-4567-89e5-b76ccbd06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130AC2-8A5A-4A93-8613-31B7C6357CB4}">
  <ds:schemaRefs>
    <ds:schemaRef ds:uri="http://schemas.microsoft.com/sharepoint/v3/contenttype/forms"/>
  </ds:schemaRefs>
</ds:datastoreItem>
</file>

<file path=customXml/itemProps3.xml><?xml version="1.0" encoding="utf-8"?>
<ds:datastoreItem xmlns:ds="http://schemas.openxmlformats.org/officeDocument/2006/customXml" ds:itemID="{F045E951-48E2-493C-8118-5A5CBD608E8B}">
  <ds:schemaRefs>
    <ds:schemaRef ds:uri="http://schemas.microsoft.com/office/2006/metadata/properties"/>
    <ds:schemaRef ds:uri="http://schemas.microsoft.com/office/infopath/2007/PartnerControls"/>
    <ds:schemaRef ds:uri="c02e182b-7e46-4567-89e5-b76ccbd06361"/>
    <ds:schemaRef ds:uri="http://schemas.microsoft.com/sharepoint/v3"/>
  </ds:schemaRefs>
</ds:datastoreItem>
</file>

<file path=customXml/itemProps4.xml><?xml version="1.0" encoding="utf-8"?>
<ds:datastoreItem xmlns:ds="http://schemas.openxmlformats.org/officeDocument/2006/customXml" ds:itemID="{D31EF5BD-E221-4C66-B5D7-63F98267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1</Pages>
  <Words>6631</Words>
  <Characters>37801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44344</CharactersWithSpaces>
  <SharedDoc>false</SharedDoc>
  <HLinks>
    <vt:vector size="186" baseType="variant">
      <vt:variant>
        <vt:i4>6684694</vt:i4>
      </vt:variant>
      <vt:variant>
        <vt:i4>162</vt:i4>
      </vt:variant>
      <vt:variant>
        <vt:i4>0</vt:i4>
      </vt:variant>
      <vt:variant>
        <vt:i4>5</vt:i4>
      </vt:variant>
      <vt:variant>
        <vt:lpwstr>http://www.cc.cec/budg/imp/procurement/_doc/_doc/declaration_honour/declaration-honour-en.doc</vt:lpwstr>
      </vt:variant>
      <vt:variant>
        <vt:lpwstr/>
      </vt:variant>
      <vt:variant>
        <vt:i4>3801154</vt:i4>
      </vt:variant>
      <vt:variant>
        <vt:i4>159</vt:i4>
      </vt:variant>
      <vt:variant>
        <vt:i4>0</vt:i4>
      </vt:variant>
      <vt:variant>
        <vt:i4>5</vt:i4>
      </vt:variant>
      <vt:variant>
        <vt:lpwstr>http://myintracomm.ec.testa.eu/budgweb/EN/imp/procurement/Pages/imp-080-030-010_contracts.aspx</vt:lpwstr>
      </vt:variant>
      <vt:variant>
        <vt:lpwstr>HONOUR</vt:lpwstr>
      </vt:variant>
      <vt:variant>
        <vt:i4>6684694</vt:i4>
      </vt:variant>
      <vt:variant>
        <vt:i4>156</vt:i4>
      </vt:variant>
      <vt:variant>
        <vt:i4>0</vt:i4>
      </vt:variant>
      <vt:variant>
        <vt:i4>5</vt:i4>
      </vt:variant>
      <vt:variant>
        <vt:lpwstr>http://www.cc.cec/budg/imp/procurement/_doc/_doc/declaration_honour/declaration-honour-en.doc</vt:lpwstr>
      </vt:variant>
      <vt:variant>
        <vt:lpwstr/>
      </vt:variant>
      <vt:variant>
        <vt:i4>3801154</vt:i4>
      </vt:variant>
      <vt:variant>
        <vt:i4>153</vt:i4>
      </vt:variant>
      <vt:variant>
        <vt:i4>0</vt:i4>
      </vt:variant>
      <vt:variant>
        <vt:i4>5</vt:i4>
      </vt:variant>
      <vt:variant>
        <vt:lpwstr>http://myintracomm.ec.testa.eu/budgweb/EN/imp/procurement/Pages/imp-080-030-010_contracts.aspx</vt:lpwstr>
      </vt:variant>
      <vt:variant>
        <vt:lpwstr>HONOUR</vt:lpwstr>
      </vt:variant>
      <vt:variant>
        <vt:i4>7209061</vt:i4>
      </vt:variant>
      <vt:variant>
        <vt:i4>144</vt:i4>
      </vt:variant>
      <vt:variant>
        <vt:i4>0</vt:i4>
      </vt:variant>
      <vt:variant>
        <vt:i4>5</vt:i4>
      </vt:variant>
      <vt:variant>
        <vt:lpwstr>https://myintracomm.ec.europa.eu/corp/comm/VisualIdentity/Pages/Rules.aspx</vt:lpwstr>
      </vt:variant>
      <vt:variant>
        <vt:lpwstr/>
      </vt:variant>
      <vt:variant>
        <vt:i4>4849686</vt:i4>
      </vt:variant>
      <vt:variant>
        <vt:i4>141</vt:i4>
      </vt:variant>
      <vt:variant>
        <vt:i4>0</vt:i4>
      </vt:variant>
      <vt:variant>
        <vt:i4>5</vt:i4>
      </vt:variant>
      <vt:variant>
        <vt:lpwstr>http://ec.europa.eu/dgs/communication/services/visual_identity/index_en.htm</vt:lpwstr>
      </vt:variant>
      <vt:variant>
        <vt:lpwstr/>
      </vt:variant>
      <vt:variant>
        <vt:i4>6357109</vt:i4>
      </vt:variant>
      <vt:variant>
        <vt:i4>138</vt:i4>
      </vt:variant>
      <vt:variant>
        <vt:i4>0</vt:i4>
      </vt:variant>
      <vt:variant>
        <vt:i4>5</vt:i4>
      </vt:variant>
      <vt:variant>
        <vt:lpwstr>http://www.w3.org/WAI/</vt:lpwstr>
      </vt:variant>
      <vt:variant>
        <vt:lpwstr/>
      </vt:variant>
      <vt:variant>
        <vt:i4>2162692</vt:i4>
      </vt:variant>
      <vt:variant>
        <vt:i4>135</vt:i4>
      </vt:variant>
      <vt:variant>
        <vt:i4>0</vt:i4>
      </vt:variant>
      <vt:variant>
        <vt:i4>5</vt:i4>
      </vt:variant>
      <vt:variant>
        <vt:lpwstr>http://ec.europa.eu/ipg/standards/accessibility/index_en.htm</vt:lpwstr>
      </vt:variant>
      <vt:variant>
        <vt:lpwstr/>
      </vt:variant>
      <vt:variant>
        <vt:i4>5636100</vt:i4>
      </vt:variant>
      <vt:variant>
        <vt:i4>132</vt:i4>
      </vt:variant>
      <vt:variant>
        <vt:i4>0</vt:i4>
      </vt:variant>
      <vt:variant>
        <vt:i4>5</vt:i4>
      </vt:variant>
      <vt:variant>
        <vt:lpwstr>http://www.w3.org/TR/WCAG20/</vt:lpwstr>
      </vt:variant>
      <vt:variant>
        <vt:lpwstr/>
      </vt:variant>
      <vt:variant>
        <vt:i4>3342348</vt:i4>
      </vt:variant>
      <vt:variant>
        <vt:i4>120</vt:i4>
      </vt:variant>
      <vt:variant>
        <vt:i4>0</vt:i4>
      </vt:variant>
      <vt:variant>
        <vt:i4>5</vt:i4>
      </vt:variant>
      <vt:variant>
        <vt:lpwstr>http://ec.europa.eu/budget/contracts_grants/info_contracts/index_en.cfm</vt:lpwstr>
      </vt:variant>
      <vt:variant>
        <vt:lpwstr/>
      </vt:variant>
      <vt:variant>
        <vt:i4>4718630</vt:i4>
      </vt:variant>
      <vt:variant>
        <vt:i4>117</vt:i4>
      </vt:variant>
      <vt:variant>
        <vt:i4>0</vt:i4>
      </vt:variant>
      <vt:variant>
        <vt:i4>5</vt:i4>
      </vt:variant>
      <vt:variant>
        <vt:lpwstr>http://ec.europa.eu/budget/contracts_grants/info_contracts/legal_entities/legal_entities_en.cfm</vt:lpwstr>
      </vt:variant>
      <vt:variant>
        <vt:lpwstr/>
      </vt:variant>
      <vt:variant>
        <vt:i4>1900604</vt:i4>
      </vt:variant>
      <vt:variant>
        <vt:i4>110</vt:i4>
      </vt:variant>
      <vt:variant>
        <vt:i4>0</vt:i4>
      </vt:variant>
      <vt:variant>
        <vt:i4>5</vt:i4>
      </vt:variant>
      <vt:variant>
        <vt:lpwstr/>
      </vt:variant>
      <vt:variant>
        <vt:lpwstr>_Toc439919093</vt:lpwstr>
      </vt:variant>
      <vt:variant>
        <vt:i4>1900604</vt:i4>
      </vt:variant>
      <vt:variant>
        <vt:i4>104</vt:i4>
      </vt:variant>
      <vt:variant>
        <vt:i4>0</vt:i4>
      </vt:variant>
      <vt:variant>
        <vt:i4>5</vt:i4>
      </vt:variant>
      <vt:variant>
        <vt:lpwstr/>
      </vt:variant>
      <vt:variant>
        <vt:lpwstr>_Toc439919092</vt:lpwstr>
      </vt:variant>
      <vt:variant>
        <vt:i4>1900604</vt:i4>
      </vt:variant>
      <vt:variant>
        <vt:i4>98</vt:i4>
      </vt:variant>
      <vt:variant>
        <vt:i4>0</vt:i4>
      </vt:variant>
      <vt:variant>
        <vt:i4>5</vt:i4>
      </vt:variant>
      <vt:variant>
        <vt:lpwstr/>
      </vt:variant>
      <vt:variant>
        <vt:lpwstr>_Toc439919091</vt:lpwstr>
      </vt:variant>
      <vt:variant>
        <vt:i4>1900604</vt:i4>
      </vt:variant>
      <vt:variant>
        <vt:i4>92</vt:i4>
      </vt:variant>
      <vt:variant>
        <vt:i4>0</vt:i4>
      </vt:variant>
      <vt:variant>
        <vt:i4>5</vt:i4>
      </vt:variant>
      <vt:variant>
        <vt:lpwstr/>
      </vt:variant>
      <vt:variant>
        <vt:lpwstr>_Toc439919090</vt:lpwstr>
      </vt:variant>
      <vt:variant>
        <vt:i4>1835068</vt:i4>
      </vt:variant>
      <vt:variant>
        <vt:i4>86</vt:i4>
      </vt:variant>
      <vt:variant>
        <vt:i4>0</vt:i4>
      </vt:variant>
      <vt:variant>
        <vt:i4>5</vt:i4>
      </vt:variant>
      <vt:variant>
        <vt:lpwstr/>
      </vt:variant>
      <vt:variant>
        <vt:lpwstr>_Toc439919089</vt:lpwstr>
      </vt:variant>
      <vt:variant>
        <vt:i4>1835068</vt:i4>
      </vt:variant>
      <vt:variant>
        <vt:i4>80</vt:i4>
      </vt:variant>
      <vt:variant>
        <vt:i4>0</vt:i4>
      </vt:variant>
      <vt:variant>
        <vt:i4>5</vt:i4>
      </vt:variant>
      <vt:variant>
        <vt:lpwstr/>
      </vt:variant>
      <vt:variant>
        <vt:lpwstr>_Toc439919088</vt:lpwstr>
      </vt:variant>
      <vt:variant>
        <vt:i4>1835068</vt:i4>
      </vt:variant>
      <vt:variant>
        <vt:i4>74</vt:i4>
      </vt:variant>
      <vt:variant>
        <vt:i4>0</vt:i4>
      </vt:variant>
      <vt:variant>
        <vt:i4>5</vt:i4>
      </vt:variant>
      <vt:variant>
        <vt:lpwstr/>
      </vt:variant>
      <vt:variant>
        <vt:lpwstr>_Toc439919087</vt:lpwstr>
      </vt:variant>
      <vt:variant>
        <vt:i4>1835068</vt:i4>
      </vt:variant>
      <vt:variant>
        <vt:i4>68</vt:i4>
      </vt:variant>
      <vt:variant>
        <vt:i4>0</vt:i4>
      </vt:variant>
      <vt:variant>
        <vt:i4>5</vt:i4>
      </vt:variant>
      <vt:variant>
        <vt:lpwstr/>
      </vt:variant>
      <vt:variant>
        <vt:lpwstr>_Toc439919086</vt:lpwstr>
      </vt:variant>
      <vt:variant>
        <vt:i4>1835068</vt:i4>
      </vt:variant>
      <vt:variant>
        <vt:i4>62</vt:i4>
      </vt:variant>
      <vt:variant>
        <vt:i4>0</vt:i4>
      </vt:variant>
      <vt:variant>
        <vt:i4>5</vt:i4>
      </vt:variant>
      <vt:variant>
        <vt:lpwstr/>
      </vt:variant>
      <vt:variant>
        <vt:lpwstr>_Toc439919085</vt:lpwstr>
      </vt:variant>
      <vt:variant>
        <vt:i4>1835068</vt:i4>
      </vt:variant>
      <vt:variant>
        <vt:i4>56</vt:i4>
      </vt:variant>
      <vt:variant>
        <vt:i4>0</vt:i4>
      </vt:variant>
      <vt:variant>
        <vt:i4>5</vt:i4>
      </vt:variant>
      <vt:variant>
        <vt:lpwstr/>
      </vt:variant>
      <vt:variant>
        <vt:lpwstr>_Toc439919084</vt:lpwstr>
      </vt:variant>
      <vt:variant>
        <vt:i4>1835068</vt:i4>
      </vt:variant>
      <vt:variant>
        <vt:i4>50</vt:i4>
      </vt:variant>
      <vt:variant>
        <vt:i4>0</vt:i4>
      </vt:variant>
      <vt:variant>
        <vt:i4>5</vt:i4>
      </vt:variant>
      <vt:variant>
        <vt:lpwstr/>
      </vt:variant>
      <vt:variant>
        <vt:lpwstr>_Toc439919083</vt:lpwstr>
      </vt:variant>
      <vt:variant>
        <vt:i4>1835068</vt:i4>
      </vt:variant>
      <vt:variant>
        <vt:i4>44</vt:i4>
      </vt:variant>
      <vt:variant>
        <vt:i4>0</vt:i4>
      </vt:variant>
      <vt:variant>
        <vt:i4>5</vt:i4>
      </vt:variant>
      <vt:variant>
        <vt:lpwstr/>
      </vt:variant>
      <vt:variant>
        <vt:lpwstr>_Toc439919082</vt:lpwstr>
      </vt:variant>
      <vt:variant>
        <vt:i4>1835068</vt:i4>
      </vt:variant>
      <vt:variant>
        <vt:i4>38</vt:i4>
      </vt:variant>
      <vt:variant>
        <vt:i4>0</vt:i4>
      </vt:variant>
      <vt:variant>
        <vt:i4>5</vt:i4>
      </vt:variant>
      <vt:variant>
        <vt:lpwstr/>
      </vt:variant>
      <vt:variant>
        <vt:lpwstr>_Toc439919081</vt:lpwstr>
      </vt:variant>
      <vt:variant>
        <vt:i4>1835068</vt:i4>
      </vt:variant>
      <vt:variant>
        <vt:i4>32</vt:i4>
      </vt:variant>
      <vt:variant>
        <vt:i4>0</vt:i4>
      </vt:variant>
      <vt:variant>
        <vt:i4>5</vt:i4>
      </vt:variant>
      <vt:variant>
        <vt:lpwstr/>
      </vt:variant>
      <vt:variant>
        <vt:lpwstr>_Toc439919080</vt:lpwstr>
      </vt:variant>
      <vt:variant>
        <vt:i4>1245244</vt:i4>
      </vt:variant>
      <vt:variant>
        <vt:i4>26</vt:i4>
      </vt:variant>
      <vt:variant>
        <vt:i4>0</vt:i4>
      </vt:variant>
      <vt:variant>
        <vt:i4>5</vt:i4>
      </vt:variant>
      <vt:variant>
        <vt:lpwstr/>
      </vt:variant>
      <vt:variant>
        <vt:lpwstr>_Toc439919079</vt:lpwstr>
      </vt:variant>
      <vt:variant>
        <vt:i4>1245244</vt:i4>
      </vt:variant>
      <vt:variant>
        <vt:i4>20</vt:i4>
      </vt:variant>
      <vt:variant>
        <vt:i4>0</vt:i4>
      </vt:variant>
      <vt:variant>
        <vt:i4>5</vt:i4>
      </vt:variant>
      <vt:variant>
        <vt:lpwstr/>
      </vt:variant>
      <vt:variant>
        <vt:lpwstr>_Toc439919078</vt:lpwstr>
      </vt:variant>
      <vt:variant>
        <vt:i4>1245244</vt:i4>
      </vt:variant>
      <vt:variant>
        <vt:i4>14</vt:i4>
      </vt:variant>
      <vt:variant>
        <vt:i4>0</vt:i4>
      </vt:variant>
      <vt:variant>
        <vt:i4>5</vt:i4>
      </vt:variant>
      <vt:variant>
        <vt:lpwstr/>
      </vt:variant>
      <vt:variant>
        <vt:lpwstr>_Toc439919077</vt:lpwstr>
      </vt:variant>
      <vt:variant>
        <vt:i4>1245244</vt:i4>
      </vt:variant>
      <vt:variant>
        <vt:i4>8</vt:i4>
      </vt:variant>
      <vt:variant>
        <vt:i4>0</vt:i4>
      </vt:variant>
      <vt:variant>
        <vt:i4>5</vt:i4>
      </vt:variant>
      <vt:variant>
        <vt:lpwstr/>
      </vt:variant>
      <vt:variant>
        <vt:lpwstr>_Toc439919076</vt:lpwstr>
      </vt:variant>
      <vt:variant>
        <vt:i4>1245244</vt:i4>
      </vt:variant>
      <vt:variant>
        <vt:i4>2</vt:i4>
      </vt:variant>
      <vt:variant>
        <vt:i4>0</vt:i4>
      </vt:variant>
      <vt:variant>
        <vt:i4>5</vt:i4>
      </vt:variant>
      <vt:variant>
        <vt:lpwstr/>
      </vt:variant>
      <vt:variant>
        <vt:lpwstr>_Toc439919075</vt:lpwstr>
      </vt:variant>
      <vt:variant>
        <vt:i4>4915268</vt:i4>
      </vt:variant>
      <vt:variant>
        <vt:i4>0</vt:i4>
      </vt:variant>
      <vt:variant>
        <vt:i4>0</vt:i4>
      </vt:variant>
      <vt:variant>
        <vt:i4>5</vt:i4>
      </vt:variant>
      <vt:variant>
        <vt:lpwstr>http://www.wto.org/english/tratop_E/gproc_e/gp_gpa_e.htm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FIDALGO MARIA</dc:creator>
  <cp:keywords>EL4</cp:keywords>
  <cp:lastModifiedBy>stef</cp:lastModifiedBy>
  <cp:revision>1</cp:revision>
  <cp:lastPrinted>2012-09-17T08:53:00Z</cp:lastPrinted>
  <dcterms:created xsi:type="dcterms:W3CDTF">2021-09-16T08:21:00Z</dcterms:created>
  <dcterms:modified xsi:type="dcterms:W3CDTF">2021-09-16T08:21:00Z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FIDALGO MARIA</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y fmtid="{D5CDD505-2E9C-101B-9397-08002B2CF9AE}" pid="13" name="_NewReviewCycle">
    <vt:lpwstr/>
  </property>
  <property fmtid="{D5CDD505-2E9C-101B-9397-08002B2CF9AE}" pid="14" name="ContentTypeId">
    <vt:lpwstr>0x0101007DEA25F43B16034A890773D71A710A1D</vt:lpwstr>
  </property>
</Properties>
</file>